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TG01: Gene Silencing</w:t>
      </w:r>
    </w:p>
    <w:p>
      <w:r>
        <w:t>Description: Reduce expression of a pathogenic gene or transcript through transcriptional or post-transcriptional mechanisms.</w:t>
      </w:r>
    </w:p>
    <w:p>
      <w:pPr>
        <w:pStyle w:val="Heading2"/>
      </w:pPr>
      <w:r>
        <w:rPr>
          <w:color w:val="000000"/>
        </w:rPr>
        <w:t>Mechanisms</w:t>
      </w:r>
    </w:p>
    <w:p>
      <w:pPr>
        <w:pStyle w:val="ListBullet"/>
      </w:pPr>
      <w:r>
        <w:t>Applicable mechanism IDs: A1, A2, A12, A15, A21</w:t>
      </w:r>
    </w:p>
    <w:p>
      <w:pPr>
        <w:pStyle w:val="Heading2"/>
      </w:pPr>
      <w:r>
        <w:rPr>
          <w:color w:val="000000"/>
        </w:rPr>
        <w:t>Features</w:t>
      </w:r>
    </w:p>
    <w:p>
      <w:pPr>
        <w:pStyle w:val="ListBullet"/>
      </w:pPr>
      <w:r>
        <w:t>Target analysis with exon picking from Ensembl transcript data</w:t>
      </w:r>
    </w:p>
    <w:p>
      <w:pPr>
        <w:pStyle w:val="ListBullet"/>
      </w:pPr>
      <w:r>
        <w:t>Total transcript knockdown or selected exon targeting</w:t>
      </w:r>
    </w:p>
    <w:p>
      <w:pPr>
        <w:pStyle w:val="ListBullet"/>
      </w:pPr>
      <w:r>
        <w:t>ASO design parameter form (length, chemistry, modifications, delivery context)</w:t>
      </w:r>
    </w:p>
    <w:p>
      <w:pPr>
        <w:pStyle w:val="ListBullet"/>
      </w:pPr>
      <w:r>
        <w:t>Candidate generation with real biophysical metrics (ViennaRNA, primer3)</w:t>
      </w:r>
    </w:p>
    <w:p>
      <w:pPr>
        <w:pStyle w:val="ListBullet"/>
      </w:pPr>
      <w:r>
        <w:t>Export to CSV, TSV, JSON, FASTA, text/HTML reports</w:t>
      </w:r>
    </w:p>
    <w:p>
      <w:pPr>
        <w:pStyle w:val="ListBullet"/>
      </w:pPr>
      <w:r>
        <w:t>Email report functionality</w:t>
      </w:r>
    </w:p>
    <w:p>
      <w:pPr>
        <w:pStyle w:val="Heading2"/>
      </w:pPr>
      <w:r>
        <w:rPr>
          <w:color w:val="000000"/>
        </w:rPr>
        <w:t>Rules / Logic</w:t>
      </w:r>
    </w:p>
    <w:p>
      <w:pPr>
        <w:pStyle w:val="ListBullet"/>
      </w:pPr>
      <w:r>
        <w:t>Defect types: gain_of_function, overexpression, mirna_dysregulation, viral_toxic_rna</w:t>
      </w:r>
    </w:p>
    <w:p>
      <w:pPr>
        <w:pStyle w:val="ListBullet"/>
      </w:pPr>
      <w:r>
        <w:t>Silencing scope: total_knockdown, allele_specific</w:t>
      </w:r>
    </w:p>
    <w:p>
      <w:pPr>
        <w:pStyle w:val="ListBullet"/>
      </w:pPr>
      <w:r>
        <w:t>Defect compatibility: A1→{gain_of_function, viral_toxic_rna}, A2→{gain_of_function, viral_toxic_rna}, A12→{mirna_dysregulation}, A15→{overexpression}, A21→{gain_of_function, overexpression, viral_toxic_rna}</w:t>
      </w:r>
    </w:p>
    <w:p>
      <w:pPr>
        <w:pStyle w:val="ListBullet"/>
      </w:pPr>
      <w:r>
        <w:t>Scope compatibility: A1/A21→{total_knockdown, allele_specific}; A2/A12/A15→{total_knockdown}</w:t>
      </w:r>
    </w:p>
    <w:p>
      <w:pPr>
        <w:pStyle w:val="ListBullet"/>
      </w:pPr>
      <w:r>
        <w:t>Mechanism constraints: A2 targets 5′ translation-initiation region; A21 forces 21-nt siRNA duplex; A12/A15 cannot design from CDS alone</w:t>
      </w:r>
    </w:p>
    <w:p>
      <w:pPr>
        <w:pStyle w:val="ListBullet"/>
      </w:pPr>
      <w:r>
        <w:t>Allele-specific scoring: Variant overlap candidate binding window</w:t>
      </w:r>
    </w:p>
    <w:p>
      <w:pPr>
        <w:pStyle w:val="ListBullet"/>
      </w:pPr>
      <w:r>
        <w:t>Tissue-specific scoring: Liver, CNS, muscle, eye etc. with chemistry-tissue interaction bonuses</w:t>
      </w:r>
    </w:p>
    <w:p>
      <w:pPr>
        <w:pStyle w:val="Heading2"/>
      </w:pPr>
      <w:r>
        <w:rPr>
          <w:color w:val="000000"/>
        </w:rPr>
        <w:t>Option Selection Parameters</w:t>
      </w:r>
    </w:p>
    <w:p>
      <w:pPr>
        <w:pStyle w:val="ListBullet"/>
      </w:pPr>
      <w:r>
        <w:t>defectType (required)</w:t>
      </w:r>
    </w:p>
    <w:p>
      <w:pPr>
        <w:pStyle w:val="ListBullet"/>
      </w:pPr>
      <w:r>
        <w:t>silencingScope (required)</w:t>
      </w:r>
    </w:p>
    <w:p>
      <w:pPr>
        <w:pStyle w:val="ListBullet"/>
      </w:pPr>
      <w:r>
        <w:t>deliveryContext (optional, soft tie-breaker)</w:t>
      </w:r>
    </w:p>
    <w:p>
      <w:pPr>
        <w:pStyle w:val="ListBullet"/>
      </w:pPr>
      <w:r>
        <w:t>knownVariant (optional)</w:t>
      </w:r>
    </w:p>
    <w:p>
      <w:pPr>
        <w:pStyle w:val="ListBullet"/>
      </w:pPr>
      <w:r>
        <w:t>asoLength (12–30, default 18)</w:t>
      </w:r>
    </w:p>
    <w:p>
      <w:pPr>
        <w:pStyle w:val="ListBullet"/>
      </w:pPr>
      <w:r>
        <w:t>chemistry (gapmer, pmo, lna_gapmer, 2ome, sirna)</w:t>
      </w:r>
    </w:p>
    <w:p>
      <w:pPr>
        <w:pStyle w:val="ListBullet"/>
      </w:pPr>
      <w:r>
        <w:t>selectedMods (phosphorothioate, lna_wings, 2omemod, pmo_core, pna_clamp)</w:t>
      </w:r>
    </w:p>
    <w:p>
      <w:pPr>
        <w:pStyle w:val="ListBullet"/>
      </w:pPr>
      <w:r>
        <w:t>targetExonIndices (array or null for total knockdown)</w:t>
      </w:r>
    </w:p>
    <w:p>
      <w:pPr>
        <w:pStyle w:val="Heading2"/>
      </w:pPr>
      <w:r>
        <w:rPr>
          <w:color w:val="000000"/>
        </w:rPr>
        <w:t>Results / Metrics</w:t>
      </w:r>
    </w:p>
    <w:p>
      <w:pPr>
        <w:pStyle w:val="ListBullet"/>
      </w:pPr>
      <w:r>
        <w:t>Candidates ranked by target duplex free energy (ΔG, kcal/mol)</w:t>
      </w:r>
    </w:p>
    <w:p>
      <w:pPr>
        <w:pStyle w:val="ListBullet"/>
      </w:pPr>
      <w:r>
        <w:t>Per-candidate: sequence, length, GC%, Tm, self-structure MFE, duplex energy, target region, chemistry, modifications, exon number, CpG count, purine content, complexity, molecular weight, extinction coefficient</w:t>
      </w:r>
    </w:p>
    <w:p>
      <w:pPr>
        <w:pStyle w:val="ListBullet"/>
      </w:pPr>
      <w:r>
        <w:t>Drug-like estimates: nuclease resistance (0–100), cellular uptake (0–100), BBB crossing (0–100), synthesis difficulty (0–100), off-target risk (0–100), immune stimulation (0–100), duplex stability category</w:t>
      </w:r>
    </w:p>
    <w:p>
      <w:pPr>
        <w:pStyle w:val="ListBullet"/>
      </w:pPr>
      <w:r>
        <w:t>Mechanism notes per candidate</w:t>
      </w:r>
    </w:p>
    <w:p>
      <w:pPr>
        <w:pStyle w:val="ListBullet"/>
      </w:pPr>
      <w:r>
        <w:t>Summary stats: candidate count, target exons, mechanism ID, chemistry, ASO length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