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TG03: RNA Editing / Correction</w:t>
      </w:r>
    </w:p>
    <w:p>
      <w:r>
        <w:t>Description: Repair pathogenic RNA sequences or correct disease-causing RNA alterations without modifying genomic DNA.</w:t>
      </w:r>
    </w:p>
    <w:p>
      <w:pPr>
        <w:pStyle w:val="Heading2"/>
      </w:pPr>
      <w:r>
        <w:rPr>
          <w:color w:val="000000"/>
        </w:rPr>
        <w:t>Mechanisms</w:t>
      </w:r>
    </w:p>
    <w:p>
      <w:pPr>
        <w:pStyle w:val="ListBullet"/>
      </w:pPr>
      <w:r>
        <w:t>Applicable mechanism IDs: A13, A16, A17, A18, A19, A20</w:t>
      </w:r>
    </w:p>
    <w:p>
      <w:pPr>
        <w:pStyle w:val="Heading2"/>
      </w:pPr>
      <w:r>
        <w:rPr>
          <w:color w:val="000000"/>
        </w:rPr>
        <w:t>Features</w:t>
      </w:r>
    </w:p>
    <w:p>
      <w:pPr>
        <w:pStyle w:val="ListBullet"/>
      </w:pPr>
      <w:r>
        <w:t>Edit type selection (A-to-I, C-to-U, Trans-Splicing)</w:t>
      </w:r>
    </w:p>
    <w:p>
      <w:pPr>
        <w:pStyle w:val="ListBullet"/>
      </w:pPr>
      <w:r>
        <w:t>Target variant (HGVS) input with ClinVar variant integration</w:t>
      </w:r>
    </w:p>
    <w:p>
      <w:pPr>
        <w:pStyle w:val="ListBullet"/>
      </w:pPr>
      <w:r>
        <w:t>Guide RNA design parameters</w:t>
      </w:r>
    </w:p>
    <w:p>
      <w:pPr>
        <w:pStyle w:val="ListBullet"/>
      </w:pPr>
      <w:r>
        <w:t>SMaRT-specific splice junction targeting</w:t>
      </w:r>
    </w:p>
    <w:p>
      <w:pPr>
        <w:pStyle w:val="ListBullet"/>
      </w:pPr>
      <w:r>
        <w:t>Export to CSV, JSON, FASTA, text report</w:t>
      </w:r>
    </w:p>
    <w:p>
      <w:pPr>
        <w:pStyle w:val="Heading2"/>
      </w:pPr>
      <w:r>
        <w:rPr>
          <w:color w:val="000000"/>
        </w:rPr>
        <w:t>Rules / Logic</w:t>
      </w:r>
    </w:p>
    <w:p>
      <w:pPr>
        <w:pStyle w:val="ListBullet"/>
      </w:pPr>
      <w:r>
        <w:t>Edit types: a_to_i, c_to_u, trans_splicing</w:t>
      </w:r>
    </w:p>
    <w:p>
      <w:pPr>
        <w:pStyle w:val="ListBullet"/>
      </w:pPr>
      <w:r>
        <w:t>Edit type → mechanism mapping: a_to_i→[A13, A17, A18, A19]; c_to_u→[A16]; trans_splicing→[A20]</w:t>
      </w:r>
    </w:p>
    <w:p>
      <w:pPr>
        <w:pStyle w:val="ListBullet"/>
      </w:pPr>
      <w:r>
        <w:t>Enzyme recruitment: adar1, adar2, exogenous_deaminase</w:t>
      </w:r>
    </w:p>
    <w:p>
      <w:pPr>
        <w:pStyle w:val="ListBullet"/>
      </w:pPr>
      <w:r>
        <w:t>Mismatch pocket: c (A-C mismatch — high efficiency), g, u</w:t>
      </w:r>
    </w:p>
    <w:p>
      <w:pPr>
        <w:pStyle w:val="ListBullet"/>
      </w:pPr>
      <w:r>
        <w:t>Splicing directions: three_prime, five_prime</w:t>
      </w:r>
    </w:p>
    <w:p>
      <w:pPr>
        <w:pStyle w:val="ListBullet"/>
      </w:pPr>
      <w:r>
        <w:t>Exclusion rules: Whole-gene deletion → all mechanisms ineligible (redirect to TG08); A-to-I suppressed when mutant base is not adenosine; C-to-U suppressed when mutant base is not cytidine; SMaRT suppressed for single-exon/intronless genes</w:t>
      </w:r>
    </w:p>
    <w:p>
      <w:pPr>
        <w:pStyle w:val="ListBullet"/>
      </w:pPr>
      <w:r>
        <w:t>Enzyme tissue precedent: ADAR1→{liver:2, systemic:2}; ADAR2→{cns:2, ocular:2}</w:t>
      </w:r>
    </w:p>
    <w:p>
      <w:pPr>
        <w:pStyle w:val="ListBullet"/>
      </w:pPr>
      <w:r>
        <w:t>SMaRT-specific: splice site strength scoring, binding domain scoring, spliceosome compatibility scoring, splicing efficiency prediction</w:t>
      </w:r>
    </w:p>
    <w:p>
      <w:pPr>
        <w:pStyle w:val="Heading2"/>
      </w:pPr>
      <w:r>
        <w:rPr>
          <w:color w:val="000000"/>
        </w:rPr>
        <w:t>Option Selection Parameters</w:t>
      </w:r>
    </w:p>
    <w:p>
      <w:pPr>
        <w:pStyle w:val="ListBullet"/>
      </w:pPr>
      <w:r>
        <w:t>editType (required)</w:t>
      </w:r>
    </w:p>
    <w:p>
      <w:pPr>
        <w:pStyle w:val="ListBullet"/>
      </w:pPr>
      <w:r>
        <w:t>variantHgvs (required)</w:t>
      </w:r>
    </w:p>
    <w:p>
      <w:pPr>
        <w:pStyle w:val="ListBullet"/>
      </w:pPr>
      <w:r>
        <w:t>enzymeRecruitment (optional)</w:t>
      </w:r>
    </w:p>
    <w:p>
      <w:pPr>
        <w:pStyle w:val="ListBullet"/>
      </w:pPr>
      <w:r>
        <w:t>deliveryContext (optional)</w:t>
      </w:r>
    </w:p>
    <w:p>
      <w:pPr>
        <w:pStyle w:val="ListBullet"/>
      </w:pPr>
      <w:r>
        <w:t>guideLength (30–120, default 71)</w:t>
      </w:r>
    </w:p>
    <w:p>
      <w:pPr>
        <w:pStyle w:val="ListBullet"/>
      </w:pPr>
      <w:r>
        <w:t>mismatchPocket (optional, default c)</w:t>
      </w:r>
    </w:p>
    <w:p>
      <w:pPr>
        <w:pStyle w:val="ListBullet"/>
      </w:pPr>
      <w:r>
        <w:t>maxBystanderEdits (optional, default 0)</w:t>
      </w:r>
    </w:p>
    <w:p>
      <w:pPr>
        <w:pStyle w:val="ListBullet"/>
      </w:pPr>
      <w:r>
        <w:t>splicingDirection (for trans_splicing)</w:t>
      </w:r>
    </w:p>
    <w:p>
      <w:pPr>
        <w:pStyle w:val="ListBullet"/>
      </w:pPr>
      <w:r>
        <w:t>intronSite (optional)</w:t>
      </w:r>
    </w:p>
    <w:p>
      <w:pPr>
        <w:pStyle w:val="ListBullet"/>
      </w:pPr>
      <w:r>
        <w:t>abdLength (for trans_splicing, default 150)</w:t>
      </w:r>
    </w:p>
    <w:p>
      <w:pPr>
        <w:pStyle w:val="ListBullet"/>
      </w:pPr>
      <w:r>
        <w:t>chemistry (2ome_ps, moe_ps, stereopure_ps)</w:t>
      </w:r>
    </w:p>
    <w:p>
      <w:pPr>
        <w:pStyle w:val="ListBullet"/>
      </w:pPr>
      <w:r>
        <w:t>selectedMods (phosphorothioate, 2ome_wings, lna_wings)</w:t>
      </w:r>
    </w:p>
    <w:p>
      <w:pPr>
        <w:pStyle w:val="Heading2"/>
      </w:pPr>
      <w:r>
        <w:rPr>
          <w:color w:val="000000"/>
        </w:rPr>
        <w:t>Results / Metrics</w:t>
      </w:r>
    </w:p>
    <w:p>
      <w:pPr>
        <w:pStyle w:val="ListBullet"/>
      </w:pPr>
      <w:r>
        <w:t>Candidates ranked by quality score (0–100)</w:t>
      </w:r>
    </w:p>
    <w:p>
      <w:pPr>
        <w:pStyle w:val="ListBullet"/>
      </w:pPr>
      <w:r>
        <w:t>Per-candidate: sequence, guide length, target base pair, melting temp, adjusted Tm, GC%, GC score, Tm score, self-structure MFE, target duplex energy, nuclease resistance, on-target edit score, bystander risk count, ADAR recruitment score, poly-G tracts, CpG count, homopolymer runs, purine content, complexity, GC skew, molecular weight, extinction coefficient</w:t>
      </w:r>
    </w:p>
    <w:p>
      <w:pPr>
        <w:pStyle w:val="ListBullet"/>
      </w:pPr>
      <w:r>
        <w:t>SMaRT-specific: spliceSiteScore, bindingDomainScore, spliceCompatibilityScore, chemistryModificationScore, splicingEfficiencyScore, spliceosomeRecruitmentScore, splicingDirection, ABD length, splice junction position</w:t>
      </w:r>
    </w:p>
    <w:p>
      <w:pPr>
        <w:pStyle w:val="ListBullet"/>
      </w:pPr>
      <w:r>
        <w:t>Mechanism notes per candidate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