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TG04: RNA Processing Modulation</w:t>
      </w:r>
    </w:p>
    <w:p>
      <w:r>
        <w:t>Description: Modify RNA maturation, including splicing, polyadenylation, transcript processing, and RNA stability.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A7, A8, A9, A10, A11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Splice defect type selection</w:t>
      </w:r>
    </w:p>
    <w:p>
      <w:pPr>
        <w:pStyle w:val="ListBullet"/>
      </w:pPr>
      <w:r>
        <w:t>Target exon input</w:t>
      </w:r>
    </w:p>
    <w:p>
      <w:pPr>
        <w:pStyle w:val="ListBullet"/>
      </w:pPr>
      <w:r>
        <w:t>Delivery context selection</w:t>
      </w:r>
    </w:p>
    <w:p>
      <w:pPr>
        <w:pStyle w:val="ListBullet"/>
      </w:pPr>
      <w:r>
        <w:t>Known variant input</w:t>
      </w:r>
    </w:p>
    <w:p>
      <w:pPr>
        <w:pStyle w:val="ListBullet"/>
      </w:pPr>
      <w:r>
        <w:t>Mechanism ranking with eligibility based on defect type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Splice defect types: exon_skipping_mutation, exon_inclusion_defect, cryptic_splice_site, pseudoexon_activation, apa_dysregulation</w:t>
      </w:r>
    </w:p>
    <w:p>
      <w:pPr>
        <w:pStyle w:val="ListBullet"/>
      </w:pPr>
      <w:r>
        <w:t>Defect compatibility: A7→{exon_skipping_mutation}, A8→{exon_inclusion_defect}, A9→{pseudoexon_activation}, A10→{cryptic_splice_site}, A11→{apa_dysregulation}</w:t>
      </w:r>
    </w:p>
    <w:p>
      <w:pPr>
        <w:pStyle w:val="ListBullet"/>
      </w:pPr>
      <w:r>
        <w:t>Exon bonus: +3 when mechanism targets exon-adjacent splice elements and user provides target exon</w:t>
      </w:r>
    </w:p>
    <w:p>
      <w:pPr>
        <w:pStyle w:val="ListBullet"/>
      </w:pPr>
      <w:r>
        <w:t>Delivery precedent scoring: Soft tie-breaker</w:t>
      </w:r>
    </w:p>
    <w:p>
      <w:pPr>
        <w:pStyle w:val="ListBullet"/>
      </w:pPr>
      <w:r>
        <w:t>Variant keyword hit bonus: +2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spliceDefectType (required)</w:t>
      </w:r>
    </w:p>
    <w:p>
      <w:pPr>
        <w:pStyle w:val="ListBullet"/>
      </w:pPr>
      <w:r>
        <w:t>targetExon (optional)</w:t>
      </w:r>
    </w:p>
    <w:p>
      <w:pPr>
        <w:pStyle w:val="ListBullet"/>
      </w:pPr>
      <w:r>
        <w:t>deliveryContext (optional)</w:t>
      </w:r>
    </w:p>
    <w:p>
      <w:pPr>
        <w:pStyle w:val="ListBullet"/>
      </w:pPr>
      <w:r>
        <w:t>knownVariant (optional)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Ranked mechanism list with eligibility, score, rationale</w:t>
      </w:r>
    </w:p>
    <w:p>
      <w:pPr>
        <w:pStyle w:val="ListBullet"/>
      </w:pPr>
      <w:r>
        <w:t>Per-mechanism: evidence level, FDA-approved drugs, clinical trial examples, suitable variant types, RNA target region, ASO chemistry, design rules, scoring, advantages, limitations, off-target considerations,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