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0000"/>
        </w:rPr>
        <w:t>TG05: RNA Neutralization</w:t>
      </w:r>
    </w:p>
    <w:p>
      <w:r>
        <w:t>Description: Neutralize toxic RNA molecules or block pathogenic RNA–protein interactions without necessarily degrading the RNA.</w:t>
      </w:r>
    </w:p>
    <w:p>
      <w:pPr>
        <w:pStyle w:val="Heading2"/>
      </w:pPr>
      <w:r>
        <w:rPr>
          <w:color w:val="000000"/>
        </w:rPr>
        <w:t>Mechanisms</w:t>
      </w:r>
    </w:p>
    <w:p>
      <w:pPr>
        <w:pStyle w:val="ListBullet"/>
      </w:pPr>
      <w:r>
        <w:t>Applicable mechanism IDs: A12, A14, A25</w:t>
      </w:r>
    </w:p>
    <w:p>
      <w:pPr>
        <w:pStyle w:val="Heading2"/>
      </w:pPr>
      <w:r>
        <w:rPr>
          <w:color w:val="000000"/>
        </w:rPr>
        <w:t>Features</w:t>
      </w:r>
    </w:p>
    <w:p>
      <w:pPr>
        <w:pStyle w:val="ListBullet"/>
      </w:pPr>
      <w:r>
        <w:t>Molecular defect and neutralization mode selection</w:t>
      </w:r>
    </w:p>
    <w:p>
      <w:pPr>
        <w:pStyle w:val="ListBullet"/>
      </w:pPr>
      <w:r>
        <w:t>Repeat unit input with known pathogenic repeat reference</w:t>
      </w:r>
    </w:p>
    <w:p>
      <w:pPr>
        <w:pStyle w:val="ListBullet"/>
      </w:pPr>
      <w:r>
        <w:t>Steric chemistry selection</w:t>
      </w:r>
    </w:p>
    <w:p>
      <w:pPr>
        <w:pStyle w:val="ListBullet"/>
      </w:pPr>
      <w:r>
        <w:t>Target RBP specification</w:t>
      </w:r>
    </w:p>
    <w:p>
      <w:pPr>
        <w:pStyle w:val="ListBullet"/>
      </w:pPr>
      <w:r>
        <w:t>Interactive repeat masking map</w:t>
      </w:r>
    </w:p>
    <w:p>
      <w:pPr>
        <w:pStyle w:val="ListBullet"/>
      </w:pPr>
      <w:r>
        <w:t>Candidate oligo ranking table</w:t>
      </w:r>
    </w:p>
    <w:p>
      <w:pPr>
        <w:pStyle w:val="ListBullet"/>
      </w:pPr>
      <w:r>
        <w:t>Design pipeline with inspection and finalization</w:t>
      </w:r>
    </w:p>
    <w:p>
      <w:pPr>
        <w:pStyle w:val="Heading2"/>
      </w:pPr>
      <w:r>
        <w:rPr>
          <w:color w:val="000000"/>
        </w:rPr>
        <w:t>Rules / Logic</w:t>
      </w:r>
    </w:p>
    <w:p>
      <w:pPr>
        <w:pStyle w:val="ListBullet"/>
      </w:pPr>
      <w:r>
        <w:t>Neutralization modes: steric_repeat_masking, microrna_antagomir, aptamer_decoy</w:t>
      </w:r>
    </w:p>
    <w:p>
      <w:pPr>
        <w:pStyle w:val="ListBullet"/>
      </w:pPr>
      <w:r>
        <w:t>Molecular defect types: toxic_rna_gain_of_function, rbp_sequestration, pathogenic_mirna, loss_of_function</w:t>
      </w:r>
    </w:p>
    <w:p>
      <w:pPr>
        <w:pStyle w:val="ListBullet"/>
      </w:pPr>
      <w:r>
        <w:t>Mode → mechanism mapping: steric_repeat_masking→[A14], microrna_antagomir→[A12], aptamer_decoy→[A25]</w:t>
      </w:r>
    </w:p>
    <w:p>
      <w:pPr>
        <w:pStyle w:val="ListBullet"/>
      </w:pPr>
      <w:r>
        <w:t>Exclusion rules: Pure loss-of-function → all TG05 mechanisms ineligible (redirect to TG02/TG08); Steric repeat masking suppressed for invalid repeat units or repeat count &lt; 30; Antagomir suppressed when target is protein-coding mRNA</w:t>
      </w:r>
    </w:p>
    <w:p>
      <w:pPr>
        <w:pStyle w:val="ListBullet"/>
      </w:pPr>
      <w:r>
        <w:t>Known repeat units: CUG/CTG (DMPK), CAG (polyglutamine), GGGGCC/G4C2 (C9orf72), CCUG (CNBP), CGG (FMR1/FXN), GAA (FXN), TTC (FXN) — soft bonus only</w:t>
      </w:r>
    </w:p>
    <w:p>
      <w:pPr>
        <w:pStyle w:val="ListBullet"/>
      </w:pPr>
      <w:r>
        <w:t>Design-fit bonuses: PMO chemistry, target RBP specification, oligo length 15–25 nt</w:t>
      </w:r>
    </w:p>
    <w:p>
      <w:pPr>
        <w:pStyle w:val="Heading2"/>
      </w:pPr>
      <w:r>
        <w:rPr>
          <w:color w:val="000000"/>
        </w:rPr>
        <w:t>Option Selection Parameters</w:t>
      </w:r>
    </w:p>
    <w:p>
      <w:pPr>
        <w:pStyle w:val="ListBullet"/>
      </w:pPr>
      <w:r>
        <w:t>molecularDefect (required)</w:t>
      </w:r>
    </w:p>
    <w:p>
      <w:pPr>
        <w:pStyle w:val="ListBullet"/>
      </w:pPr>
      <w:r>
        <w:t>neutralizationMode (required)</w:t>
      </w:r>
    </w:p>
    <w:p>
      <w:pPr>
        <w:pStyle w:val="ListBullet"/>
      </w:pPr>
      <w:r>
        <w:t>repeatUnit (optional)</w:t>
      </w:r>
    </w:p>
    <w:p>
      <w:pPr>
        <w:pStyle w:val="ListBullet"/>
      </w:pPr>
      <w:r>
        <w:t>estimatedRepeatCount (optional)</w:t>
      </w:r>
    </w:p>
    <w:p>
      <w:pPr>
        <w:pStyle w:val="ListBullet"/>
      </w:pPr>
      <w:r>
        <w:t>stericChemistry (optional, pmo/moe_full_ps/lna_dna_mixmer)</w:t>
      </w:r>
    </w:p>
    <w:p>
      <w:pPr>
        <w:pStyle w:val="ListBullet"/>
      </w:pPr>
      <w:r>
        <w:t>targetRbp (optional)</w:t>
      </w:r>
    </w:p>
    <w:p>
      <w:pPr>
        <w:pStyle w:val="ListBullet"/>
      </w:pPr>
      <w:r>
        <w:t>oligoLength (optional)</w:t>
      </w:r>
    </w:p>
    <w:p>
      <w:pPr>
        <w:pStyle w:val="ListBullet"/>
      </w:pPr>
      <w:r>
        <w:t>deliveryContext (optional)</w:t>
      </w:r>
    </w:p>
    <w:p>
      <w:pPr>
        <w:pStyle w:val="ListBullet"/>
      </w:pPr>
      <w:r>
        <w:t>targetGeneType (optional)</w:t>
      </w:r>
    </w:p>
    <w:p>
      <w:pPr>
        <w:pStyle w:val="Heading2"/>
      </w:pPr>
      <w:r>
        <w:rPr>
          <w:color w:val="000000"/>
        </w:rPr>
        <w:t>Results / Metrics</w:t>
      </w:r>
    </w:p>
    <w:p>
      <w:pPr>
        <w:pStyle w:val="ListBullet"/>
      </w:pPr>
      <w:r>
        <w:t>RBP displacement score (0–100)</w:t>
      </w:r>
    </w:p>
    <w:p>
      <w:pPr>
        <w:pStyle w:val="ListBullet"/>
      </w:pPr>
      <w:r>
        <w:t>Duplex ΔG (top candidate)</w:t>
      </w:r>
    </w:p>
    <w:p>
      <w:pPr>
        <w:pStyle w:val="ListBullet"/>
      </w:pPr>
      <w:r>
        <w:t>Off-target gene repeats count</w:t>
      </w:r>
    </w:p>
    <w:p>
      <w:pPr>
        <w:pStyle w:val="ListBullet"/>
      </w:pPr>
      <w:r>
        <w:t>Tiling pattern, chemistry, Tm, ΔG, RBP displacement per candidate</w:t>
      </w:r>
    </w:p>
    <w:p>
      <w:pPr>
        <w:pStyle w:val="ListBullet"/>
      </w:pPr>
      <w:r>
        <w:t>Interactive repeat masking map visualization</w:t>
      </w:r>
    </w:p>
    <w:p>
      <w:pPr>
        <w:pStyle w:val="ListBullet"/>
      </w:pPr>
      <w:r>
        <w:t>Candidates ranked by RBP displacement potential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