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TG07: Isoform Engineering</w:t>
      </w:r>
    </w:p>
    <w:p>
      <w:r>
        <w:t>Description: Generate therapeutically beneficial transcript or protein isoforms by modifying RNA processing or transcript architecture.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A7, A8, A9, A10, A11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Isoform goal selection (exon skipping, exon inclusion, intron retention, alternative splice site, mutually exclusive exon switch)</w:t>
      </w:r>
    </w:p>
    <w:p>
      <w:pPr>
        <w:pStyle w:val="ListBullet"/>
      </w:pPr>
      <w:r>
        <w:t>Target exon locus selection</w:t>
      </w:r>
    </w:p>
    <w:p>
      <w:pPr>
        <w:pStyle w:val="ListBullet"/>
      </w:pPr>
      <w:r>
        <w:t>Splice element target selection</w:t>
      </w:r>
    </w:p>
    <w:p>
      <w:pPr>
        <w:pStyle w:val="ListBullet"/>
      </w:pPr>
      <w:r>
        <w:t>Steric chemistry selection</w:t>
      </w:r>
    </w:p>
    <w:p>
      <w:pPr>
        <w:pStyle w:val="ListBullet"/>
      </w:pPr>
      <w:r>
        <w:t>Enforce in-frame splicing toggle</w:t>
      </w:r>
    </w:p>
    <w:p>
      <w:pPr>
        <w:pStyle w:val="ListBullet"/>
      </w:pPr>
      <w:r>
        <w:t>Candidate construct table with inspection</w:t>
      </w:r>
    </w:p>
    <w:p>
      <w:pPr>
        <w:pStyle w:val="ListBullet"/>
      </w:pPr>
      <w:r>
        <w:t>Full transcript feature map</w:t>
      </w:r>
    </w:p>
    <w:p>
      <w:pPr>
        <w:pStyle w:val="ListBullet"/>
      </w:pPr>
      <w:r>
        <w:t>Diagnostics (amino acid identity, splice site score, TLR risk, 5′ UTR hairpin)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Isoform goals: exon_skipping, exon_inclusion, intron_retention, alternative_splice_site, mutually_exclusive_exon</w:t>
      </w:r>
    </w:p>
    <w:p>
      <w:pPr>
        <w:pStyle w:val="ListBullet"/>
      </w:pPr>
      <w:r>
        <w:t>Target exon loci: exon_7, exon_23, exon_51, exon_45, custom</w:t>
      </w:r>
    </w:p>
    <w:p>
      <w:pPr>
        <w:pStyle w:val="ListBullet"/>
      </w:pPr>
      <w:r>
        <w:t>Splice element targets: splice_donor, splice_acceptor, exonic_splicing_enhancer, exonic_splicing_silencer, intronic_splicing_enhancer, intronic_splicing_silencer</w:t>
      </w:r>
    </w:p>
    <w:p>
      <w:pPr>
        <w:pStyle w:val="ListBullet"/>
      </w:pPr>
      <w:r>
        <w:t>Steric chemistries: gapmer, lnai, fully_modified, pna</w:t>
      </w:r>
    </w:p>
    <w:p>
      <w:pPr>
        <w:pStyle w:val="ListBullet"/>
      </w:pPr>
      <w:r>
        <w:t>In-frame enforcement: Toggle ensures reading frame preservation</w:t>
      </w:r>
    </w:p>
    <w:p>
      <w:pPr>
        <w:pStyle w:val="ListBullet"/>
      </w:pPr>
      <w:r>
        <w:t>Mechanism-specific design notes: From rulebook A7/A8/A9/A10/A11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targetSymbol (gene symbol)</w:t>
      </w:r>
    </w:p>
    <w:p>
      <w:pPr>
        <w:pStyle w:val="ListBullet"/>
      </w:pPr>
      <w:r>
        <w:t>isoformGoal (required)</w:t>
      </w:r>
    </w:p>
    <w:p>
      <w:pPr>
        <w:pStyle w:val="ListBullet"/>
      </w:pPr>
      <w:r>
        <w:t>targetExonLocus (required)</w:t>
      </w:r>
    </w:p>
    <w:p>
      <w:pPr>
        <w:pStyle w:val="ListBullet"/>
      </w:pPr>
      <w:r>
        <w:t>spliceElementTarget (required)</w:t>
      </w:r>
    </w:p>
    <w:p>
      <w:pPr>
        <w:pStyle w:val="ListBullet"/>
      </w:pPr>
      <w:r>
        <w:t>stericChemistry (required)</w:t>
      </w:r>
    </w:p>
    <w:p>
      <w:pPr>
        <w:pStyle w:val="ListBullet"/>
      </w:pPr>
      <w:r>
        <w:t>enforceInFrame (boolean, default true)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Header overview: target gene, refSeq, native length, selected isoform goal, CAI, U%, predicted half-life, primary mechanism, expression feasibility score (0–100)</w:t>
      </w:r>
    </w:p>
    <w:p>
      <w:pPr>
        <w:pStyle w:val="ListBullet"/>
      </w:pPr>
      <w:r>
        <w:t>Candidate table: rank, construct ID, modality, CAI, U%, MFE, splice %, isoform yield, TLR risk, in-frame status, secondary structure flag</w:t>
      </w:r>
    </w:p>
    <w:p>
      <w:pPr>
        <w:pStyle w:val="ListBullet"/>
      </w:pPr>
      <w:r>
        <w:t>Inspection: full transcript feature map, construct sequence, amino acid identity (%), splice site score, TLR3/7/8 risk, 5′ UTR hairpin status (PASSED/FAILED)</w:t>
      </w:r>
    </w:p>
    <w:p>
      <w:pPr>
        <w:pStyle w:val="ListBullet"/>
      </w:pPr>
      <w:r>
        <w:t>Export to FASTA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