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TG08: Protein Replacement</w:t>
      </w:r>
    </w:p>
    <w:p>
      <w:r>
        <w:t>Description: Restore protein function by delivering therapeutic RNA molecules that encode the missing or defective protein.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A19, A20, A21, A24, A26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RNA modality selection (linear IVT mRNA, circRNA, saRNA, all modalities comparative)</w:t>
      </w:r>
    </w:p>
    <w:p>
      <w:pPr>
        <w:pStyle w:val="ListBullet"/>
      </w:pPr>
      <w:r>
        <w:t>Codon optimization strategy (CAI maxima, MFE optimization, uridine depletion)</w:t>
      </w:r>
    </w:p>
    <w:p>
      <w:pPr>
        <w:pStyle w:val="ListBullet"/>
      </w:pPr>
      <w:r>
        <w:t>UTR pair selection (β-Globin/α-Globin, C3/CYP2E1, synthetic ML-engineered)</w:t>
      </w:r>
    </w:p>
    <w:p>
      <w:pPr>
        <w:pStyle w:val="ListBullet"/>
      </w:pPr>
      <w:r>
        <w:t>IRES selection (circRNA only)</w:t>
      </w:r>
    </w:p>
    <w:p>
      <w:pPr>
        <w:pStyle w:val="ListBullet"/>
      </w:pPr>
      <w:r>
        <w:t>Nucleotide chemical modification selection</w:t>
      </w:r>
    </w:p>
    <w:p>
      <w:pPr>
        <w:pStyle w:val="ListBullet"/>
      </w:pPr>
      <w:r>
        <w:t>Candidate construct table with inspection</w:t>
      </w:r>
    </w:p>
    <w:p>
      <w:pPr>
        <w:pStyle w:val="ListBullet"/>
      </w:pPr>
      <w:r>
        <w:t>Full construct schematic with feature map</w:t>
      </w:r>
    </w:p>
    <w:p>
      <w:pPr>
        <w:pStyle w:val="ListBullet"/>
      </w:pPr>
      <w:r>
        <w:t>Amino acid validation, TLR risk assessment, secondary structure validation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RNA modalities: linear, circrna, sarna, any</w:t>
      </w:r>
    </w:p>
    <w:p>
      <w:pPr>
        <w:pStyle w:val="ListBullet"/>
      </w:pPr>
      <w:r>
        <w:t>Codon strategies: cai, mfe, uridine</w:t>
      </w:r>
    </w:p>
    <w:p>
      <w:pPr>
        <w:pStyle w:val="ListBullet"/>
      </w:pPr>
      <w:r>
        <w:t>UTR pairs: globin, c3, synthetic</w:t>
      </w:r>
    </w:p>
    <w:p>
      <w:pPr>
        <w:pStyle w:val="ListBullet"/>
      </w:pPr>
      <w:r>
        <w:t>IRES selections: cvb3, ev71, m6a (circRNA only)</w:t>
      </w:r>
    </w:p>
    <w:p>
      <w:pPr>
        <w:pStyle w:val="ListBullet"/>
      </w:pPr>
      <w:r>
        <w:t>Nucleotide modifications: m1psi, 5mc_psi, unmodified</w:t>
      </w:r>
    </w:p>
    <w:p>
      <w:pPr>
        <w:pStyle w:val="ListBullet"/>
      </w:pPr>
      <w:r>
        <w:t>Form validation: All fields required except IRES (only for circRNA)</w:t>
      </w:r>
    </w:p>
    <w:p>
      <w:pPr>
        <w:pStyle w:val="ListBullet"/>
      </w:pPr>
      <w:r>
        <w:t>Mechanism assignment: A19 for linear, A20/A21 for circRNA/saRNA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targetSymbol (gene symbol, required)</w:t>
      </w:r>
    </w:p>
    <w:p>
      <w:pPr>
        <w:pStyle w:val="ListBullet"/>
      </w:pPr>
      <w:r>
        <w:t>rnaModality (required)</w:t>
      </w:r>
    </w:p>
    <w:p>
      <w:pPr>
        <w:pStyle w:val="ListBullet"/>
      </w:pPr>
      <w:r>
        <w:t>codonStrategy (required)</w:t>
      </w:r>
    </w:p>
    <w:p>
      <w:pPr>
        <w:pStyle w:val="ListBullet"/>
      </w:pPr>
      <w:r>
        <w:t>utrPair (required)</w:t>
      </w:r>
    </w:p>
    <w:p>
      <w:pPr>
        <w:pStyle w:val="ListBullet"/>
      </w:pPr>
      <w:r>
        <w:t>iresSelection (circRNA only)</w:t>
      </w:r>
    </w:p>
    <w:p>
      <w:pPr>
        <w:pStyle w:val="ListBullet"/>
      </w:pPr>
      <w:r>
        <w:t>nucleotideModification (required)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Overview: target gene, refSeq, native protein length, vector topology, CAI (0–1), U%, primary mechanism, expression feasibility score (0–100), predicted intracellular half-life</w:t>
      </w:r>
    </w:p>
    <w:p>
      <w:pPr>
        <w:pStyle w:val="ListBullet"/>
      </w:pPr>
      <w:r>
        <w:t>Candidate table: rank, construct ID, modality, CAI, U%, MFE, initiation efficiency (%), predicted protein yield, TLR risk, signal peptide status, secondary structure flag</w:t>
      </w:r>
    </w:p>
    <w:p>
      <w:pPr>
        <w:pStyle w:val="ListBullet"/>
      </w:pPr>
      <w:r>
        <w:t>Inspection: full transcript feature map, construct sequence, amino acid identity (%), TLR3/7/8 risk scores, 5′ UTR secondary structure MFE plot, hairpin obstacle flag</w:t>
      </w:r>
    </w:p>
    <w:p>
      <w:pPr>
        <w:pStyle w:val="ListBullet"/>
      </w:pPr>
      <w:r>
        <w:t>Export to FASTA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