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TG09: Protein Function Modulation</w:t>
      </w:r>
    </w:p>
    <w:p>
      <w:r>
        <w:t>Description: Modulate protein activity directly using RNA molecules that bind and regulate protein function rather than gene expression.</w:t>
      </w:r>
    </w:p>
    <w:p>
      <w:pPr>
        <w:pStyle w:val="Heading2"/>
      </w:pPr>
      <w:r>
        <w:rPr>
          <w:color w:val="000000"/>
        </w:rPr>
        <w:t>Mechanisms</w:t>
      </w:r>
    </w:p>
    <w:p>
      <w:pPr>
        <w:pStyle w:val="ListBullet"/>
      </w:pPr>
      <w:r>
        <w:t>Applicable mechanism IDs: A23, A24, A25, A26</w:t>
      </w:r>
    </w:p>
    <w:p>
      <w:pPr>
        <w:pStyle w:val="Heading2"/>
      </w:pPr>
      <w:r>
        <w:rPr>
          <w:color w:val="000000"/>
        </w:rPr>
        <w:t>Features</w:t>
      </w:r>
    </w:p>
    <w:p>
      <w:pPr>
        <w:pStyle w:val="ListBullet"/>
      </w:pPr>
      <w:r>
        <w:t>Therapeutic goal selection (all 9 goals shown, but only TG09 has a dedicated design form)</w:t>
      </w:r>
    </w:p>
    <w:p>
      <w:pPr>
        <w:pStyle w:val="ListBullet"/>
      </w:pPr>
      <w:r>
        <w:t>Structural class selection</w:t>
      </w:r>
    </w:p>
    <w:p>
      <w:pPr>
        <w:pStyle w:val="ListBullet"/>
      </w:pPr>
      <w:r>
        <w:t>Target molecule type selection</w:t>
      </w:r>
    </w:p>
    <w:p>
      <w:pPr>
        <w:pStyle w:val="ListBullet"/>
      </w:pPr>
      <w:r>
        <w:t>Scaffold architecture selection</w:t>
      </w:r>
    </w:p>
    <w:p>
      <w:pPr>
        <w:pStyle w:val="ListBullet"/>
      </w:pPr>
      <w:r>
        <w:t>Chemical base stabilization selection</w:t>
      </w:r>
    </w:p>
    <w:p>
      <w:pPr>
        <w:pStyle w:val="ListBullet"/>
      </w:pPr>
      <w:r>
        <w:t>Binding threshold (Kd goal) selection</w:t>
      </w:r>
    </w:p>
    <w:p>
      <w:pPr>
        <w:pStyle w:val="ListBullet"/>
      </w:pPr>
      <w:r>
        <w:t>Delivery/tissue context selection</w:t>
      </w:r>
    </w:p>
    <w:p>
      <w:pPr>
        <w:pStyle w:val="ListBullet"/>
      </w:pPr>
      <w:r>
        <w:t>Candidate structural table with inspection</w:t>
      </w:r>
    </w:p>
    <w:p>
      <w:pPr>
        <w:pStyle w:val="ListBullet"/>
      </w:pPr>
      <w:r>
        <w:t>2D secondary structure plot (dot-bracket)</w:t>
      </w:r>
    </w:p>
    <w:p>
      <w:pPr>
        <w:pStyle w:val="ListBullet"/>
      </w:pPr>
      <w:r>
        <w:t>3D docking simulation placeholder</w:t>
      </w:r>
    </w:p>
    <w:p>
      <w:pPr>
        <w:pStyle w:val="ListBullet"/>
      </w:pPr>
      <w:r>
        <w:t>Mutational sensitivity heatmap</w:t>
      </w:r>
    </w:p>
    <w:p>
      <w:pPr>
        <w:pStyle w:val="ListBullet"/>
      </w:pPr>
      <w:r>
        <w:t>Off-target homology scan</w:t>
      </w:r>
    </w:p>
    <w:p>
      <w:pPr>
        <w:pStyle w:val="ListBullet"/>
      </w:pPr>
      <w:r>
        <w:t>Export to FASTA and dot-bracket notation</w:t>
      </w:r>
    </w:p>
    <w:p>
      <w:pPr>
        <w:pStyle w:val="Heading2"/>
      </w:pPr>
      <w:r>
        <w:rPr>
          <w:color w:val="000000"/>
        </w:rPr>
        <w:t>Rules / Logic</w:t>
      </w:r>
    </w:p>
    <w:p>
      <w:pPr>
        <w:pStyle w:val="ListBullet"/>
      </w:pPr>
      <w:r>
        <w:t>Structural classes: rna_aptamer, catalytic_ribozyme, riboswitch, multivalent_scaffold</w:t>
      </w:r>
    </w:p>
    <w:p>
      <w:pPr>
        <w:pStyle w:val="ListBullet"/>
      </w:pPr>
      <w:r>
        <w:t>Target types: protein_active_site, cell_surface_receptor, small_molecule, target_rna</w:t>
      </w:r>
    </w:p>
    <w:p>
      <w:pPr>
        <w:pStyle w:val="ListBullet"/>
      </w:pPr>
      <w:r>
        <w:t>Scaffolds: selex_refinement, hammerhead, three_way_junction</w:t>
      </w:r>
    </w:p>
    <w:p>
      <w:pPr>
        <w:pStyle w:val="ListBullet"/>
      </w:pPr>
      <w:r>
        <w:t>Chemical stabilizations: two_f_pyrimidine, two_ome_ps, inverted_abasic</w:t>
      </w:r>
    </w:p>
    <w:p>
      <w:pPr>
        <w:pStyle w:val="ListBullet"/>
      </w:pPr>
      <w:r>
        <w:t>Kd goals: nanomolar (1–10 nM), sub_nanomolar (&lt;1 nM)</w:t>
      </w:r>
    </w:p>
    <w:p>
      <w:pPr>
        <w:pStyle w:val="ListBullet"/>
      </w:pPr>
      <w:r>
        <w:t>Structural class → mechanism mapping: rna_aptamer→[A23], catalytic_ribozyme→[A24], riboswitch→[A25], multivalent_scaffold→[A26]</w:t>
      </w:r>
    </w:p>
    <w:p>
      <w:pPr>
        <w:pStyle w:val="ListBullet"/>
      </w:pPr>
      <w:r>
        <w:t>Target type → mechanism mapping: protein_active_site→[A23, A26], cell_surface_receptor→[A23], small_molecule→[A25], target_rna→[A24, A26]</w:t>
      </w:r>
    </w:p>
    <w:p>
      <w:pPr>
        <w:pStyle w:val="ListBullet"/>
      </w:pPr>
      <w:r>
        <w:t>Scaffold → mechanism mapping: selex_refinement→[A23], hammerhead→[A24], three_way_junction→[A26]</w:t>
      </w:r>
    </w:p>
    <w:p>
      <w:pPr>
        <w:pStyle w:val="ListBullet"/>
      </w:pPr>
      <w:r>
        <w:t>Intersection rule: Class, target type, and scaffold intersection determines eligible mechanisms</w:t>
      </w:r>
    </w:p>
    <w:p>
      <w:pPr>
        <w:pStyle w:val="ListBullet"/>
      </w:pPr>
      <w:r>
        <w:t>Length ranges by class: aptamer 28–45 nt, ribozyme 35–55 nt, riboswitch 40–70 nt, scaffold 50–80 nt</w:t>
      </w:r>
    </w:p>
    <w:p>
      <w:pPr>
        <w:pStyle w:val="Heading2"/>
      </w:pPr>
      <w:r>
        <w:rPr>
          <w:color w:val="000000"/>
        </w:rPr>
        <w:t>Option Selection Parameters</w:t>
      </w:r>
    </w:p>
    <w:p>
      <w:pPr>
        <w:pStyle w:val="ListBullet"/>
      </w:pPr>
      <w:r>
        <w:t>structuralClass (required)</w:t>
      </w:r>
    </w:p>
    <w:p>
      <w:pPr>
        <w:pStyle w:val="ListBullet"/>
      </w:pPr>
      <w:r>
        <w:t>targetType (required)</w:t>
      </w:r>
    </w:p>
    <w:p>
      <w:pPr>
        <w:pStyle w:val="ListBullet"/>
      </w:pPr>
      <w:r>
        <w:t>scaffold (required)</w:t>
      </w:r>
    </w:p>
    <w:p>
      <w:pPr>
        <w:pStyle w:val="ListBullet"/>
      </w:pPr>
      <w:r>
        <w:t>chemStabilization (required)</w:t>
      </w:r>
    </w:p>
    <w:p>
      <w:pPr>
        <w:pStyle w:val="ListBullet"/>
      </w:pPr>
      <w:r>
        <w:t>kdGoal (required)</w:t>
      </w:r>
    </w:p>
    <w:p>
      <w:pPr>
        <w:pStyle w:val="ListBullet"/>
      </w:pPr>
      <w:r>
        <w:t>deliveryContext (optional)</w:t>
      </w:r>
    </w:p>
    <w:p>
      <w:pPr>
        <w:pStyle w:val="Heading2"/>
      </w:pPr>
      <w:r>
        <w:rPr>
          <w:color w:val="000000"/>
        </w:rPr>
        <w:t>Results / Metrics</w:t>
      </w:r>
    </w:p>
    <w:p>
      <w:pPr>
        <w:pStyle w:val="ListBullet"/>
      </w:pPr>
      <w:r>
        <w:t>Header: target partner &amp; type, selected structural modality, predicted binding affinity (Kd, nM), serum half-life (t½)</w:t>
      </w:r>
    </w:p>
    <w:p>
      <w:pPr>
        <w:pStyle w:val="ListBullet"/>
      </w:pPr>
      <w:r>
        <w:t>Candidate table: rank, construct ID, structural motif, length, Tm (°C), ΔG folding, Kd/kcat, specificity score (0–100), serum t½</w:t>
      </w:r>
    </w:p>
    <w:p>
      <w:pPr>
        <w:pStyle w:val="ListBullet"/>
      </w:pPr>
      <w:r>
        <w:t>Inspection: 2D secondary structure (dot-bracket), 3D docking visualization, mutational tolerance heatmap (position-by-position), off-target structural homology scan, design rationale</w:t>
      </w:r>
    </w:p>
    <w:p>
      <w:pPr>
        <w:pStyle w:val="ListBullet"/>
      </w:pPr>
      <w:r>
        <w:t>Export: FASTA, dot-bracket notation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