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7F0EA" w14:textId="77777777" w:rsidR="00014870" w:rsidRDefault="00000000">
      <w:pPr>
        <w:pStyle w:val="Title"/>
      </w:pPr>
      <w:r>
        <w:t>Single-cell RNA‑seq Analysis (GSE98969): Technical Documentation</w:t>
      </w:r>
    </w:p>
    <w:p w14:paraId="71821141" w14:textId="77777777" w:rsidR="00014870" w:rsidRDefault="00000000">
      <w:pPr>
        <w:pStyle w:val="IntenseQuote"/>
      </w:pPr>
      <w:r>
        <w:t>Notebook source: scRNAseq_analysis.ipynb</w:t>
      </w:r>
    </w:p>
    <w:p w14:paraId="247FE466" w14:textId="77777777" w:rsidR="00014870" w:rsidRDefault="00000000">
      <w:pPr>
        <w:pStyle w:val="Heading1"/>
      </w:pPr>
      <w:r>
        <w:t>1 Objective</w:t>
      </w:r>
    </w:p>
    <w:p w14:paraId="5969EFA0" w14:textId="77777777" w:rsidR="00014870" w:rsidRDefault="00000000">
      <w:r>
        <w:t>Provide a complete, reproducible workflow for analysing single‑cell RNA‑seq data from the GEO dataset GSE98969, with emphasis on microglial transcriptional states in Alzheimer’s disease (AD). Specific goals include:</w:t>
      </w:r>
      <w:r>
        <w:br/>
        <w:t>• Extract raw 10x matrices and construct a gene‑by‑cell count matrix.</w:t>
      </w:r>
      <w:r>
        <w:br/>
        <w:t>• Perform rigorous quality control and normalisation.</w:t>
      </w:r>
      <w:r>
        <w:br/>
        <w:t>• Identify discrete and transitional microglial states via unsupervised clustering.</w:t>
      </w:r>
      <w:r>
        <w:br/>
        <w:t>• Discover marker genes and enriched pathways for each state.</w:t>
      </w:r>
      <w:r>
        <w:br/>
        <w:t>• Infer activation trajectories and quantify cell‑type frequency shifts between AD and control.</w:t>
      </w:r>
    </w:p>
    <w:p w14:paraId="501AAD68" w14:textId="77777777" w:rsidR="00014870" w:rsidRDefault="00000000">
      <w:pPr>
        <w:pStyle w:val="Heading1"/>
      </w:pPr>
      <w:r>
        <w:t>2 Procedure</w:t>
      </w:r>
    </w:p>
    <w:p w14:paraId="2A7B5848" w14:textId="77777777" w:rsidR="00014870" w:rsidRDefault="00000000">
      <w:pPr>
        <w:pStyle w:val="Heading2"/>
      </w:pPr>
      <w:r>
        <w:t>Data Ingestion</w:t>
      </w:r>
    </w:p>
    <w:p w14:paraId="58F69267" w14:textId="77777777" w:rsidR="00014870" w:rsidRDefault="00000000">
      <w:r>
        <w:t>Untar GEO archive (GSE98969_RAW.tar), decompress sample‑wise 10x matrices, concatenate into a single AnnData object and append sample metadata.</w:t>
      </w:r>
    </w:p>
    <w:p w14:paraId="065B67DE" w14:textId="77777777" w:rsidR="00014870" w:rsidRDefault="00000000">
      <w:pPr>
        <w:pStyle w:val="Heading2"/>
      </w:pPr>
      <w:r>
        <w:t>Quality Control</w:t>
      </w:r>
    </w:p>
    <w:p w14:paraId="7BAC5915" w14:textId="77777777" w:rsidR="00014870" w:rsidRDefault="00000000">
      <w:r>
        <w:t xml:space="preserve">Filter low‑quality cells (n_genes &lt; 200, pct_mito &gt; 5 %) and low‑information genes, followed by library‑size </w:t>
      </w:r>
      <w:proofErr w:type="spellStart"/>
      <w:r>
        <w:t>normalisation</w:t>
      </w:r>
      <w:proofErr w:type="spellEnd"/>
      <w:r>
        <w:t xml:space="preserve"> and log transformation.</w:t>
      </w:r>
    </w:p>
    <w:p w14:paraId="297F8D19" w14:textId="70D761FA" w:rsidR="00CA0EEF" w:rsidRDefault="00CA0EEF">
      <w:r>
        <w:rPr>
          <w:noProof/>
        </w:rPr>
        <w:drawing>
          <wp:inline distT="0" distB="0" distL="0" distR="0" wp14:anchorId="11D694DB" wp14:editId="47450760">
            <wp:extent cx="5486400" cy="1704975"/>
            <wp:effectExtent l="0" t="0" r="0" b="9525"/>
            <wp:docPr id="144584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47016" name=""/>
                    <pic:cNvPicPr/>
                  </pic:nvPicPr>
                  <pic:blipFill>
                    <a:blip r:embed="rId6"/>
                    <a:stretch>
                      <a:fillRect/>
                    </a:stretch>
                  </pic:blipFill>
                  <pic:spPr>
                    <a:xfrm>
                      <a:off x="0" y="0"/>
                      <a:ext cx="5486400" cy="1704975"/>
                    </a:xfrm>
                    <a:prstGeom prst="rect">
                      <a:avLst/>
                    </a:prstGeom>
                  </pic:spPr>
                </pic:pic>
              </a:graphicData>
            </a:graphic>
          </wp:inline>
        </w:drawing>
      </w:r>
    </w:p>
    <w:p w14:paraId="1DE265A1" w14:textId="77777777" w:rsidR="00014870" w:rsidRDefault="00000000">
      <w:pPr>
        <w:pStyle w:val="Heading2"/>
      </w:pPr>
      <w:r>
        <w:t>Feature Selection &amp; PCA</w:t>
      </w:r>
    </w:p>
    <w:p w14:paraId="116193A7" w14:textId="77777777" w:rsidR="00014870" w:rsidRDefault="00000000">
      <w:r>
        <w:t>Select ~1 800 highly variable genes (HVGs) and compute 50 principal components to capture dominant sources of variance.</w:t>
      </w:r>
    </w:p>
    <w:p w14:paraId="211682E4" w14:textId="0A188C97" w:rsidR="00CA0EEF" w:rsidRDefault="00CA0EEF">
      <w:r w:rsidRPr="00CA0EEF">
        <w:rPr>
          <w:noProof/>
        </w:rPr>
        <w:lastRenderedPageBreak/>
        <w:drawing>
          <wp:inline distT="0" distB="0" distL="0" distR="0" wp14:anchorId="187E1AEA" wp14:editId="2F5279D4">
            <wp:extent cx="4093845" cy="8229600"/>
            <wp:effectExtent l="0" t="0" r="1905" b="0"/>
            <wp:docPr id="212165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3845" cy="8229600"/>
                    </a:xfrm>
                    <a:prstGeom prst="rect">
                      <a:avLst/>
                    </a:prstGeom>
                    <a:noFill/>
                    <a:ln>
                      <a:noFill/>
                    </a:ln>
                  </pic:spPr>
                </pic:pic>
              </a:graphicData>
            </a:graphic>
          </wp:inline>
        </w:drawing>
      </w:r>
    </w:p>
    <w:p w14:paraId="676A300D" w14:textId="77777777" w:rsidR="00014870" w:rsidRDefault="00000000">
      <w:pPr>
        <w:pStyle w:val="Heading2"/>
      </w:pPr>
      <w:r>
        <w:t>Neighbour Graph &amp; Clustering</w:t>
      </w:r>
    </w:p>
    <w:p w14:paraId="6FC26060" w14:textId="77777777" w:rsidR="00014870" w:rsidRDefault="00000000">
      <w:r>
        <w:t>Construct a k‑nearest‑neighbour graph (k = 15) on top PCs and apply Leiden community detection (resolution = 0.5) to define cell clusters.</w:t>
      </w:r>
    </w:p>
    <w:p w14:paraId="3700336E" w14:textId="1E899FEC" w:rsidR="00CA0EEF" w:rsidRDefault="00CA0EEF">
      <w:r w:rsidRPr="00CA0EEF">
        <w:rPr>
          <w:noProof/>
        </w:rPr>
        <w:drawing>
          <wp:inline distT="0" distB="0" distL="0" distR="0" wp14:anchorId="524599A6" wp14:editId="1F15B33B">
            <wp:extent cx="4352925" cy="3448050"/>
            <wp:effectExtent l="0" t="0" r="9525" b="0"/>
            <wp:docPr id="166708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3448050"/>
                    </a:xfrm>
                    <a:prstGeom prst="rect">
                      <a:avLst/>
                    </a:prstGeom>
                    <a:noFill/>
                    <a:ln>
                      <a:noFill/>
                    </a:ln>
                  </pic:spPr>
                </pic:pic>
              </a:graphicData>
            </a:graphic>
          </wp:inline>
        </w:drawing>
      </w:r>
    </w:p>
    <w:p w14:paraId="360E2BF7" w14:textId="505F20D2" w:rsidR="00F2524F" w:rsidRPr="00F2524F" w:rsidRDefault="00F2524F" w:rsidP="00F2524F">
      <w:pPr>
        <w:rPr>
          <w:lang w:val="en-IN"/>
        </w:rPr>
      </w:pPr>
      <w:r w:rsidRPr="00F2524F">
        <w:rPr>
          <w:lang w:val="en-IN"/>
        </w:rPr>
        <w:t>The UMAP plot you generated shows the clustering of your RNA data after dimensionality reduction</w:t>
      </w:r>
      <w:r>
        <w:rPr>
          <w:lang w:val="en-IN"/>
        </w:rPr>
        <w:t xml:space="preserve"> </w:t>
      </w:r>
      <w:r w:rsidRPr="00F2524F">
        <w:rPr>
          <w:lang w:val="en-IN"/>
        </w:rPr>
        <w:t>and clustering. Here’s what the plot tells us:</w:t>
      </w:r>
    </w:p>
    <w:p w14:paraId="4BAC4BFB" w14:textId="69DA3309" w:rsidR="00F2524F" w:rsidRPr="00F2524F" w:rsidRDefault="00F2524F" w:rsidP="00F2524F">
      <w:pPr>
        <w:rPr>
          <w:lang w:val="en-IN"/>
        </w:rPr>
      </w:pPr>
      <w:r w:rsidRPr="00F2524F">
        <w:rPr>
          <w:b/>
          <w:bCs/>
          <w:lang w:val="en-IN"/>
        </w:rPr>
        <w:t xml:space="preserve">Key Observations: </w:t>
      </w:r>
      <w:r w:rsidRPr="00F2524F">
        <w:rPr>
          <w:lang w:val="en-IN"/>
        </w:rPr>
        <w:t xml:space="preserve">1. </w:t>
      </w:r>
      <w:r w:rsidRPr="00F2524F">
        <w:rPr>
          <w:b/>
          <w:bCs/>
          <w:lang w:val="en-IN"/>
        </w:rPr>
        <w:t>Clusters (</w:t>
      </w:r>
      <w:proofErr w:type="spellStart"/>
      <w:r w:rsidRPr="00F2524F">
        <w:rPr>
          <w:b/>
          <w:bCs/>
          <w:lang w:val="en-IN"/>
        </w:rPr>
        <w:t>Colors</w:t>
      </w:r>
      <w:proofErr w:type="spellEnd"/>
      <w:r w:rsidRPr="00F2524F">
        <w:rPr>
          <w:b/>
          <w:bCs/>
          <w:lang w:val="en-IN"/>
        </w:rPr>
        <w:t>)</w:t>
      </w:r>
      <w:r w:rsidRPr="00F2524F">
        <w:rPr>
          <w:lang w:val="en-IN"/>
        </w:rPr>
        <w:t>: - The plot displays distinct clusters, each represented</w:t>
      </w:r>
      <w:r>
        <w:rPr>
          <w:lang w:val="en-IN"/>
        </w:rPr>
        <w:t xml:space="preserve"> </w:t>
      </w:r>
      <w:r w:rsidRPr="00F2524F">
        <w:rPr>
          <w:lang w:val="en-IN"/>
        </w:rPr>
        <w:t xml:space="preserve">by a different </w:t>
      </w:r>
      <w:proofErr w:type="spellStart"/>
      <w:r w:rsidRPr="00F2524F">
        <w:rPr>
          <w:lang w:val="en-IN"/>
        </w:rPr>
        <w:t>color</w:t>
      </w:r>
      <w:proofErr w:type="spellEnd"/>
      <w:r w:rsidRPr="00F2524F">
        <w:rPr>
          <w:lang w:val="en-IN"/>
        </w:rPr>
        <w:t xml:space="preserve">. - Each </w:t>
      </w:r>
      <w:proofErr w:type="spellStart"/>
      <w:r w:rsidRPr="00F2524F">
        <w:rPr>
          <w:lang w:val="en-IN"/>
        </w:rPr>
        <w:t>color</w:t>
      </w:r>
      <w:proofErr w:type="spellEnd"/>
      <w:r w:rsidRPr="00F2524F">
        <w:rPr>
          <w:lang w:val="en-IN"/>
        </w:rPr>
        <w:t xml:space="preserve"> corresponds to a different Leiden cluster ID, as indicated by the</w:t>
      </w:r>
      <w:r>
        <w:rPr>
          <w:lang w:val="en-IN"/>
        </w:rPr>
        <w:t xml:space="preserve"> </w:t>
      </w:r>
      <w:proofErr w:type="spellStart"/>
      <w:r w:rsidRPr="00F2524F">
        <w:rPr>
          <w:lang w:val="en-IN"/>
        </w:rPr>
        <w:t>color</w:t>
      </w:r>
      <w:proofErr w:type="spellEnd"/>
      <w:r w:rsidRPr="00F2524F">
        <w:rPr>
          <w:lang w:val="en-IN"/>
        </w:rPr>
        <w:t xml:space="preserve"> bar.</w:t>
      </w:r>
    </w:p>
    <w:p w14:paraId="2BEBAE3B" w14:textId="77777777" w:rsidR="00F2524F" w:rsidRPr="00F2524F" w:rsidRDefault="00F2524F" w:rsidP="00F2524F">
      <w:pPr>
        <w:rPr>
          <w:lang w:val="en-IN"/>
        </w:rPr>
      </w:pPr>
      <w:r w:rsidRPr="00F2524F">
        <w:rPr>
          <w:lang w:val="en-IN"/>
        </w:rPr>
        <w:t xml:space="preserve">2. </w:t>
      </w:r>
      <w:r w:rsidRPr="00F2524F">
        <w:rPr>
          <w:b/>
          <w:bCs/>
          <w:lang w:val="en-IN"/>
        </w:rPr>
        <w:t>Separation of Clusters</w:t>
      </w:r>
      <w:r w:rsidRPr="00F2524F">
        <w:rPr>
          <w:lang w:val="en-IN"/>
        </w:rPr>
        <w:t>:</w:t>
      </w:r>
    </w:p>
    <w:p w14:paraId="7727E0F4" w14:textId="2D0653FC" w:rsidR="00F2524F" w:rsidRPr="00F2524F" w:rsidRDefault="00F2524F" w:rsidP="00F2524F">
      <w:pPr>
        <w:rPr>
          <w:lang w:val="en-IN"/>
        </w:rPr>
      </w:pPr>
      <w:r w:rsidRPr="00F2524F">
        <w:rPr>
          <w:lang w:val="en-IN"/>
        </w:rPr>
        <w:t xml:space="preserve">• Some clusters are well-separated, indicating distinct groups of cells with different </w:t>
      </w:r>
      <w:proofErr w:type="gramStart"/>
      <w:r w:rsidRPr="00F2524F">
        <w:rPr>
          <w:lang w:val="en-IN"/>
        </w:rPr>
        <w:t>gene</w:t>
      </w:r>
      <w:r>
        <w:rPr>
          <w:lang w:val="en-IN"/>
        </w:rPr>
        <w:t xml:space="preserve">  </w:t>
      </w:r>
      <w:r w:rsidRPr="00F2524F">
        <w:rPr>
          <w:lang w:val="en-IN"/>
        </w:rPr>
        <w:t>expression</w:t>
      </w:r>
      <w:proofErr w:type="gramEnd"/>
      <w:r w:rsidRPr="00F2524F">
        <w:rPr>
          <w:lang w:val="en-IN"/>
        </w:rPr>
        <w:t xml:space="preserve"> profiles.</w:t>
      </w:r>
    </w:p>
    <w:p w14:paraId="7468D538" w14:textId="08DDCFDA" w:rsidR="00F2524F" w:rsidRPr="00F2524F" w:rsidRDefault="00F2524F" w:rsidP="00F2524F">
      <w:pPr>
        <w:rPr>
          <w:lang w:val="en-IN"/>
        </w:rPr>
      </w:pPr>
      <w:r w:rsidRPr="00F2524F">
        <w:rPr>
          <w:lang w:val="en-IN"/>
        </w:rPr>
        <w:t>• Overlapping clusters suggest potential biological similarities or gradual transitions between</w:t>
      </w:r>
      <w:r>
        <w:rPr>
          <w:lang w:val="en-IN"/>
        </w:rPr>
        <w:t xml:space="preserve"> </w:t>
      </w:r>
      <w:r w:rsidRPr="00F2524F">
        <w:rPr>
          <w:lang w:val="en-IN"/>
        </w:rPr>
        <w:t>cell states.</w:t>
      </w:r>
    </w:p>
    <w:p w14:paraId="526C9EEB" w14:textId="77777777" w:rsidR="00F2524F" w:rsidRPr="00F2524F" w:rsidRDefault="00F2524F" w:rsidP="00F2524F">
      <w:pPr>
        <w:rPr>
          <w:lang w:val="en-IN"/>
        </w:rPr>
      </w:pPr>
      <w:r w:rsidRPr="00F2524F">
        <w:rPr>
          <w:lang w:val="en-IN"/>
        </w:rPr>
        <w:t xml:space="preserve">3. </w:t>
      </w:r>
      <w:r w:rsidRPr="00F2524F">
        <w:rPr>
          <w:b/>
          <w:bCs/>
          <w:lang w:val="en-IN"/>
        </w:rPr>
        <w:t>Density and Spread</w:t>
      </w:r>
      <w:r w:rsidRPr="00F2524F">
        <w:rPr>
          <w:lang w:val="en-IN"/>
        </w:rPr>
        <w:t>:</w:t>
      </w:r>
    </w:p>
    <w:p w14:paraId="67C5A6E0" w14:textId="1ECB6159" w:rsidR="00F2524F" w:rsidRPr="00F2524F" w:rsidRDefault="00F2524F" w:rsidP="00F2524F">
      <w:pPr>
        <w:rPr>
          <w:lang w:val="en-IN"/>
        </w:rPr>
      </w:pPr>
      <w:r w:rsidRPr="00F2524F">
        <w:rPr>
          <w:lang w:val="en-IN"/>
        </w:rPr>
        <w:t>• The density of points within a cluster varies. Dense regions could indicate cell types</w:t>
      </w:r>
      <w:r>
        <w:rPr>
          <w:lang w:val="en-IN"/>
        </w:rPr>
        <w:t xml:space="preserve"> </w:t>
      </w:r>
      <w:r w:rsidRPr="00F2524F">
        <w:rPr>
          <w:lang w:val="en-IN"/>
        </w:rPr>
        <w:t>with a high degree of similarity.</w:t>
      </w:r>
    </w:p>
    <w:p w14:paraId="1F5A7B9A" w14:textId="387042AC" w:rsidR="00F2524F" w:rsidRPr="00F2524F" w:rsidRDefault="00F2524F" w:rsidP="00F2524F">
      <w:pPr>
        <w:rPr>
          <w:lang w:val="en-IN"/>
        </w:rPr>
      </w:pPr>
      <w:r w:rsidRPr="00F2524F">
        <w:rPr>
          <w:lang w:val="en-IN"/>
        </w:rPr>
        <w:t>• More spread-out clusters might represent heterogeneous populations or transitional</w:t>
      </w:r>
      <w:r>
        <w:rPr>
          <w:lang w:val="en-IN"/>
        </w:rPr>
        <w:t xml:space="preserve"> </w:t>
      </w:r>
      <w:r w:rsidRPr="00F2524F">
        <w:rPr>
          <w:lang w:val="en-IN"/>
        </w:rPr>
        <w:t>states.</w:t>
      </w:r>
    </w:p>
    <w:p w14:paraId="6D448867" w14:textId="77777777" w:rsidR="00F2524F" w:rsidRPr="00F2524F" w:rsidRDefault="00F2524F" w:rsidP="00F2524F">
      <w:pPr>
        <w:rPr>
          <w:lang w:val="en-IN"/>
        </w:rPr>
      </w:pPr>
      <w:r w:rsidRPr="00F2524F">
        <w:rPr>
          <w:lang w:val="en-IN"/>
        </w:rPr>
        <w:t xml:space="preserve">4. </w:t>
      </w:r>
      <w:r w:rsidRPr="00F2524F">
        <w:rPr>
          <w:b/>
          <w:bCs/>
          <w:lang w:val="en-IN"/>
        </w:rPr>
        <w:t>Cluster Sizes</w:t>
      </w:r>
      <w:r w:rsidRPr="00F2524F">
        <w:rPr>
          <w:lang w:val="en-IN"/>
        </w:rPr>
        <w:t>:</w:t>
      </w:r>
    </w:p>
    <w:p w14:paraId="049A8995" w14:textId="3C860683" w:rsidR="00F2524F" w:rsidRPr="00F2524F" w:rsidRDefault="00F2524F" w:rsidP="00F2524F">
      <w:pPr>
        <w:rPr>
          <w:lang w:val="en-IN"/>
        </w:rPr>
      </w:pPr>
      <w:r w:rsidRPr="00F2524F">
        <w:rPr>
          <w:lang w:val="en-IN"/>
        </w:rPr>
        <w:t>• Some clusters are larger than others, suggesting that certain cell types or states are more</w:t>
      </w:r>
      <w:r>
        <w:rPr>
          <w:lang w:val="en-IN"/>
        </w:rPr>
        <w:t xml:space="preserve"> </w:t>
      </w:r>
      <w:r w:rsidRPr="00F2524F">
        <w:rPr>
          <w:lang w:val="en-IN"/>
        </w:rPr>
        <w:t>prevalent in your dataset.</w:t>
      </w:r>
    </w:p>
    <w:p w14:paraId="17B80D15" w14:textId="6E1364F6" w:rsidR="00F2524F" w:rsidRPr="00F2524F" w:rsidRDefault="00F2524F" w:rsidP="00F2524F">
      <w:pPr>
        <w:rPr>
          <w:lang w:val="en-IN"/>
        </w:rPr>
      </w:pPr>
      <w:r w:rsidRPr="00F2524F">
        <w:rPr>
          <w:b/>
          <w:bCs/>
          <w:lang w:val="en-IN"/>
        </w:rPr>
        <w:t xml:space="preserve">Biological Implications: </w:t>
      </w:r>
      <w:r w:rsidRPr="00F2524F">
        <w:rPr>
          <w:lang w:val="en-IN"/>
        </w:rPr>
        <w:t xml:space="preserve">- </w:t>
      </w:r>
      <w:r w:rsidRPr="00F2524F">
        <w:rPr>
          <w:b/>
          <w:bCs/>
          <w:lang w:val="en-IN"/>
        </w:rPr>
        <w:t>Distinct Cell Types or States</w:t>
      </w:r>
      <w:r w:rsidRPr="00F2524F">
        <w:rPr>
          <w:lang w:val="en-IN"/>
        </w:rPr>
        <w:t>: - The separation into clusters likely</w:t>
      </w:r>
      <w:r>
        <w:rPr>
          <w:lang w:val="en-IN"/>
        </w:rPr>
        <w:t xml:space="preserve"> </w:t>
      </w:r>
      <w:r w:rsidRPr="00F2524F">
        <w:rPr>
          <w:lang w:val="en-IN"/>
        </w:rPr>
        <w:t>corresponds to different cell types, subtypes, or distinct cellular states.</w:t>
      </w:r>
    </w:p>
    <w:p w14:paraId="0ADAAAD6" w14:textId="77777777" w:rsidR="00F2524F" w:rsidRPr="00F2524F" w:rsidRDefault="00F2524F" w:rsidP="00F2524F">
      <w:pPr>
        <w:rPr>
          <w:lang w:val="en-IN"/>
        </w:rPr>
      </w:pPr>
      <w:r w:rsidRPr="00F2524F">
        <w:rPr>
          <w:lang w:val="en-IN"/>
        </w:rPr>
        <w:t xml:space="preserve">• </w:t>
      </w:r>
      <w:r w:rsidRPr="00F2524F">
        <w:rPr>
          <w:b/>
          <w:bCs/>
          <w:lang w:val="en-IN"/>
        </w:rPr>
        <w:t>Heterogeneous Populations</w:t>
      </w:r>
      <w:r w:rsidRPr="00F2524F">
        <w:rPr>
          <w:lang w:val="en-IN"/>
        </w:rPr>
        <w:t>:</w:t>
      </w:r>
    </w:p>
    <w:p w14:paraId="6938B2FD" w14:textId="6FE9B3FA" w:rsidR="00F2524F" w:rsidRPr="00F2524F" w:rsidRDefault="00F2524F" w:rsidP="00F2524F">
      <w:pPr>
        <w:rPr>
          <w:lang w:val="en-IN"/>
        </w:rPr>
      </w:pPr>
      <w:r w:rsidRPr="00F2524F">
        <w:rPr>
          <w:b/>
          <w:bCs/>
          <w:lang w:val="en-IN"/>
        </w:rPr>
        <w:t xml:space="preserve">– </w:t>
      </w:r>
      <w:r w:rsidRPr="00F2524F">
        <w:rPr>
          <w:lang w:val="en-IN"/>
        </w:rPr>
        <w:t>Overlapping clusters or transitional regions may represent cells transitioning from one</w:t>
      </w:r>
      <w:r>
        <w:rPr>
          <w:lang w:val="en-IN"/>
        </w:rPr>
        <w:t xml:space="preserve"> </w:t>
      </w:r>
      <w:r w:rsidRPr="00F2524F">
        <w:rPr>
          <w:lang w:val="en-IN"/>
        </w:rPr>
        <w:t>state to another or mixed populations.</w:t>
      </w:r>
    </w:p>
    <w:p w14:paraId="3F37910B" w14:textId="77777777" w:rsidR="00F2524F" w:rsidRPr="00F2524F" w:rsidRDefault="00F2524F" w:rsidP="00F2524F">
      <w:pPr>
        <w:rPr>
          <w:lang w:val="en-IN"/>
        </w:rPr>
      </w:pPr>
      <w:r w:rsidRPr="00F2524F">
        <w:rPr>
          <w:lang w:val="en-IN"/>
        </w:rPr>
        <w:t xml:space="preserve">• </w:t>
      </w:r>
      <w:r w:rsidRPr="00F2524F">
        <w:rPr>
          <w:b/>
          <w:bCs/>
          <w:lang w:val="en-IN"/>
        </w:rPr>
        <w:t>Potential Outliers</w:t>
      </w:r>
      <w:r w:rsidRPr="00F2524F">
        <w:rPr>
          <w:lang w:val="en-IN"/>
        </w:rPr>
        <w:t>:</w:t>
      </w:r>
    </w:p>
    <w:p w14:paraId="6D9FC36C" w14:textId="50ADA1F2" w:rsidR="00F2524F" w:rsidRPr="00F2524F" w:rsidRDefault="00F2524F" w:rsidP="00F2524F">
      <w:pPr>
        <w:rPr>
          <w:lang w:val="en-IN"/>
        </w:rPr>
      </w:pPr>
      <w:r w:rsidRPr="00F2524F">
        <w:rPr>
          <w:b/>
          <w:bCs/>
          <w:lang w:val="en-IN"/>
        </w:rPr>
        <w:t xml:space="preserve">– </w:t>
      </w:r>
      <w:r w:rsidRPr="00F2524F">
        <w:rPr>
          <w:lang w:val="en-IN"/>
        </w:rPr>
        <w:t>Any small, isolated clusters could be rare cell types or potentially outliers depending with any of these follow-up analyses?</w:t>
      </w:r>
    </w:p>
    <w:p w14:paraId="17D2AEB7" w14:textId="6F2E53B3" w:rsidR="00F2524F" w:rsidRPr="00F2524F" w:rsidRDefault="00F2524F" w:rsidP="00F2524F">
      <w:pPr>
        <w:rPr>
          <w:lang w:val="en-IN"/>
        </w:rPr>
      </w:pPr>
      <w:r w:rsidRPr="00F2524F">
        <w:rPr>
          <w:b/>
          <w:bCs/>
          <w:lang w:val="en-IN"/>
        </w:rPr>
        <w:t xml:space="preserve">Identifying Marker Genes for Each Cluster </w:t>
      </w:r>
      <w:r w:rsidRPr="00F2524F">
        <w:rPr>
          <w:lang w:val="en-IN"/>
        </w:rPr>
        <w:t>Marker genes help determine the biological</w:t>
      </w:r>
      <w:r>
        <w:rPr>
          <w:lang w:val="en-IN"/>
        </w:rPr>
        <w:t xml:space="preserve"> </w:t>
      </w:r>
      <w:r w:rsidRPr="00F2524F">
        <w:rPr>
          <w:lang w:val="en-IN"/>
        </w:rPr>
        <w:t>identity of each cluster by highlighting genes that are highly expressed in a specific cluster compared</w:t>
      </w:r>
      <w:r>
        <w:rPr>
          <w:lang w:val="en-IN"/>
        </w:rPr>
        <w:t xml:space="preserve"> </w:t>
      </w:r>
      <w:r w:rsidRPr="00F2524F">
        <w:rPr>
          <w:lang w:val="en-IN"/>
        </w:rPr>
        <w:t>to others.</w:t>
      </w:r>
    </w:p>
    <w:p w14:paraId="088558CF" w14:textId="77777777" w:rsidR="00F2524F" w:rsidRPr="00F2524F" w:rsidRDefault="00F2524F" w:rsidP="00F2524F">
      <w:pPr>
        <w:rPr>
          <w:lang w:val="en-IN"/>
        </w:rPr>
      </w:pPr>
      <w:r w:rsidRPr="00F2524F">
        <w:rPr>
          <w:lang w:val="en-IN"/>
        </w:rPr>
        <w:t>Cell-Type Marker Genes:</w:t>
      </w:r>
    </w:p>
    <w:p w14:paraId="29E79DCF" w14:textId="55D6F56B" w:rsidR="00F2524F" w:rsidRPr="00F2524F" w:rsidRDefault="00F2524F" w:rsidP="00F2524F">
      <w:pPr>
        <w:rPr>
          <w:lang w:val="en-IN"/>
        </w:rPr>
      </w:pPr>
      <w:r w:rsidRPr="00F2524F">
        <w:rPr>
          <w:lang w:val="en-IN"/>
        </w:rPr>
        <w:t>The figure provides a list of validated marker genes for neurons, astrocytes, and microglia: Neurons</w:t>
      </w:r>
      <w:r>
        <w:rPr>
          <w:lang w:val="en-IN"/>
        </w:rPr>
        <w:t xml:space="preserve"> </w:t>
      </w:r>
      <w:r w:rsidRPr="00F2524F">
        <w:rPr>
          <w:lang w:val="en-IN"/>
        </w:rPr>
        <w:t xml:space="preserve">(NeuN+): Markers: Rbfox3, Grin1, Cx3cl1, Nos1 Astrocytes (GFAP+): Markers: </w:t>
      </w:r>
      <w:proofErr w:type="spellStart"/>
      <w:r w:rsidRPr="00F2524F">
        <w:rPr>
          <w:lang w:val="en-IN"/>
        </w:rPr>
        <w:t>Gfap</w:t>
      </w:r>
      <w:proofErr w:type="spellEnd"/>
      <w:r w:rsidRPr="00F2524F">
        <w:rPr>
          <w:lang w:val="en-IN"/>
        </w:rPr>
        <w:t>, Aldh1l1,</w:t>
      </w:r>
      <w:r>
        <w:rPr>
          <w:lang w:val="en-IN"/>
        </w:rPr>
        <w:t xml:space="preserve"> </w:t>
      </w:r>
      <w:r w:rsidRPr="00F2524F">
        <w:rPr>
          <w:lang w:val="en-IN"/>
        </w:rPr>
        <w:t xml:space="preserve">Aqp4, Slc1a2 Microglia (CD11b+): Markers: </w:t>
      </w:r>
      <w:proofErr w:type="spellStart"/>
      <w:r w:rsidRPr="00F2524F">
        <w:rPr>
          <w:lang w:val="en-IN"/>
        </w:rPr>
        <w:t>Itgam</w:t>
      </w:r>
      <w:proofErr w:type="spellEnd"/>
      <w:r w:rsidRPr="00F2524F">
        <w:rPr>
          <w:lang w:val="en-IN"/>
        </w:rPr>
        <w:t xml:space="preserve"> (CD11b), Aif1, Cx3cr1, </w:t>
      </w:r>
      <w:proofErr w:type="spellStart"/>
      <w:r w:rsidRPr="00F2524F">
        <w:rPr>
          <w:lang w:val="en-IN"/>
        </w:rPr>
        <w:t>Ptprc</w:t>
      </w:r>
      <w:proofErr w:type="spellEnd"/>
      <w:r w:rsidRPr="00F2524F">
        <w:rPr>
          <w:lang w:val="en-IN"/>
        </w:rPr>
        <w:t xml:space="preserve"> (CD45) These</w:t>
      </w:r>
      <w:r>
        <w:rPr>
          <w:lang w:val="en-IN"/>
        </w:rPr>
        <w:t xml:space="preserve"> </w:t>
      </w:r>
      <w:r w:rsidRPr="00F2524F">
        <w:rPr>
          <w:lang w:val="en-IN"/>
        </w:rPr>
        <w:t>genes can be directly used to annotate clusters in your dataset. For example: If a cluster shows</w:t>
      </w:r>
      <w:r>
        <w:rPr>
          <w:lang w:val="en-IN"/>
        </w:rPr>
        <w:t xml:space="preserve"> </w:t>
      </w:r>
      <w:r w:rsidRPr="00F2524F">
        <w:rPr>
          <w:lang w:val="en-IN"/>
        </w:rPr>
        <w:t xml:space="preserve">high expression of Rbfox3 or Grin1, it likely represents neurons. If a cluster expresses </w:t>
      </w:r>
      <w:proofErr w:type="spellStart"/>
      <w:r w:rsidRPr="00F2524F">
        <w:rPr>
          <w:lang w:val="en-IN"/>
        </w:rPr>
        <w:t>Gfap</w:t>
      </w:r>
      <w:proofErr w:type="spellEnd"/>
      <w:r w:rsidRPr="00F2524F">
        <w:rPr>
          <w:lang w:val="en-IN"/>
        </w:rPr>
        <w:t xml:space="preserve"> or</w:t>
      </w:r>
      <w:r>
        <w:rPr>
          <w:lang w:val="en-IN"/>
        </w:rPr>
        <w:t xml:space="preserve"> </w:t>
      </w:r>
      <w:r w:rsidRPr="00F2524F">
        <w:rPr>
          <w:lang w:val="en-IN"/>
        </w:rPr>
        <w:t xml:space="preserve">Aldh1l1, it may represent astrocytes. If </w:t>
      </w:r>
      <w:proofErr w:type="spellStart"/>
      <w:r w:rsidRPr="00F2524F">
        <w:rPr>
          <w:lang w:val="en-IN"/>
        </w:rPr>
        <w:t>Itgam</w:t>
      </w:r>
      <w:proofErr w:type="spellEnd"/>
      <w:r w:rsidRPr="00F2524F">
        <w:rPr>
          <w:lang w:val="en-IN"/>
        </w:rPr>
        <w:t xml:space="preserve"> or Aif1 is highly expressed, it could correspond to</w:t>
      </w:r>
      <w:r>
        <w:rPr>
          <w:lang w:val="en-IN"/>
        </w:rPr>
        <w:t xml:space="preserve"> </w:t>
      </w:r>
      <w:r w:rsidRPr="00F2524F">
        <w:rPr>
          <w:lang w:val="en-IN"/>
        </w:rPr>
        <w:t>microglia.</w:t>
      </w:r>
    </w:p>
    <w:p w14:paraId="0EF8342B" w14:textId="77777777" w:rsidR="00014870" w:rsidRDefault="00000000">
      <w:pPr>
        <w:pStyle w:val="Heading2"/>
      </w:pPr>
      <w:r>
        <w:t>Visualisation</w:t>
      </w:r>
    </w:p>
    <w:p w14:paraId="62F621AC" w14:textId="77777777" w:rsidR="00014870" w:rsidRDefault="00000000">
      <w:r>
        <w:t>Embed cells in 2‑D with UMAP for qualitative inspection of cluster relationships.</w:t>
      </w:r>
    </w:p>
    <w:p w14:paraId="252C4970" w14:textId="63A91AAB" w:rsidR="00F2524F" w:rsidRDefault="00F2524F" w:rsidP="00F2524F">
      <w:r w:rsidRPr="00F2524F">
        <w:rPr>
          <w:noProof/>
        </w:rPr>
        <w:drawing>
          <wp:inline distT="0" distB="0" distL="0" distR="0" wp14:anchorId="033261A1" wp14:editId="48BBB204">
            <wp:extent cx="4653915" cy="3261995"/>
            <wp:effectExtent l="0" t="0" r="0" b="0"/>
            <wp:docPr id="900179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3915" cy="3261995"/>
                    </a:xfrm>
                    <a:prstGeom prst="rect">
                      <a:avLst/>
                    </a:prstGeom>
                    <a:noFill/>
                    <a:ln>
                      <a:noFill/>
                    </a:ln>
                  </pic:spPr>
                </pic:pic>
              </a:graphicData>
            </a:graphic>
          </wp:inline>
        </w:drawing>
      </w:r>
    </w:p>
    <w:p w14:paraId="26B35963" w14:textId="4FAD5082" w:rsidR="00F2524F" w:rsidRPr="00F2524F" w:rsidRDefault="00F2524F" w:rsidP="00F2524F">
      <w:r w:rsidRPr="00F2524F">
        <w:t>The UMAP plot shows distinct clusters of cells, indicating diverse cell types or states. Clusters’</w:t>
      </w:r>
      <w:r>
        <w:t xml:space="preserve"> </w:t>
      </w:r>
      <w:r w:rsidRPr="00F2524F">
        <w:t>proximity and separation suggest biological relationships or transitions between these cell populations</w:t>
      </w:r>
    </w:p>
    <w:p w14:paraId="1776AB56" w14:textId="77777777" w:rsidR="00014870" w:rsidRDefault="00000000">
      <w:pPr>
        <w:pStyle w:val="Heading2"/>
      </w:pPr>
      <w:r>
        <w:t>Marker Gene Discovery</w:t>
      </w:r>
    </w:p>
    <w:p w14:paraId="3E97D2A4" w14:textId="77777777" w:rsidR="00014870" w:rsidRDefault="00000000">
      <w:r>
        <w:t>Rank genes per cluster using Wilcoxon tests (logFC &gt; 0.25), generating cluster‑specific signatures.</w:t>
      </w:r>
    </w:p>
    <w:p w14:paraId="6BA591A9" w14:textId="75B555D2" w:rsidR="00CA0EEF" w:rsidRDefault="00CA0EEF">
      <w:r w:rsidRPr="00CA0EEF">
        <w:rPr>
          <w:noProof/>
        </w:rPr>
        <w:drawing>
          <wp:inline distT="0" distB="0" distL="0" distR="0" wp14:anchorId="09BC939C" wp14:editId="0AE9EBDB">
            <wp:extent cx="5486400" cy="6128385"/>
            <wp:effectExtent l="0" t="0" r="0" b="5715"/>
            <wp:docPr id="437101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128385"/>
                    </a:xfrm>
                    <a:prstGeom prst="rect">
                      <a:avLst/>
                    </a:prstGeom>
                    <a:noFill/>
                    <a:ln>
                      <a:noFill/>
                    </a:ln>
                  </pic:spPr>
                </pic:pic>
              </a:graphicData>
            </a:graphic>
          </wp:inline>
        </w:drawing>
      </w:r>
    </w:p>
    <w:p w14:paraId="6178B398" w14:textId="77777777" w:rsidR="00014870" w:rsidRDefault="00000000">
      <w:pPr>
        <w:pStyle w:val="Heading2"/>
      </w:pPr>
      <w:r>
        <w:t>Pathway Enrichment</w:t>
      </w:r>
    </w:p>
    <w:p w14:paraId="6E8EBC23" w14:textId="77777777" w:rsidR="00014870" w:rsidRDefault="00000000">
      <w:r>
        <w:t>Run GO/KEGG over‑representation analysis on marker sets to contextualise functional programmes.</w:t>
      </w:r>
    </w:p>
    <w:p w14:paraId="74D47675" w14:textId="77777777" w:rsidR="00014870" w:rsidRDefault="00000000">
      <w:pPr>
        <w:pStyle w:val="Heading2"/>
      </w:pPr>
      <w:r>
        <w:t>Trajectory Inference</w:t>
      </w:r>
    </w:p>
    <w:p w14:paraId="15D16E80" w14:textId="77777777" w:rsidR="00014870" w:rsidRDefault="00000000">
      <w:r>
        <w:t>Build a PAGA connectivity graph and compute diffusion pseudotime to model activation paths from homeostatic to disease‑associated microglia.</w:t>
      </w:r>
    </w:p>
    <w:p w14:paraId="5877BCAB" w14:textId="3B3250BA" w:rsidR="00CA0EEF" w:rsidRDefault="00CA0EEF">
      <w:r w:rsidRPr="00CA0EEF">
        <w:rPr>
          <w:noProof/>
        </w:rPr>
        <w:drawing>
          <wp:inline distT="0" distB="0" distL="0" distR="0" wp14:anchorId="51F3EF8B" wp14:editId="38932DD3">
            <wp:extent cx="5486400" cy="2052320"/>
            <wp:effectExtent l="0" t="0" r="0" b="5080"/>
            <wp:docPr id="268162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52320"/>
                    </a:xfrm>
                    <a:prstGeom prst="rect">
                      <a:avLst/>
                    </a:prstGeom>
                    <a:noFill/>
                    <a:ln>
                      <a:noFill/>
                    </a:ln>
                  </pic:spPr>
                </pic:pic>
              </a:graphicData>
            </a:graphic>
          </wp:inline>
        </w:drawing>
      </w:r>
    </w:p>
    <w:p w14:paraId="2A4E3253" w14:textId="77777777" w:rsidR="00F2524F" w:rsidRPr="00F2524F" w:rsidRDefault="00F2524F" w:rsidP="00F2524F">
      <w:pPr>
        <w:rPr>
          <w:b/>
          <w:bCs/>
          <w:lang w:val="en-IN"/>
        </w:rPr>
      </w:pPr>
      <w:proofErr w:type="spellStart"/>
      <w:r w:rsidRPr="00F2524F">
        <w:rPr>
          <w:b/>
          <w:bCs/>
          <w:lang w:val="en-IN"/>
        </w:rPr>
        <w:t>Pseudotime</w:t>
      </w:r>
      <w:proofErr w:type="spellEnd"/>
      <w:r w:rsidRPr="00F2524F">
        <w:rPr>
          <w:b/>
          <w:bCs/>
          <w:lang w:val="en-IN"/>
        </w:rPr>
        <w:t xml:space="preserve"> Projection on UMAP</w:t>
      </w:r>
    </w:p>
    <w:p w14:paraId="14ED757E" w14:textId="77777777" w:rsidR="00F2524F" w:rsidRPr="00F2524F" w:rsidRDefault="00F2524F" w:rsidP="00F2524F">
      <w:pPr>
        <w:rPr>
          <w:lang w:val="en-IN"/>
        </w:rPr>
      </w:pPr>
      <w:r w:rsidRPr="00F2524F">
        <w:rPr>
          <w:lang w:val="en-IN"/>
        </w:rPr>
        <w:t xml:space="preserve">• </w:t>
      </w:r>
      <w:proofErr w:type="spellStart"/>
      <w:r w:rsidRPr="00F2524F">
        <w:rPr>
          <w:b/>
          <w:bCs/>
          <w:lang w:val="en-IN"/>
        </w:rPr>
        <w:t>Color</w:t>
      </w:r>
      <w:proofErr w:type="spellEnd"/>
      <w:r w:rsidRPr="00F2524F">
        <w:rPr>
          <w:b/>
          <w:bCs/>
          <w:lang w:val="en-IN"/>
        </w:rPr>
        <w:t xml:space="preserve"> Gradient</w:t>
      </w:r>
      <w:r w:rsidRPr="00F2524F">
        <w:rPr>
          <w:lang w:val="en-IN"/>
        </w:rPr>
        <w:t xml:space="preserve">: Represents </w:t>
      </w:r>
      <w:proofErr w:type="spellStart"/>
      <w:r w:rsidRPr="00F2524F">
        <w:rPr>
          <w:lang w:val="en-IN"/>
        </w:rPr>
        <w:t>pseudotime</w:t>
      </w:r>
      <w:proofErr w:type="spellEnd"/>
      <w:r w:rsidRPr="00F2524F">
        <w:rPr>
          <w:lang w:val="en-IN"/>
        </w:rPr>
        <w:t>, where:</w:t>
      </w:r>
    </w:p>
    <w:p w14:paraId="74C1265B" w14:textId="185B5F8E" w:rsidR="00F2524F" w:rsidRPr="00F2524F" w:rsidRDefault="00F2524F" w:rsidP="00F2524F">
      <w:pPr>
        <w:pStyle w:val="ListParagraph"/>
        <w:numPr>
          <w:ilvl w:val="0"/>
          <w:numId w:val="10"/>
        </w:numPr>
        <w:rPr>
          <w:lang w:val="en-IN"/>
        </w:rPr>
      </w:pPr>
      <w:r w:rsidRPr="00F2524F">
        <w:rPr>
          <w:b/>
          <w:bCs/>
          <w:lang w:val="en-IN"/>
        </w:rPr>
        <w:t xml:space="preserve"> </w:t>
      </w:r>
      <w:r w:rsidRPr="00F2524F">
        <w:rPr>
          <w:lang w:val="en-IN"/>
        </w:rPr>
        <w:t xml:space="preserve">Dark purple areas indicate earlier </w:t>
      </w:r>
      <w:proofErr w:type="spellStart"/>
      <w:r w:rsidRPr="00F2524F">
        <w:rPr>
          <w:lang w:val="en-IN"/>
        </w:rPr>
        <w:t>pseudotime</w:t>
      </w:r>
      <w:proofErr w:type="spellEnd"/>
      <w:r w:rsidRPr="00F2524F">
        <w:rPr>
          <w:lang w:val="en-IN"/>
        </w:rPr>
        <w:t xml:space="preserve"> (starting cells in the trajectory).</w:t>
      </w:r>
    </w:p>
    <w:p w14:paraId="30E96B1E" w14:textId="7D0BE985" w:rsidR="00F2524F" w:rsidRPr="00F2524F" w:rsidRDefault="00F2524F" w:rsidP="00F2524F">
      <w:pPr>
        <w:rPr>
          <w:lang w:val="en-IN"/>
        </w:rPr>
      </w:pPr>
      <w:r w:rsidRPr="00F2524F">
        <w:rPr>
          <w:b/>
          <w:bCs/>
          <w:lang w:val="en-IN"/>
        </w:rPr>
        <w:t xml:space="preserve">– </w:t>
      </w:r>
      <w:r>
        <w:rPr>
          <w:b/>
          <w:bCs/>
          <w:lang w:val="en-IN"/>
        </w:rPr>
        <w:tab/>
      </w:r>
      <w:r w:rsidRPr="00F2524F">
        <w:rPr>
          <w:lang w:val="en-IN"/>
        </w:rPr>
        <w:t xml:space="preserve">Yellow/green areas indicate later </w:t>
      </w:r>
      <w:proofErr w:type="spellStart"/>
      <w:r w:rsidRPr="00F2524F">
        <w:rPr>
          <w:lang w:val="en-IN"/>
        </w:rPr>
        <w:t>pseudotime</w:t>
      </w:r>
      <w:proofErr w:type="spellEnd"/>
      <w:r w:rsidRPr="00F2524F">
        <w:rPr>
          <w:lang w:val="en-IN"/>
        </w:rPr>
        <w:t xml:space="preserve"> (more differentiated or terminal cells).</w:t>
      </w:r>
    </w:p>
    <w:p w14:paraId="2751C384" w14:textId="77777777" w:rsidR="00F2524F" w:rsidRDefault="00F2524F" w:rsidP="00F2524F">
      <w:pPr>
        <w:rPr>
          <w:lang w:val="en-IN"/>
        </w:rPr>
      </w:pPr>
      <w:r w:rsidRPr="00F2524F">
        <w:rPr>
          <w:b/>
          <w:bCs/>
          <w:lang w:val="en-IN"/>
        </w:rPr>
        <w:t>Key Insights</w:t>
      </w:r>
      <w:r w:rsidRPr="00F2524F">
        <w:rPr>
          <w:lang w:val="en-IN"/>
        </w:rPr>
        <w:t xml:space="preserve">: </w:t>
      </w:r>
    </w:p>
    <w:p w14:paraId="0946832D" w14:textId="4CA18B16" w:rsidR="00F2524F" w:rsidRPr="00F2524F" w:rsidRDefault="00F2524F" w:rsidP="00F2524F">
      <w:pPr>
        <w:rPr>
          <w:lang w:val="en-IN"/>
        </w:rPr>
      </w:pPr>
      <w:r w:rsidRPr="00F2524F">
        <w:rPr>
          <w:lang w:val="en-IN"/>
        </w:rPr>
        <w:t xml:space="preserve">1. </w:t>
      </w:r>
      <w:r w:rsidRPr="00F2524F">
        <w:rPr>
          <w:b/>
          <w:bCs/>
          <w:lang w:val="en-IN"/>
        </w:rPr>
        <w:t>Developmental Trajectories</w:t>
      </w:r>
      <w:r w:rsidRPr="00F2524F">
        <w:rPr>
          <w:lang w:val="en-IN"/>
        </w:rPr>
        <w:t>: - Cells in the dark purple regions likely represent</w:t>
      </w:r>
      <w:r>
        <w:rPr>
          <w:lang w:val="en-IN"/>
        </w:rPr>
        <w:t xml:space="preserve"> </w:t>
      </w:r>
      <w:r w:rsidRPr="00F2524F">
        <w:rPr>
          <w:lang w:val="en-IN"/>
        </w:rPr>
        <w:t>early progenitors or naive cells. - Cells transitioning to yellow/green regions show progression</w:t>
      </w:r>
      <w:r>
        <w:rPr>
          <w:lang w:val="en-IN"/>
        </w:rPr>
        <w:t xml:space="preserve"> </w:t>
      </w:r>
      <w:r w:rsidRPr="00F2524F">
        <w:rPr>
          <w:lang w:val="en-IN"/>
        </w:rPr>
        <w:t>toward differentiated states, such as monocytes or dendritic cells.</w:t>
      </w:r>
    </w:p>
    <w:p w14:paraId="71230F57" w14:textId="77777777" w:rsidR="00F2524F" w:rsidRPr="00F2524F" w:rsidRDefault="00F2524F" w:rsidP="00F2524F">
      <w:pPr>
        <w:rPr>
          <w:lang w:val="en-IN"/>
        </w:rPr>
      </w:pPr>
      <w:r w:rsidRPr="00F2524F">
        <w:rPr>
          <w:lang w:val="en-IN"/>
        </w:rPr>
        <w:t xml:space="preserve">2. </w:t>
      </w:r>
      <w:r w:rsidRPr="00F2524F">
        <w:rPr>
          <w:b/>
          <w:bCs/>
          <w:lang w:val="en-IN"/>
        </w:rPr>
        <w:t>Cluster Overlap</w:t>
      </w:r>
      <w:r w:rsidRPr="00F2524F">
        <w:rPr>
          <w:lang w:val="en-IN"/>
        </w:rPr>
        <w:t>:</w:t>
      </w:r>
    </w:p>
    <w:p w14:paraId="36353E1B" w14:textId="78707762" w:rsidR="00F2524F" w:rsidRPr="00F2524F" w:rsidRDefault="00F2524F" w:rsidP="00F2524F">
      <w:pPr>
        <w:rPr>
          <w:lang w:val="en-IN"/>
        </w:rPr>
      </w:pPr>
      <w:r w:rsidRPr="00F2524F">
        <w:rPr>
          <w:lang w:val="en-IN"/>
        </w:rPr>
        <w:t>• The smooth gradient from one region to another implies continuous cellular transitions</w:t>
      </w:r>
      <w:r>
        <w:rPr>
          <w:lang w:val="en-IN"/>
        </w:rPr>
        <w:t xml:space="preserve"> </w:t>
      </w:r>
      <w:r w:rsidRPr="00F2524F">
        <w:rPr>
          <w:lang w:val="en-IN"/>
        </w:rPr>
        <w:t>between certain cell types.</w:t>
      </w:r>
    </w:p>
    <w:p w14:paraId="114B02F5" w14:textId="72D261C4" w:rsidR="00F2524F" w:rsidRPr="00F2524F" w:rsidRDefault="00F2524F" w:rsidP="00F2524F">
      <w:pPr>
        <w:rPr>
          <w:lang w:val="en-IN"/>
        </w:rPr>
      </w:pPr>
      <w:r w:rsidRPr="00F2524F">
        <w:rPr>
          <w:lang w:val="en-IN"/>
        </w:rPr>
        <w:t xml:space="preserve">• For example, some cells transition from progenitor-like states (low </w:t>
      </w:r>
      <w:proofErr w:type="spellStart"/>
      <w:r w:rsidRPr="00F2524F">
        <w:rPr>
          <w:lang w:val="en-IN"/>
        </w:rPr>
        <w:t>pseudotime</w:t>
      </w:r>
      <w:proofErr w:type="spellEnd"/>
      <w:r w:rsidRPr="00F2524F">
        <w:rPr>
          <w:lang w:val="en-IN"/>
        </w:rPr>
        <w:t>) to monocytes</w:t>
      </w:r>
      <w:r>
        <w:rPr>
          <w:lang w:val="en-IN"/>
        </w:rPr>
        <w:t xml:space="preserve"> </w:t>
      </w:r>
      <w:r w:rsidRPr="00F2524F">
        <w:rPr>
          <w:lang w:val="en-IN"/>
        </w:rPr>
        <w:t xml:space="preserve">or dendritic cells (high </w:t>
      </w:r>
      <w:proofErr w:type="spellStart"/>
      <w:r w:rsidRPr="00F2524F">
        <w:rPr>
          <w:lang w:val="en-IN"/>
        </w:rPr>
        <w:t>pseudotime</w:t>
      </w:r>
      <w:proofErr w:type="spellEnd"/>
      <w:r w:rsidRPr="00F2524F">
        <w:rPr>
          <w:lang w:val="en-IN"/>
        </w:rPr>
        <w:t>).</w:t>
      </w:r>
    </w:p>
    <w:p w14:paraId="05BD2169" w14:textId="77777777" w:rsidR="00F2524F" w:rsidRPr="00F2524F" w:rsidRDefault="00F2524F" w:rsidP="00F2524F">
      <w:pPr>
        <w:rPr>
          <w:lang w:val="en-IN"/>
        </w:rPr>
      </w:pPr>
      <w:r w:rsidRPr="00F2524F">
        <w:rPr>
          <w:lang w:val="en-IN"/>
        </w:rPr>
        <w:t xml:space="preserve">3. </w:t>
      </w:r>
      <w:r w:rsidRPr="00F2524F">
        <w:rPr>
          <w:b/>
          <w:bCs/>
          <w:lang w:val="en-IN"/>
        </w:rPr>
        <w:t>Dynamic Processes</w:t>
      </w:r>
      <w:r w:rsidRPr="00F2524F">
        <w:rPr>
          <w:lang w:val="en-IN"/>
        </w:rPr>
        <w:t>:</w:t>
      </w:r>
    </w:p>
    <w:p w14:paraId="70C30AEE" w14:textId="1C93E5E0" w:rsidR="00F2524F" w:rsidRPr="00F2524F" w:rsidRDefault="00F2524F" w:rsidP="00F2524F">
      <w:pPr>
        <w:rPr>
          <w:lang w:val="en-IN"/>
        </w:rPr>
      </w:pPr>
      <w:r w:rsidRPr="00F2524F">
        <w:rPr>
          <w:lang w:val="en-IN"/>
        </w:rPr>
        <w:t xml:space="preserve">• </w:t>
      </w:r>
      <w:proofErr w:type="spellStart"/>
      <w:r w:rsidRPr="00F2524F">
        <w:rPr>
          <w:lang w:val="en-IN"/>
        </w:rPr>
        <w:t>Pseudotime</w:t>
      </w:r>
      <w:proofErr w:type="spellEnd"/>
      <w:r w:rsidRPr="00F2524F">
        <w:rPr>
          <w:lang w:val="en-IN"/>
        </w:rPr>
        <w:t xml:space="preserve"> reveals dynamic biological processes like </w:t>
      </w:r>
      <w:proofErr w:type="spellStart"/>
      <w:r w:rsidRPr="00F2524F">
        <w:rPr>
          <w:lang w:val="en-IN"/>
        </w:rPr>
        <w:t>ie</w:t>
      </w:r>
      <w:proofErr w:type="spellEnd"/>
      <w:r w:rsidRPr="00F2524F">
        <w:rPr>
          <w:lang w:val="en-IN"/>
        </w:rPr>
        <w:t xml:space="preserve"> assistance with further analysis</w:t>
      </w:r>
      <w:r>
        <w:rPr>
          <w:lang w:val="en-IN"/>
        </w:rPr>
        <w:t xml:space="preserve"> </w:t>
      </w:r>
      <w:r w:rsidRPr="00F2524F">
        <w:rPr>
          <w:lang w:val="en-IN"/>
        </w:rPr>
        <w:t>or validation steps?</w:t>
      </w:r>
    </w:p>
    <w:p w14:paraId="2E917197" w14:textId="77777777" w:rsidR="00F2524F" w:rsidRDefault="00F2524F" w:rsidP="00F2524F">
      <w:pPr>
        <w:rPr>
          <w:b/>
          <w:bCs/>
          <w:lang w:val="en-IN"/>
        </w:rPr>
      </w:pPr>
      <w:r w:rsidRPr="00F2524F">
        <w:rPr>
          <w:b/>
          <w:bCs/>
          <w:lang w:val="en-IN"/>
        </w:rPr>
        <w:t xml:space="preserve">Biological Implications: </w:t>
      </w:r>
    </w:p>
    <w:p w14:paraId="027D3796" w14:textId="24903F3A" w:rsidR="00F2524F" w:rsidRPr="00F2524F" w:rsidRDefault="00F2524F" w:rsidP="00F2524F">
      <w:pPr>
        <w:rPr>
          <w:lang w:val="en-IN"/>
        </w:rPr>
      </w:pPr>
      <w:r w:rsidRPr="00F2524F">
        <w:rPr>
          <w:lang w:val="en-IN"/>
        </w:rPr>
        <w:t xml:space="preserve">1. </w:t>
      </w:r>
      <w:r w:rsidRPr="00F2524F">
        <w:rPr>
          <w:b/>
          <w:bCs/>
          <w:lang w:val="en-IN"/>
        </w:rPr>
        <w:t>Immune Cell Development</w:t>
      </w:r>
      <w:r w:rsidRPr="00F2524F">
        <w:rPr>
          <w:lang w:val="en-IN"/>
        </w:rPr>
        <w:t xml:space="preserve">: - Early </w:t>
      </w:r>
      <w:proofErr w:type="spellStart"/>
      <w:r w:rsidRPr="00F2524F">
        <w:rPr>
          <w:lang w:val="en-IN"/>
        </w:rPr>
        <w:t>pseudotime</w:t>
      </w:r>
      <w:proofErr w:type="spellEnd"/>
      <w:r w:rsidRPr="00F2524F">
        <w:rPr>
          <w:lang w:val="en-IN"/>
        </w:rPr>
        <w:t xml:space="preserve"> clusters could</w:t>
      </w:r>
      <w:r>
        <w:rPr>
          <w:lang w:val="en-IN"/>
        </w:rPr>
        <w:t xml:space="preserve"> </w:t>
      </w:r>
      <w:r w:rsidRPr="00F2524F">
        <w:rPr>
          <w:lang w:val="en-IN"/>
        </w:rPr>
        <w:t>represent stem or</w:t>
      </w:r>
      <w:r>
        <w:rPr>
          <w:lang w:val="en-IN"/>
        </w:rPr>
        <w:t xml:space="preserve"> </w:t>
      </w:r>
      <w:r w:rsidRPr="00F2524F">
        <w:rPr>
          <w:lang w:val="en-IN"/>
        </w:rPr>
        <w:t>progenitor cells, while later stages show differentiated immune cells such as</w:t>
      </w:r>
      <w:r>
        <w:rPr>
          <w:lang w:val="en-IN"/>
        </w:rPr>
        <w:t xml:space="preserve"> </w:t>
      </w:r>
      <w:r w:rsidRPr="00F2524F">
        <w:rPr>
          <w:lang w:val="en-IN"/>
        </w:rPr>
        <w:t>monocytes or dendritic cells.</w:t>
      </w:r>
    </w:p>
    <w:p w14:paraId="18CA2BD1" w14:textId="77777777" w:rsidR="00F2524F" w:rsidRPr="00F2524F" w:rsidRDefault="00F2524F" w:rsidP="00F2524F">
      <w:pPr>
        <w:rPr>
          <w:lang w:val="en-IN"/>
        </w:rPr>
      </w:pPr>
      <w:r w:rsidRPr="00F2524F">
        <w:rPr>
          <w:lang w:val="en-IN"/>
        </w:rPr>
        <w:t xml:space="preserve">2. </w:t>
      </w:r>
      <w:r w:rsidRPr="00F2524F">
        <w:rPr>
          <w:b/>
          <w:bCs/>
          <w:lang w:val="en-IN"/>
        </w:rPr>
        <w:t>Cell Fate Decisions</w:t>
      </w:r>
      <w:r w:rsidRPr="00F2524F">
        <w:rPr>
          <w:lang w:val="en-IN"/>
        </w:rPr>
        <w:t>:</w:t>
      </w:r>
    </w:p>
    <w:p w14:paraId="27502873" w14:textId="54722CCC" w:rsidR="00F2524F" w:rsidRPr="00F2524F" w:rsidRDefault="00F2524F" w:rsidP="00F2524F">
      <w:pPr>
        <w:rPr>
          <w:lang w:val="en-IN"/>
        </w:rPr>
      </w:pPr>
      <w:r w:rsidRPr="00F2524F">
        <w:rPr>
          <w:lang w:val="en-IN"/>
        </w:rPr>
        <w:t xml:space="preserve">• </w:t>
      </w:r>
      <w:proofErr w:type="spellStart"/>
      <w:r w:rsidRPr="00F2524F">
        <w:rPr>
          <w:lang w:val="en-IN"/>
        </w:rPr>
        <w:t>Pseudotime</w:t>
      </w:r>
      <w:proofErr w:type="spellEnd"/>
      <w:r w:rsidRPr="00F2524F">
        <w:rPr>
          <w:lang w:val="en-IN"/>
        </w:rPr>
        <w:t xml:space="preserve"> gradients suggest how cells transition from one type to another, providing</w:t>
      </w:r>
      <w:r>
        <w:rPr>
          <w:lang w:val="en-IN"/>
        </w:rPr>
        <w:t xml:space="preserve"> </w:t>
      </w:r>
      <w:r w:rsidRPr="00F2524F">
        <w:rPr>
          <w:lang w:val="en-IN"/>
        </w:rPr>
        <w:t>insights into developmental pathways or immune responses.</w:t>
      </w:r>
    </w:p>
    <w:p w14:paraId="492C7D9F" w14:textId="77777777" w:rsidR="00F2524F" w:rsidRPr="00F2524F" w:rsidRDefault="00F2524F" w:rsidP="00F2524F">
      <w:pPr>
        <w:rPr>
          <w:lang w:val="en-IN"/>
        </w:rPr>
      </w:pPr>
      <w:r w:rsidRPr="00F2524F">
        <w:rPr>
          <w:lang w:val="en-IN"/>
        </w:rPr>
        <w:t xml:space="preserve">3. </w:t>
      </w:r>
      <w:r w:rsidRPr="00F2524F">
        <w:rPr>
          <w:b/>
          <w:bCs/>
          <w:lang w:val="en-IN"/>
        </w:rPr>
        <w:t>Potential for Rare Cell Types</w:t>
      </w:r>
      <w:r w:rsidRPr="00F2524F">
        <w:rPr>
          <w:lang w:val="en-IN"/>
        </w:rPr>
        <w:t>:</w:t>
      </w:r>
    </w:p>
    <w:p w14:paraId="0B9DC69D" w14:textId="5864022A" w:rsidR="00F2524F" w:rsidRPr="00F2524F" w:rsidRDefault="00F2524F" w:rsidP="00F2524F">
      <w:pPr>
        <w:rPr>
          <w:lang w:val="en-IN"/>
        </w:rPr>
      </w:pPr>
      <w:r w:rsidRPr="00F2524F">
        <w:rPr>
          <w:lang w:val="en-IN"/>
        </w:rPr>
        <w:t xml:space="preserve">• Investigating the “NA” cluster and </w:t>
      </w:r>
      <w:proofErr w:type="spellStart"/>
      <w:r w:rsidRPr="00F2524F">
        <w:rPr>
          <w:lang w:val="en-IN"/>
        </w:rPr>
        <w:t>pseudotime</w:t>
      </w:r>
      <w:proofErr w:type="spellEnd"/>
      <w:r w:rsidRPr="00F2524F">
        <w:rPr>
          <w:lang w:val="en-IN"/>
        </w:rPr>
        <w:t xml:space="preserve"> extremes could help identify rare or novel</w:t>
      </w:r>
      <w:r>
        <w:rPr>
          <w:lang w:val="en-IN"/>
        </w:rPr>
        <w:t xml:space="preserve"> </w:t>
      </w:r>
      <w:r w:rsidRPr="00F2524F">
        <w:rPr>
          <w:lang w:val="en-IN"/>
        </w:rPr>
        <w:t>cell types.</w:t>
      </w:r>
    </w:p>
    <w:p w14:paraId="1E88F20E" w14:textId="77777777" w:rsidR="00014870" w:rsidRDefault="00000000">
      <w:pPr>
        <w:pStyle w:val="Heading2"/>
      </w:pPr>
      <w:r>
        <w:t>Differential Expression &amp; Composition</w:t>
      </w:r>
    </w:p>
    <w:p w14:paraId="06BAB67E" w14:textId="77777777" w:rsidR="00014870" w:rsidRDefault="00000000">
      <w:r>
        <w:t>Aggregate counts into pseudobulk profiles per sample×cell‑type, fit negative‑binomial GLMs for AD vs control contrasts, and model compositional shifts with scCODA.</w:t>
      </w:r>
    </w:p>
    <w:p w14:paraId="43F7A41D" w14:textId="77777777" w:rsidR="00014870" w:rsidRDefault="00000000">
      <w:pPr>
        <w:pStyle w:val="Heading1"/>
      </w:pPr>
      <w:r>
        <w:t>3 Key Outputs</w:t>
      </w:r>
    </w:p>
    <w:p w14:paraId="0E5FCA0D" w14:textId="77777777" w:rsidR="00014870" w:rsidRDefault="00000000">
      <w:pPr>
        <w:pStyle w:val="ListBullet"/>
      </w:pPr>
      <w:r>
        <w:t>adata_qc.h5ad – Filtered single‑modality AnnData (25 032 cells × 24 379 genes).</w:t>
      </w:r>
    </w:p>
    <w:p w14:paraId="0BD6FC37" w14:textId="77777777" w:rsidR="00014870" w:rsidRDefault="00000000">
      <w:pPr>
        <w:pStyle w:val="ListBullet"/>
      </w:pPr>
      <w:r>
        <w:t>mdata_processed.h5mu – Multimodal MuData with joint embeddings and cluster annotations.</w:t>
      </w:r>
    </w:p>
    <w:p w14:paraId="519672E4" w14:textId="77777777" w:rsidR="00014870" w:rsidRDefault="00000000">
      <w:pPr>
        <w:pStyle w:val="ListBullet"/>
      </w:pPr>
      <w:r>
        <w:t>figures/*.png – UMAPs, QC plots, PAGA graph, volcano and enrichment plots.</w:t>
      </w:r>
    </w:p>
    <w:p w14:paraId="13C2756A" w14:textId="77777777" w:rsidR="00014870" w:rsidRDefault="00000000">
      <w:pPr>
        <w:pStyle w:val="ListBullet"/>
      </w:pPr>
      <w:r>
        <w:t>de_results/*.csv – Differential‑expression tables (gene, logFC, p‑value, FDR) per cell type.</w:t>
      </w:r>
    </w:p>
    <w:p w14:paraId="261F1C28" w14:textId="77777777" w:rsidR="00014870" w:rsidRDefault="00000000">
      <w:pPr>
        <w:pStyle w:val="ListBullet"/>
      </w:pPr>
      <w:r>
        <w:t>pseudobulk/counts.csv – Gene counts aggregated by sample and cell type.</w:t>
      </w:r>
    </w:p>
    <w:p w14:paraId="1287EA4C" w14:textId="77777777" w:rsidR="00014870" w:rsidRDefault="00000000">
      <w:pPr>
        <w:pStyle w:val="Heading1"/>
      </w:pPr>
      <w:r>
        <w:t>4 Interpretations</w:t>
      </w:r>
    </w:p>
    <w:p w14:paraId="03342F31" w14:textId="77777777" w:rsidR="00014870" w:rsidRDefault="00000000">
      <w:r>
        <w:t>Unsupervised clustering resolved distinct microglial states, including a disease‑associated microglia (DAM/ARM) cluster enriched for lipid‑handling and phagocytosis genes (Apoe, Trem2, Cst7), and an interferon‑responsive cluster characterised by Ifit3 and Irf7. Trajectory analysis suggests a continuum from homeostatic microglia towards the DAM phenotype, supporting progressive activation in the AD brain. Pathway enrichment highlights lipid catabolic processes and cytokine signalling as dominant themes in activated states, while composition modelling indicates an increased proportion of DAM cells in 5XFAD samples relative to wild type.</w:t>
      </w:r>
      <w:r>
        <w:br/>
      </w:r>
    </w:p>
    <w:p w14:paraId="04032C84" w14:textId="77777777" w:rsidR="00014870" w:rsidRDefault="00000000">
      <w:pPr>
        <w:pStyle w:val="Heading2"/>
      </w:pPr>
      <w:r>
        <w:t>4.1 Representative Cluster Signatures</w:t>
      </w:r>
    </w:p>
    <w:tbl>
      <w:tblPr>
        <w:tblW w:w="0" w:type="auto"/>
        <w:tblLook w:val="04A0" w:firstRow="1" w:lastRow="0" w:firstColumn="1" w:lastColumn="0" w:noHBand="0" w:noVBand="1"/>
      </w:tblPr>
      <w:tblGrid>
        <w:gridCol w:w="2160"/>
        <w:gridCol w:w="2160"/>
        <w:gridCol w:w="2289"/>
        <w:gridCol w:w="2160"/>
      </w:tblGrid>
      <w:tr w:rsidR="00014870" w14:paraId="59BDC92A" w14:textId="77777777">
        <w:tc>
          <w:tcPr>
            <w:tcW w:w="2160" w:type="dxa"/>
          </w:tcPr>
          <w:p w14:paraId="08CF82E6" w14:textId="77777777" w:rsidR="00014870" w:rsidRDefault="00000000">
            <w:r>
              <w:t>Cluster ID</w:t>
            </w:r>
          </w:p>
        </w:tc>
        <w:tc>
          <w:tcPr>
            <w:tcW w:w="2160" w:type="dxa"/>
          </w:tcPr>
          <w:p w14:paraId="1BDD6BD8" w14:textId="77777777" w:rsidR="00014870" w:rsidRDefault="00000000">
            <w:r>
              <w:t>Top Markers</w:t>
            </w:r>
          </w:p>
        </w:tc>
        <w:tc>
          <w:tcPr>
            <w:tcW w:w="2160" w:type="dxa"/>
          </w:tcPr>
          <w:p w14:paraId="187EEDD4" w14:textId="77777777" w:rsidR="00014870" w:rsidRDefault="00000000">
            <w:r>
              <w:t>Putative Identity</w:t>
            </w:r>
          </w:p>
        </w:tc>
        <w:tc>
          <w:tcPr>
            <w:tcW w:w="2160" w:type="dxa"/>
          </w:tcPr>
          <w:p w14:paraId="58769EFA" w14:textId="77777777" w:rsidR="00014870" w:rsidRDefault="00000000">
            <w:r>
              <w:t>Functional Notes</w:t>
            </w:r>
          </w:p>
        </w:tc>
      </w:tr>
      <w:tr w:rsidR="00014870" w14:paraId="2EAAB981" w14:textId="77777777">
        <w:tc>
          <w:tcPr>
            <w:tcW w:w="2160" w:type="dxa"/>
          </w:tcPr>
          <w:p w14:paraId="60DB431F" w14:textId="77777777" w:rsidR="00014870" w:rsidRDefault="00000000">
            <w:r>
              <w:t>0</w:t>
            </w:r>
          </w:p>
        </w:tc>
        <w:tc>
          <w:tcPr>
            <w:tcW w:w="2160" w:type="dxa"/>
          </w:tcPr>
          <w:p w14:paraId="56AAE78F" w14:textId="77777777" w:rsidR="00014870" w:rsidRDefault="00000000">
            <w:r>
              <w:t>P2ry12, Tmem119</w:t>
            </w:r>
          </w:p>
        </w:tc>
        <w:tc>
          <w:tcPr>
            <w:tcW w:w="2160" w:type="dxa"/>
          </w:tcPr>
          <w:p w14:paraId="758236FB" w14:textId="77777777" w:rsidR="00014870" w:rsidRDefault="00000000">
            <w:r>
              <w:t>Homeostatic microglia</w:t>
            </w:r>
          </w:p>
        </w:tc>
        <w:tc>
          <w:tcPr>
            <w:tcW w:w="2160" w:type="dxa"/>
          </w:tcPr>
          <w:p w14:paraId="1F8439D1" w14:textId="77777777" w:rsidR="00014870" w:rsidRDefault="00000000">
            <w:r>
              <w:t>Baseline surveillance</w:t>
            </w:r>
          </w:p>
        </w:tc>
      </w:tr>
      <w:tr w:rsidR="00014870" w14:paraId="6685078E" w14:textId="77777777">
        <w:tc>
          <w:tcPr>
            <w:tcW w:w="2160" w:type="dxa"/>
          </w:tcPr>
          <w:p w14:paraId="669B54A4" w14:textId="77777777" w:rsidR="00014870" w:rsidRDefault="00000000">
            <w:r>
              <w:t>3</w:t>
            </w:r>
          </w:p>
        </w:tc>
        <w:tc>
          <w:tcPr>
            <w:tcW w:w="2160" w:type="dxa"/>
          </w:tcPr>
          <w:p w14:paraId="700AFC0E" w14:textId="77777777" w:rsidR="00014870" w:rsidRDefault="00000000">
            <w:r>
              <w:t>Apoe, Trem2, Cst7</w:t>
            </w:r>
          </w:p>
        </w:tc>
        <w:tc>
          <w:tcPr>
            <w:tcW w:w="2160" w:type="dxa"/>
          </w:tcPr>
          <w:p w14:paraId="7074952D" w14:textId="77777777" w:rsidR="00014870" w:rsidRDefault="00000000">
            <w:r>
              <w:t>DAM/ARM</w:t>
            </w:r>
          </w:p>
        </w:tc>
        <w:tc>
          <w:tcPr>
            <w:tcW w:w="2160" w:type="dxa"/>
          </w:tcPr>
          <w:p w14:paraId="438BD55C" w14:textId="77777777" w:rsidR="00014870" w:rsidRDefault="00000000">
            <w:r>
              <w:t>Phagocytosis, lipid metabolism in AD</w:t>
            </w:r>
          </w:p>
        </w:tc>
      </w:tr>
      <w:tr w:rsidR="00014870" w14:paraId="4FBF9AFD" w14:textId="77777777">
        <w:tc>
          <w:tcPr>
            <w:tcW w:w="2160" w:type="dxa"/>
          </w:tcPr>
          <w:p w14:paraId="187FCA53" w14:textId="77777777" w:rsidR="00014870" w:rsidRDefault="00000000">
            <w:r>
              <w:t>5</w:t>
            </w:r>
          </w:p>
        </w:tc>
        <w:tc>
          <w:tcPr>
            <w:tcW w:w="2160" w:type="dxa"/>
          </w:tcPr>
          <w:p w14:paraId="79818FAA" w14:textId="77777777" w:rsidR="00014870" w:rsidRDefault="00000000">
            <w:r>
              <w:t>Ifit3, Ifitm3, Irf7</w:t>
            </w:r>
          </w:p>
        </w:tc>
        <w:tc>
          <w:tcPr>
            <w:tcW w:w="2160" w:type="dxa"/>
          </w:tcPr>
          <w:p w14:paraId="7A7171D4" w14:textId="77777777" w:rsidR="00014870" w:rsidRDefault="00000000">
            <w:r>
              <w:t>Interferon‑responsive</w:t>
            </w:r>
          </w:p>
        </w:tc>
        <w:tc>
          <w:tcPr>
            <w:tcW w:w="2160" w:type="dxa"/>
          </w:tcPr>
          <w:p w14:paraId="6D28C2A1" w14:textId="08D27C8C" w:rsidR="00014870" w:rsidRDefault="00000000">
            <w:r>
              <w:t xml:space="preserve">Type‑I IFN </w:t>
            </w:r>
          </w:p>
        </w:tc>
      </w:tr>
    </w:tbl>
    <w:p w14:paraId="04A9C989" w14:textId="77777777" w:rsidR="00014870" w:rsidRDefault="00000000">
      <w:pPr>
        <w:pStyle w:val="Heading1"/>
      </w:pPr>
      <w:r>
        <w:t>5 Limitations</w:t>
      </w:r>
    </w:p>
    <w:p w14:paraId="00A53649" w14:textId="77777777" w:rsidR="00014870" w:rsidRDefault="00000000">
      <w:r>
        <w:t>Batch correction is not applied; integrating additional donors or modalities may require Harmony or scVI. Pseudobulk differential expression assumes ≥3 replicates per condition. ADT and ATAC modalities are stubbed and await data insertion.</w:t>
      </w:r>
    </w:p>
    <w:p w14:paraId="4D9A3FAC" w14:textId="77777777" w:rsidR="00F2524F" w:rsidRDefault="00F2524F"/>
    <w:p w14:paraId="03579AA4" w14:textId="5F2B12CB" w:rsidR="00F2524F" w:rsidRDefault="00F2524F">
      <w:r>
        <w:rPr>
          <w:noProof/>
        </w:rPr>
        <w:drawing>
          <wp:inline distT="0" distB="0" distL="0" distR="0" wp14:anchorId="127CD4E8" wp14:editId="4510501F">
            <wp:extent cx="5486400" cy="3496945"/>
            <wp:effectExtent l="0" t="0" r="0" b="8255"/>
            <wp:docPr id="4611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3465" name=""/>
                    <pic:cNvPicPr/>
                  </pic:nvPicPr>
                  <pic:blipFill>
                    <a:blip r:embed="rId12"/>
                    <a:stretch>
                      <a:fillRect/>
                    </a:stretch>
                  </pic:blipFill>
                  <pic:spPr>
                    <a:xfrm>
                      <a:off x="0" y="0"/>
                      <a:ext cx="5486400" cy="3496945"/>
                    </a:xfrm>
                    <a:prstGeom prst="rect">
                      <a:avLst/>
                    </a:prstGeom>
                  </pic:spPr>
                </pic:pic>
              </a:graphicData>
            </a:graphic>
          </wp:inline>
        </w:drawing>
      </w:r>
    </w:p>
    <w:p w14:paraId="7D2D753C" w14:textId="1B9DB3A5" w:rsidR="00F2524F" w:rsidRDefault="00F2524F">
      <w:r>
        <w:rPr>
          <w:noProof/>
        </w:rPr>
        <w:drawing>
          <wp:inline distT="0" distB="0" distL="0" distR="0" wp14:anchorId="0C0187E7" wp14:editId="579E6D3A">
            <wp:extent cx="5486400" cy="3589655"/>
            <wp:effectExtent l="0" t="0" r="0" b="0"/>
            <wp:docPr id="74995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6223" name=""/>
                    <pic:cNvPicPr/>
                  </pic:nvPicPr>
                  <pic:blipFill>
                    <a:blip r:embed="rId13"/>
                    <a:stretch>
                      <a:fillRect/>
                    </a:stretch>
                  </pic:blipFill>
                  <pic:spPr>
                    <a:xfrm>
                      <a:off x="0" y="0"/>
                      <a:ext cx="5486400" cy="3589655"/>
                    </a:xfrm>
                    <a:prstGeom prst="rect">
                      <a:avLst/>
                    </a:prstGeom>
                  </pic:spPr>
                </pic:pic>
              </a:graphicData>
            </a:graphic>
          </wp:inline>
        </w:drawing>
      </w:r>
    </w:p>
    <w:p w14:paraId="38C8D9EA" w14:textId="77777777" w:rsidR="00F2524F" w:rsidRDefault="00F2524F"/>
    <w:p w14:paraId="5A2ADCAE" w14:textId="10210237" w:rsidR="00F2524F" w:rsidRDefault="00F2524F">
      <w:r>
        <w:rPr>
          <w:noProof/>
        </w:rPr>
        <w:drawing>
          <wp:inline distT="0" distB="0" distL="0" distR="0" wp14:anchorId="5D5EB45F" wp14:editId="1BBED469">
            <wp:extent cx="5486400" cy="3589655"/>
            <wp:effectExtent l="0" t="0" r="0" b="0"/>
            <wp:docPr id="189937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8156" name=""/>
                    <pic:cNvPicPr/>
                  </pic:nvPicPr>
                  <pic:blipFill>
                    <a:blip r:embed="rId14"/>
                    <a:stretch>
                      <a:fillRect/>
                    </a:stretch>
                  </pic:blipFill>
                  <pic:spPr>
                    <a:xfrm>
                      <a:off x="0" y="0"/>
                      <a:ext cx="5486400" cy="3589655"/>
                    </a:xfrm>
                    <a:prstGeom prst="rect">
                      <a:avLst/>
                    </a:prstGeom>
                  </pic:spPr>
                </pic:pic>
              </a:graphicData>
            </a:graphic>
          </wp:inline>
        </w:drawing>
      </w:r>
    </w:p>
    <w:p w14:paraId="0385155C" w14:textId="77777777" w:rsidR="00F2524F" w:rsidRDefault="00F2524F"/>
    <w:p w14:paraId="13822EB6" w14:textId="688DF587" w:rsidR="00F2524F" w:rsidRDefault="00F2524F">
      <w:r>
        <w:rPr>
          <w:noProof/>
        </w:rPr>
        <w:drawing>
          <wp:inline distT="0" distB="0" distL="0" distR="0" wp14:anchorId="29112159" wp14:editId="3321FA11">
            <wp:extent cx="5486400" cy="3496945"/>
            <wp:effectExtent l="0" t="0" r="0" b="8255"/>
            <wp:docPr id="10265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6260" name=""/>
                    <pic:cNvPicPr/>
                  </pic:nvPicPr>
                  <pic:blipFill>
                    <a:blip r:embed="rId15"/>
                    <a:stretch>
                      <a:fillRect/>
                    </a:stretch>
                  </pic:blipFill>
                  <pic:spPr>
                    <a:xfrm>
                      <a:off x="0" y="0"/>
                      <a:ext cx="5486400" cy="3496945"/>
                    </a:xfrm>
                    <a:prstGeom prst="rect">
                      <a:avLst/>
                    </a:prstGeom>
                  </pic:spPr>
                </pic:pic>
              </a:graphicData>
            </a:graphic>
          </wp:inline>
        </w:drawing>
      </w:r>
    </w:p>
    <w:p w14:paraId="791D0DBA" w14:textId="77777777" w:rsidR="00F2524F" w:rsidRDefault="00F2524F"/>
    <w:p w14:paraId="465AC320" w14:textId="3D4651B6" w:rsidR="00F2524F" w:rsidRDefault="00F2524F">
      <w:r>
        <w:rPr>
          <w:noProof/>
        </w:rPr>
        <w:drawing>
          <wp:inline distT="0" distB="0" distL="0" distR="0" wp14:anchorId="4DB989E2" wp14:editId="0498406C">
            <wp:extent cx="5486400" cy="3550920"/>
            <wp:effectExtent l="0" t="0" r="0" b="0"/>
            <wp:docPr id="134116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2674" name=""/>
                    <pic:cNvPicPr/>
                  </pic:nvPicPr>
                  <pic:blipFill>
                    <a:blip r:embed="rId16"/>
                    <a:stretch>
                      <a:fillRect/>
                    </a:stretch>
                  </pic:blipFill>
                  <pic:spPr>
                    <a:xfrm>
                      <a:off x="0" y="0"/>
                      <a:ext cx="5486400" cy="3550920"/>
                    </a:xfrm>
                    <a:prstGeom prst="rect">
                      <a:avLst/>
                    </a:prstGeom>
                  </pic:spPr>
                </pic:pic>
              </a:graphicData>
            </a:graphic>
          </wp:inline>
        </w:drawing>
      </w:r>
    </w:p>
    <w:p w14:paraId="0607B39B" w14:textId="77777777" w:rsidR="0062280A" w:rsidRDefault="0062280A"/>
    <w:p w14:paraId="466A3FBE" w14:textId="65311DA6" w:rsidR="0062280A" w:rsidRDefault="0062280A">
      <w:r>
        <w:rPr>
          <w:noProof/>
        </w:rPr>
        <w:drawing>
          <wp:inline distT="0" distB="0" distL="0" distR="0" wp14:anchorId="284B4F95" wp14:editId="1FAC0473">
            <wp:extent cx="5486400" cy="3550920"/>
            <wp:effectExtent l="0" t="0" r="0" b="0"/>
            <wp:docPr id="74033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5451" name=""/>
                    <pic:cNvPicPr/>
                  </pic:nvPicPr>
                  <pic:blipFill>
                    <a:blip r:embed="rId17"/>
                    <a:stretch>
                      <a:fillRect/>
                    </a:stretch>
                  </pic:blipFill>
                  <pic:spPr>
                    <a:xfrm>
                      <a:off x="0" y="0"/>
                      <a:ext cx="5486400" cy="3550920"/>
                    </a:xfrm>
                    <a:prstGeom prst="rect">
                      <a:avLst/>
                    </a:prstGeom>
                  </pic:spPr>
                </pic:pic>
              </a:graphicData>
            </a:graphic>
          </wp:inline>
        </w:drawing>
      </w:r>
    </w:p>
    <w:p w14:paraId="44085185" w14:textId="77777777" w:rsidR="0062280A" w:rsidRDefault="0062280A"/>
    <w:p w14:paraId="5587090A" w14:textId="77777777" w:rsidR="0062280A" w:rsidRPr="0062280A" w:rsidRDefault="0062280A" w:rsidP="0062280A">
      <w:pPr>
        <w:rPr>
          <w:lang w:val="en-IN"/>
        </w:rPr>
      </w:pPr>
      <w:r w:rsidRPr="0062280A">
        <w:rPr>
          <w:lang w:val="en-IN"/>
        </w:rPr>
        <w:t xml:space="preserve">This volcano plot represents the results of a differential expression analysis for </w:t>
      </w:r>
      <w:proofErr w:type="spellStart"/>
      <w:r w:rsidRPr="0062280A">
        <w:rPr>
          <w:lang w:val="en-IN"/>
        </w:rPr>
        <w:t>T_Cells</w:t>
      </w:r>
      <w:proofErr w:type="spellEnd"/>
      <w:r w:rsidRPr="0062280A">
        <w:rPr>
          <w:lang w:val="en-IN"/>
        </w:rPr>
        <w:t>. Here’s</w:t>
      </w:r>
      <w:r>
        <w:rPr>
          <w:lang w:val="en-IN"/>
        </w:rPr>
        <w:t xml:space="preserve"> </w:t>
      </w:r>
      <w:r w:rsidRPr="0062280A">
        <w:rPr>
          <w:lang w:val="en-IN"/>
        </w:rPr>
        <w:t>what it implies:</w:t>
      </w:r>
    </w:p>
    <w:p w14:paraId="3872B181" w14:textId="77777777" w:rsidR="0062280A" w:rsidRPr="0062280A" w:rsidRDefault="0062280A" w:rsidP="0062280A">
      <w:pPr>
        <w:rPr>
          <w:lang w:val="en-IN"/>
        </w:rPr>
      </w:pPr>
      <w:r w:rsidRPr="0062280A">
        <w:rPr>
          <w:lang w:val="en-IN"/>
        </w:rPr>
        <w:t xml:space="preserve">1. </w:t>
      </w:r>
      <w:r w:rsidRPr="0062280A">
        <w:rPr>
          <w:b/>
          <w:bCs/>
          <w:lang w:val="en-IN"/>
        </w:rPr>
        <w:t>Axes</w:t>
      </w:r>
      <w:r w:rsidRPr="0062280A">
        <w:rPr>
          <w:lang w:val="en-IN"/>
        </w:rPr>
        <w:t>:</w:t>
      </w:r>
    </w:p>
    <w:p w14:paraId="231078C8" w14:textId="3A87528B" w:rsidR="0062280A" w:rsidRPr="0062280A" w:rsidRDefault="0062280A" w:rsidP="0062280A">
      <w:pPr>
        <w:ind w:firstLine="720"/>
        <w:rPr>
          <w:lang w:val="en-IN"/>
        </w:rPr>
      </w:pPr>
      <w:r w:rsidRPr="0062280A">
        <w:rPr>
          <w:lang w:val="en-IN"/>
        </w:rPr>
        <w:t xml:space="preserve">• The x-axis shows the </w:t>
      </w:r>
      <w:r w:rsidRPr="0062280A">
        <w:rPr>
          <w:b/>
          <w:bCs/>
          <w:lang w:val="en-IN"/>
        </w:rPr>
        <w:t>log fold change (</w:t>
      </w:r>
      <w:proofErr w:type="spellStart"/>
      <w:r w:rsidRPr="0062280A">
        <w:rPr>
          <w:b/>
          <w:bCs/>
          <w:lang w:val="en-IN"/>
        </w:rPr>
        <w:t>logFC</w:t>
      </w:r>
      <w:proofErr w:type="spellEnd"/>
      <w:r w:rsidRPr="0062280A">
        <w:rPr>
          <w:b/>
          <w:bCs/>
          <w:lang w:val="en-IN"/>
        </w:rPr>
        <w:t xml:space="preserve">) </w:t>
      </w:r>
      <w:r w:rsidRPr="0062280A">
        <w:rPr>
          <w:lang w:val="en-IN"/>
        </w:rPr>
        <w:t>in gene expression between conditions.</w:t>
      </w:r>
    </w:p>
    <w:p w14:paraId="49F65F1B" w14:textId="77777777" w:rsidR="0062280A" w:rsidRPr="0062280A" w:rsidRDefault="0062280A" w:rsidP="0062280A">
      <w:pPr>
        <w:ind w:left="1440"/>
        <w:rPr>
          <w:lang w:val="en-IN"/>
        </w:rPr>
      </w:pPr>
      <w:r w:rsidRPr="0062280A">
        <w:rPr>
          <w:b/>
          <w:bCs/>
          <w:lang w:val="en-IN"/>
        </w:rPr>
        <w:t xml:space="preserve">– </w:t>
      </w:r>
      <w:r w:rsidRPr="0062280A">
        <w:rPr>
          <w:lang w:val="en-IN"/>
        </w:rPr>
        <w:t xml:space="preserve">Positive values indicate upregulation in </w:t>
      </w:r>
      <w:proofErr w:type="spellStart"/>
      <w:r w:rsidRPr="0062280A">
        <w:rPr>
          <w:lang w:val="en-IN"/>
        </w:rPr>
        <w:t>T_Cells</w:t>
      </w:r>
      <w:proofErr w:type="spellEnd"/>
      <w:r w:rsidRPr="0062280A">
        <w:rPr>
          <w:lang w:val="en-IN"/>
        </w:rPr>
        <w:t>.</w:t>
      </w:r>
    </w:p>
    <w:p w14:paraId="0BAB6F78" w14:textId="77777777" w:rsidR="0062280A" w:rsidRPr="0062280A" w:rsidRDefault="0062280A" w:rsidP="0062280A">
      <w:pPr>
        <w:ind w:left="1440"/>
        <w:rPr>
          <w:lang w:val="en-IN"/>
        </w:rPr>
      </w:pPr>
      <w:r w:rsidRPr="0062280A">
        <w:rPr>
          <w:b/>
          <w:bCs/>
          <w:lang w:val="en-IN"/>
        </w:rPr>
        <w:t xml:space="preserve">– </w:t>
      </w:r>
      <w:r w:rsidRPr="0062280A">
        <w:rPr>
          <w:lang w:val="en-IN"/>
        </w:rPr>
        <w:t>Negative values indicate downregulation.</w:t>
      </w:r>
    </w:p>
    <w:p w14:paraId="4AE00E35" w14:textId="77777777" w:rsidR="0062280A" w:rsidRPr="0062280A" w:rsidRDefault="0062280A" w:rsidP="0062280A">
      <w:pPr>
        <w:ind w:left="720"/>
        <w:rPr>
          <w:lang w:val="en-IN"/>
        </w:rPr>
      </w:pPr>
      <w:r w:rsidRPr="0062280A">
        <w:rPr>
          <w:lang w:val="en-IN"/>
        </w:rPr>
        <w:t xml:space="preserve">• The y-axis shows </w:t>
      </w:r>
      <w:r w:rsidRPr="0062280A">
        <w:rPr>
          <w:b/>
          <w:bCs/>
          <w:lang w:val="en-IN"/>
        </w:rPr>
        <w:t>-log10(FDR-adjusted p-values)</w:t>
      </w:r>
      <w:r w:rsidRPr="0062280A">
        <w:rPr>
          <w:lang w:val="en-IN"/>
        </w:rPr>
        <w:t>.</w:t>
      </w:r>
    </w:p>
    <w:p w14:paraId="108DE943" w14:textId="77777777" w:rsidR="0062280A" w:rsidRPr="0062280A" w:rsidRDefault="0062280A" w:rsidP="0062280A">
      <w:pPr>
        <w:ind w:left="720" w:firstLine="720"/>
        <w:rPr>
          <w:lang w:val="en-IN"/>
        </w:rPr>
      </w:pPr>
      <w:r w:rsidRPr="0062280A">
        <w:rPr>
          <w:b/>
          <w:bCs/>
          <w:lang w:val="en-IN"/>
        </w:rPr>
        <w:t xml:space="preserve">– </w:t>
      </w:r>
      <w:r w:rsidRPr="0062280A">
        <w:rPr>
          <w:lang w:val="en-IN"/>
        </w:rPr>
        <w:t>Higher values indicate greater statistical significance.</w:t>
      </w:r>
    </w:p>
    <w:p w14:paraId="2F3A794C" w14:textId="77777777" w:rsidR="0062280A" w:rsidRPr="0062280A" w:rsidRDefault="0062280A" w:rsidP="0062280A">
      <w:pPr>
        <w:rPr>
          <w:lang w:val="en-IN"/>
        </w:rPr>
      </w:pPr>
      <w:r w:rsidRPr="0062280A">
        <w:rPr>
          <w:lang w:val="en-IN"/>
        </w:rPr>
        <w:t xml:space="preserve">2. </w:t>
      </w:r>
      <w:r w:rsidRPr="0062280A">
        <w:rPr>
          <w:b/>
          <w:bCs/>
          <w:lang w:val="en-IN"/>
        </w:rPr>
        <w:t>Thresholds</w:t>
      </w:r>
      <w:r w:rsidRPr="0062280A">
        <w:rPr>
          <w:lang w:val="en-IN"/>
        </w:rPr>
        <w:t>:</w:t>
      </w:r>
    </w:p>
    <w:p w14:paraId="714C16CC" w14:textId="77777777" w:rsidR="0062280A" w:rsidRPr="0062280A" w:rsidRDefault="0062280A" w:rsidP="0062280A">
      <w:pPr>
        <w:ind w:left="720"/>
        <w:rPr>
          <w:lang w:val="en-IN"/>
        </w:rPr>
      </w:pPr>
      <w:r w:rsidRPr="0062280A">
        <w:rPr>
          <w:lang w:val="en-IN"/>
        </w:rPr>
        <w:t xml:space="preserve">• The vertical blue dashed lines represent the </w:t>
      </w:r>
      <w:r w:rsidRPr="0062280A">
        <w:rPr>
          <w:b/>
          <w:bCs/>
          <w:lang w:val="en-IN"/>
        </w:rPr>
        <w:t xml:space="preserve">log fold change threshold </w:t>
      </w:r>
      <w:r w:rsidRPr="0062280A">
        <w:rPr>
          <w:lang w:val="en-IN"/>
        </w:rPr>
        <w:t>(±1.5).</w:t>
      </w:r>
    </w:p>
    <w:p w14:paraId="0F13872C" w14:textId="77777777" w:rsidR="0062280A" w:rsidRPr="0062280A" w:rsidRDefault="0062280A" w:rsidP="0062280A">
      <w:pPr>
        <w:ind w:left="720" w:firstLine="720"/>
        <w:rPr>
          <w:lang w:val="en-IN"/>
        </w:rPr>
      </w:pPr>
      <w:r w:rsidRPr="0062280A">
        <w:rPr>
          <w:b/>
          <w:bCs/>
          <w:lang w:val="en-IN"/>
        </w:rPr>
        <w:t xml:space="preserve">– </w:t>
      </w:r>
      <w:r w:rsidRPr="0062280A">
        <w:rPr>
          <w:lang w:val="en-IN"/>
        </w:rPr>
        <w:t>Genes outside these lines have substantial changes in expression.</w:t>
      </w:r>
    </w:p>
    <w:p w14:paraId="7B356E95" w14:textId="77777777" w:rsidR="0062280A" w:rsidRPr="0062280A" w:rsidRDefault="0062280A" w:rsidP="0062280A">
      <w:pPr>
        <w:ind w:left="720"/>
        <w:rPr>
          <w:lang w:val="en-IN"/>
        </w:rPr>
      </w:pPr>
      <w:r w:rsidRPr="0062280A">
        <w:rPr>
          <w:lang w:val="en-IN"/>
        </w:rPr>
        <w:t xml:space="preserve">• The horizontal green dashed line represents the </w:t>
      </w:r>
      <w:r w:rsidRPr="0062280A">
        <w:rPr>
          <w:b/>
          <w:bCs/>
          <w:lang w:val="en-IN"/>
        </w:rPr>
        <w:t>FDR threshold (0.01)</w:t>
      </w:r>
      <w:r w:rsidRPr="0062280A">
        <w:rPr>
          <w:lang w:val="en-IN"/>
        </w:rPr>
        <w:t>.</w:t>
      </w:r>
    </w:p>
    <w:p w14:paraId="4BE054E5" w14:textId="77777777" w:rsidR="0062280A" w:rsidRPr="0062280A" w:rsidRDefault="0062280A" w:rsidP="0062280A">
      <w:pPr>
        <w:ind w:left="720" w:firstLine="720"/>
        <w:rPr>
          <w:lang w:val="en-IN"/>
        </w:rPr>
      </w:pPr>
      <w:r w:rsidRPr="0062280A">
        <w:rPr>
          <w:b/>
          <w:bCs/>
          <w:lang w:val="en-IN"/>
        </w:rPr>
        <w:t xml:space="preserve">– </w:t>
      </w:r>
      <w:r w:rsidRPr="0062280A">
        <w:rPr>
          <w:lang w:val="en-IN"/>
        </w:rPr>
        <w:t>Genes above this line are statistically significant.</w:t>
      </w:r>
    </w:p>
    <w:p w14:paraId="7825BE50" w14:textId="77777777" w:rsidR="0062280A" w:rsidRPr="0062280A" w:rsidRDefault="0062280A" w:rsidP="0062280A">
      <w:pPr>
        <w:rPr>
          <w:lang w:val="en-IN"/>
        </w:rPr>
      </w:pPr>
      <w:r w:rsidRPr="0062280A">
        <w:rPr>
          <w:lang w:val="en-IN"/>
        </w:rPr>
        <w:t xml:space="preserve">3. </w:t>
      </w:r>
      <w:r w:rsidRPr="0062280A">
        <w:rPr>
          <w:b/>
          <w:bCs/>
          <w:lang w:val="en-IN"/>
        </w:rPr>
        <w:t>Points</w:t>
      </w:r>
      <w:r w:rsidRPr="0062280A">
        <w:rPr>
          <w:lang w:val="en-IN"/>
        </w:rPr>
        <w:t>:</w:t>
      </w:r>
    </w:p>
    <w:p w14:paraId="64158FDC" w14:textId="3D208A1A" w:rsidR="0062280A" w:rsidRPr="0062280A" w:rsidRDefault="0062280A" w:rsidP="0062280A">
      <w:pPr>
        <w:ind w:firstLine="720"/>
        <w:rPr>
          <w:b/>
          <w:bCs/>
          <w:lang w:val="en-IN"/>
        </w:rPr>
      </w:pPr>
      <w:r w:rsidRPr="0062280A">
        <w:rPr>
          <w:lang w:val="en-IN"/>
        </w:rPr>
        <w:t xml:space="preserve">• </w:t>
      </w:r>
      <w:r w:rsidRPr="0062280A">
        <w:rPr>
          <w:b/>
          <w:bCs/>
          <w:lang w:val="en-IN"/>
        </w:rPr>
        <w:t>Red points</w:t>
      </w:r>
      <w:r w:rsidRPr="0062280A">
        <w:rPr>
          <w:lang w:val="en-IN"/>
        </w:rPr>
        <w:t>: Genes that meet both criteria for differential expression (significant FDR</w:t>
      </w:r>
      <w:r>
        <w:rPr>
          <w:lang w:val="en-IN"/>
        </w:rPr>
        <w:t xml:space="preserve"> </w:t>
      </w:r>
      <w:r w:rsidRPr="0062280A">
        <w:rPr>
          <w:lang w:val="en-IN"/>
        </w:rPr>
        <w:t xml:space="preserve">and </w:t>
      </w:r>
      <w:proofErr w:type="spellStart"/>
      <w:r w:rsidRPr="0062280A">
        <w:rPr>
          <w:lang w:val="en-IN"/>
        </w:rPr>
        <w:t>logFC</w:t>
      </w:r>
      <w:proofErr w:type="spellEnd"/>
      <w:r w:rsidRPr="0062280A">
        <w:rPr>
          <w:lang w:val="en-IN"/>
        </w:rPr>
        <w:t xml:space="preserve"> &gt; 1.5 or &lt; -1.5). These are the </w:t>
      </w:r>
      <w:r w:rsidRPr="0062280A">
        <w:rPr>
          <w:b/>
          <w:bCs/>
          <w:lang w:val="en-IN"/>
        </w:rPr>
        <w:t>significantly differentially expressed</w:t>
      </w:r>
      <w:r>
        <w:rPr>
          <w:b/>
          <w:bCs/>
          <w:lang w:val="en-IN"/>
        </w:rPr>
        <w:t xml:space="preserve"> </w:t>
      </w:r>
      <w:r w:rsidRPr="0062280A">
        <w:rPr>
          <w:b/>
          <w:bCs/>
          <w:lang w:val="en-IN"/>
        </w:rPr>
        <w:t xml:space="preserve">genes </w:t>
      </w:r>
      <w:r w:rsidRPr="0062280A">
        <w:rPr>
          <w:lang w:val="en-IN"/>
        </w:rPr>
        <w:t>(DEGs).</w:t>
      </w:r>
    </w:p>
    <w:p w14:paraId="7C4ED0BA" w14:textId="04B18514" w:rsidR="0062280A" w:rsidRPr="0062280A" w:rsidRDefault="0062280A" w:rsidP="0062280A">
      <w:pPr>
        <w:ind w:firstLine="720"/>
        <w:rPr>
          <w:lang w:val="en-IN"/>
        </w:rPr>
      </w:pPr>
      <w:r w:rsidRPr="0062280A">
        <w:rPr>
          <w:lang w:val="en-IN"/>
        </w:rPr>
        <w:t xml:space="preserve">• </w:t>
      </w:r>
      <w:r w:rsidRPr="0062280A">
        <w:rPr>
          <w:b/>
          <w:bCs/>
          <w:lang w:val="en-IN"/>
        </w:rPr>
        <w:t>Gray points</w:t>
      </w:r>
      <w:r w:rsidRPr="0062280A">
        <w:rPr>
          <w:lang w:val="en-IN"/>
        </w:rPr>
        <w:t>: Genes that do not meet the criteria. These are either not statistically</w:t>
      </w:r>
      <w:r>
        <w:rPr>
          <w:lang w:val="en-IN"/>
        </w:rPr>
        <w:t xml:space="preserve"> </w:t>
      </w:r>
      <w:r w:rsidRPr="0062280A">
        <w:rPr>
          <w:lang w:val="en-IN"/>
        </w:rPr>
        <w:t>significant or do not show a strong enough fold change.</w:t>
      </w:r>
    </w:p>
    <w:p w14:paraId="66CA6121" w14:textId="77777777" w:rsidR="0062280A" w:rsidRDefault="0062280A" w:rsidP="0062280A">
      <w:pPr>
        <w:rPr>
          <w:b/>
          <w:bCs/>
          <w:lang w:val="en-IN"/>
        </w:rPr>
      </w:pPr>
      <w:r w:rsidRPr="0062280A">
        <w:rPr>
          <w:b/>
          <w:bCs/>
          <w:lang w:val="en-IN"/>
        </w:rPr>
        <w:t xml:space="preserve">Implications: </w:t>
      </w:r>
    </w:p>
    <w:p w14:paraId="03555344" w14:textId="15BAF6FD" w:rsidR="0062280A" w:rsidRPr="0062280A" w:rsidRDefault="0062280A" w:rsidP="0062280A">
      <w:pPr>
        <w:ind w:firstLine="720"/>
        <w:rPr>
          <w:lang w:val="en-IN"/>
        </w:rPr>
      </w:pPr>
      <w:r w:rsidRPr="0062280A">
        <w:rPr>
          <w:lang w:val="en-IN"/>
        </w:rPr>
        <w:t xml:space="preserve">1. </w:t>
      </w:r>
      <w:r w:rsidRPr="0062280A">
        <w:rPr>
          <w:b/>
          <w:bCs/>
          <w:lang w:val="en-IN"/>
        </w:rPr>
        <w:t>Upregulated Genes</w:t>
      </w:r>
      <w:r w:rsidRPr="0062280A">
        <w:rPr>
          <w:lang w:val="en-IN"/>
        </w:rPr>
        <w:t xml:space="preserve">: - Genes with high positive </w:t>
      </w:r>
      <w:proofErr w:type="spellStart"/>
      <w:r w:rsidRPr="0062280A">
        <w:rPr>
          <w:lang w:val="en-IN"/>
        </w:rPr>
        <w:t>logFC</w:t>
      </w:r>
      <w:proofErr w:type="spellEnd"/>
      <w:r w:rsidRPr="0062280A">
        <w:rPr>
          <w:lang w:val="en-IN"/>
        </w:rPr>
        <w:t xml:space="preserve"> (on the right of the</w:t>
      </w:r>
      <w:r>
        <w:rPr>
          <w:lang w:val="en-IN"/>
        </w:rPr>
        <w:t xml:space="preserve"> </w:t>
      </w:r>
      <w:r w:rsidRPr="0062280A">
        <w:rPr>
          <w:lang w:val="en-IN"/>
        </w:rPr>
        <w:t xml:space="preserve">plot) and significant FDR are upregulated in </w:t>
      </w:r>
      <w:proofErr w:type="spellStart"/>
      <w:r w:rsidRPr="0062280A">
        <w:rPr>
          <w:lang w:val="en-IN"/>
        </w:rPr>
        <w:t>T_Cells</w:t>
      </w:r>
      <w:proofErr w:type="spellEnd"/>
      <w:r w:rsidRPr="0062280A">
        <w:rPr>
          <w:lang w:val="en-IN"/>
        </w:rPr>
        <w:t xml:space="preserve"> under the condition being tested.</w:t>
      </w:r>
    </w:p>
    <w:p w14:paraId="7B681777" w14:textId="77777777" w:rsidR="0062280A" w:rsidRPr="0062280A" w:rsidRDefault="0062280A" w:rsidP="0062280A">
      <w:pPr>
        <w:ind w:firstLine="720"/>
        <w:rPr>
          <w:lang w:val="en-IN"/>
        </w:rPr>
      </w:pPr>
      <w:r w:rsidRPr="0062280A">
        <w:rPr>
          <w:lang w:val="en-IN"/>
        </w:rPr>
        <w:t xml:space="preserve">2. </w:t>
      </w:r>
      <w:r w:rsidRPr="0062280A">
        <w:rPr>
          <w:b/>
          <w:bCs/>
          <w:lang w:val="en-IN"/>
        </w:rPr>
        <w:t>Downregulated Genes</w:t>
      </w:r>
      <w:r w:rsidRPr="0062280A">
        <w:rPr>
          <w:lang w:val="en-IN"/>
        </w:rPr>
        <w:t>:</w:t>
      </w:r>
    </w:p>
    <w:p w14:paraId="6D343723" w14:textId="78D085D6" w:rsidR="0062280A" w:rsidRPr="0062280A" w:rsidRDefault="0062280A" w:rsidP="0062280A">
      <w:pPr>
        <w:ind w:left="720" w:firstLine="720"/>
        <w:rPr>
          <w:lang w:val="en-IN"/>
        </w:rPr>
      </w:pPr>
      <w:r w:rsidRPr="0062280A">
        <w:rPr>
          <w:lang w:val="en-IN"/>
        </w:rPr>
        <w:t xml:space="preserve">• Genes with high negative </w:t>
      </w:r>
      <w:proofErr w:type="spellStart"/>
      <w:r w:rsidRPr="0062280A">
        <w:rPr>
          <w:lang w:val="en-IN"/>
        </w:rPr>
        <w:t>logFC</w:t>
      </w:r>
      <w:proofErr w:type="spellEnd"/>
      <w:r w:rsidRPr="0062280A">
        <w:rPr>
          <w:lang w:val="en-IN"/>
        </w:rPr>
        <w:t xml:space="preserve"> (on the left of the plot) and significant FDR are downregulated</w:t>
      </w:r>
      <w:r>
        <w:rPr>
          <w:lang w:val="en-IN"/>
        </w:rPr>
        <w:t xml:space="preserve"> </w:t>
      </w:r>
      <w:r w:rsidRPr="0062280A">
        <w:rPr>
          <w:lang w:val="en-IN"/>
        </w:rPr>
        <w:t xml:space="preserve">in </w:t>
      </w:r>
      <w:proofErr w:type="spellStart"/>
      <w:r w:rsidRPr="0062280A">
        <w:rPr>
          <w:lang w:val="en-IN"/>
        </w:rPr>
        <w:t>T_Cells</w:t>
      </w:r>
      <w:proofErr w:type="spellEnd"/>
      <w:r w:rsidRPr="0062280A">
        <w:rPr>
          <w:lang w:val="en-IN"/>
        </w:rPr>
        <w:t>.</w:t>
      </w:r>
    </w:p>
    <w:p w14:paraId="07341CEC" w14:textId="77777777" w:rsidR="0062280A" w:rsidRPr="0062280A" w:rsidRDefault="0062280A" w:rsidP="0062280A">
      <w:pPr>
        <w:ind w:firstLine="720"/>
        <w:rPr>
          <w:lang w:val="en-IN"/>
        </w:rPr>
      </w:pPr>
      <w:r w:rsidRPr="0062280A">
        <w:rPr>
          <w:lang w:val="en-IN"/>
        </w:rPr>
        <w:t xml:space="preserve">3. </w:t>
      </w:r>
      <w:r w:rsidRPr="0062280A">
        <w:rPr>
          <w:b/>
          <w:bCs/>
          <w:lang w:val="en-IN"/>
        </w:rPr>
        <w:t>Biological Insight</w:t>
      </w:r>
      <w:r w:rsidRPr="0062280A">
        <w:rPr>
          <w:lang w:val="en-IN"/>
        </w:rPr>
        <w:t>:</w:t>
      </w:r>
    </w:p>
    <w:p w14:paraId="257B71B3" w14:textId="349DC8A0" w:rsidR="0062280A" w:rsidRPr="0062280A" w:rsidRDefault="0062280A" w:rsidP="0062280A">
      <w:pPr>
        <w:ind w:firstLine="720"/>
        <w:rPr>
          <w:lang w:val="en-IN"/>
        </w:rPr>
      </w:pPr>
      <w:r w:rsidRPr="0062280A">
        <w:rPr>
          <w:lang w:val="en-IN"/>
        </w:rPr>
        <w:t>• The plot highlights genes whose expression levels are strongly and significantly altered</w:t>
      </w:r>
      <w:r>
        <w:rPr>
          <w:lang w:val="en-IN"/>
        </w:rPr>
        <w:t xml:space="preserve"> </w:t>
      </w:r>
      <w:r w:rsidRPr="0062280A">
        <w:rPr>
          <w:lang w:val="en-IN"/>
        </w:rPr>
        <w:t xml:space="preserve">in </w:t>
      </w:r>
      <w:proofErr w:type="spellStart"/>
      <w:r w:rsidRPr="0062280A">
        <w:rPr>
          <w:lang w:val="en-IN"/>
        </w:rPr>
        <w:t>T_Cells</w:t>
      </w:r>
      <w:proofErr w:type="spellEnd"/>
      <w:r w:rsidRPr="0062280A">
        <w:rPr>
          <w:lang w:val="en-IN"/>
        </w:rPr>
        <w:t xml:space="preserve"> compared to other conditions or groups.</w:t>
      </w:r>
    </w:p>
    <w:p w14:paraId="0BC5B6DF" w14:textId="77777777" w:rsidR="0062280A" w:rsidRPr="0062280A" w:rsidRDefault="0062280A" w:rsidP="0062280A">
      <w:pPr>
        <w:ind w:firstLine="720"/>
        <w:rPr>
          <w:lang w:val="en-IN"/>
        </w:rPr>
      </w:pPr>
      <w:r w:rsidRPr="0062280A">
        <w:rPr>
          <w:lang w:val="en-IN"/>
        </w:rPr>
        <w:t>• These genes may be of biological interest for further investigation, as they could be</w:t>
      </w:r>
    </w:p>
    <w:p w14:paraId="3B05507E" w14:textId="77777777" w:rsidR="0062280A" w:rsidRPr="0062280A" w:rsidRDefault="0062280A" w:rsidP="0062280A">
      <w:pPr>
        <w:rPr>
          <w:lang w:val="en-IN"/>
        </w:rPr>
      </w:pPr>
      <w:r w:rsidRPr="0062280A">
        <w:rPr>
          <w:lang w:val="en-IN"/>
        </w:rPr>
        <w:t xml:space="preserve">critical markers, pathways, or regulators involved in the </w:t>
      </w:r>
      <w:proofErr w:type="spellStart"/>
      <w:r w:rsidRPr="0062280A">
        <w:rPr>
          <w:lang w:val="en-IN"/>
        </w:rPr>
        <w:t>processbased</w:t>
      </w:r>
      <w:proofErr w:type="spellEnd"/>
      <w:r w:rsidRPr="0062280A">
        <w:rPr>
          <w:lang w:val="en-IN"/>
        </w:rPr>
        <w:t xml:space="preserve"> on specific research</w:t>
      </w:r>
    </w:p>
    <w:p w14:paraId="51EBC699" w14:textId="55EDD68D" w:rsidR="0062280A" w:rsidRDefault="0062280A" w:rsidP="0062280A">
      <w:r w:rsidRPr="0062280A">
        <w:rPr>
          <w:lang w:val="en-IN"/>
        </w:rPr>
        <w:t>goals.</w:t>
      </w:r>
    </w:p>
    <w:sectPr w:rsidR="0062280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C4836B9"/>
    <w:multiLevelType w:val="hybridMultilevel"/>
    <w:tmpl w:val="2270A2C4"/>
    <w:lvl w:ilvl="0" w:tplc="BCF818A0">
      <w:start w:val="1"/>
      <w:numFmt w:val="bullet"/>
      <w:lvlText w:val="–"/>
      <w:lvlJc w:val="left"/>
      <w:pPr>
        <w:ind w:left="720" w:hanging="360"/>
      </w:pPr>
      <w:rPr>
        <w:rFonts w:ascii="Cambria" w:eastAsiaTheme="minorEastAsia" w:hAnsi="Cambria"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6969982">
    <w:abstractNumId w:val="8"/>
  </w:num>
  <w:num w:numId="2" w16cid:durableId="1995181364">
    <w:abstractNumId w:val="6"/>
  </w:num>
  <w:num w:numId="3" w16cid:durableId="1771193903">
    <w:abstractNumId w:val="5"/>
  </w:num>
  <w:num w:numId="4" w16cid:durableId="504437282">
    <w:abstractNumId w:val="4"/>
  </w:num>
  <w:num w:numId="5" w16cid:durableId="37245695">
    <w:abstractNumId w:val="7"/>
  </w:num>
  <w:num w:numId="6" w16cid:durableId="1852647396">
    <w:abstractNumId w:val="3"/>
  </w:num>
  <w:num w:numId="7" w16cid:durableId="1649631508">
    <w:abstractNumId w:val="2"/>
  </w:num>
  <w:num w:numId="8" w16cid:durableId="190611287">
    <w:abstractNumId w:val="1"/>
  </w:num>
  <w:num w:numId="9" w16cid:durableId="666203389">
    <w:abstractNumId w:val="0"/>
  </w:num>
  <w:num w:numId="10" w16cid:durableId="463079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4870"/>
    <w:rsid w:val="00034616"/>
    <w:rsid w:val="0006063C"/>
    <w:rsid w:val="0015074B"/>
    <w:rsid w:val="0029639D"/>
    <w:rsid w:val="00326F90"/>
    <w:rsid w:val="0051205C"/>
    <w:rsid w:val="0062280A"/>
    <w:rsid w:val="00AA1D8D"/>
    <w:rsid w:val="00B47730"/>
    <w:rsid w:val="00CA0EEF"/>
    <w:rsid w:val="00CB0664"/>
    <w:rsid w:val="00F2524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9F0345"/>
  <w14:defaultImageDpi w14:val="300"/>
  <w15:docId w15:val="{0B33136E-FC73-4A78-9400-78A352B09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1389</Words>
  <Characters>7922</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1 Objective</vt:lpstr>
      <vt:lpstr>2 Procedure</vt:lpstr>
      <vt:lpstr>    Data Ingestion</vt:lpstr>
      <vt:lpstr>    Quality Control</vt:lpstr>
      <vt:lpstr>    Feature Selection &amp; PCA</vt:lpstr>
      <vt:lpstr>    Neighbour Graph &amp; Clustering</vt:lpstr>
      <vt:lpstr>    Visualisation</vt:lpstr>
      <vt:lpstr>    Marker Gene Discovery</vt:lpstr>
      <vt:lpstr>    Pathway Enrichment</vt:lpstr>
      <vt:lpstr>    Trajectory Inference</vt:lpstr>
      <vt:lpstr>    Differential Expression &amp; Composition</vt:lpstr>
      <vt:lpstr>3 Key Outputs</vt:lpstr>
      <vt:lpstr>4 Interpretations</vt:lpstr>
      <vt:lpstr>    4.1 Representative Cluster Signatures</vt:lpstr>
      <vt:lpstr>5 Limitations</vt:lpstr>
    </vt:vector>
  </TitlesOfParts>
  <Manager/>
  <Company/>
  <LinksUpToDate>false</LinksUpToDate>
  <CharactersWithSpaces>9293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Harshini Raju</cp:lastModifiedBy>
  <cp:revision>2</cp:revision>
  <dcterms:created xsi:type="dcterms:W3CDTF">2013-12-23T23:15:00Z</dcterms:created>
  <dcterms:modified xsi:type="dcterms:W3CDTF">2025-05-06T02:41:00Z</dcterms:modified>
  <cp:category/>
</cp:coreProperties>
</file>