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Calibri" w:hAnsi="Calibri"/>
          <w:b/>
          <w:color w:val="108C5A"/>
          <w:sz w:val="44"/>
        </w:rPr>
        <w:t>SMART FARMING SYSTEM: IOT MICROCLIMATE MONITORING, COMPUTER VISION CROP PATHOLOGY, AND 3D DIGITAL TWIN PLATFORM</w:t>
      </w:r>
    </w:p>
    <w:p>
      <w:pPr>
        <w:spacing w:after="480"/>
        <w:jc w:val="center"/>
      </w:pPr>
      <w:r>
        <w:rPr>
          <w:rFonts w:ascii="Calibri" w:hAnsi="Calibri"/>
          <w:i/>
          <w:color w:val="2C3E50"/>
          <w:sz w:val="28"/>
        </w:rPr>
        <w:t>Comprehensive Engineering &amp; Technical Project Report</w:t>
      </w:r>
    </w:p>
    <w:tbl>
      <w:tblPr>
        <w:tblW w:type="auto" w:w="0"/>
        <w:jc w:val="center"/>
        <w:tblLook w:firstColumn="1" w:firstRow="1" w:lastColumn="0" w:lastRow="0" w:noHBand="0" w:noVBand="1" w:val="04A0"/>
      </w:tblPr>
      <w:tblGrid>
        <w:gridCol w:w="4680"/>
        <w:gridCol w:w="4680"/>
      </w:tblGrid>
      <w:tr>
        <w:tc>
          <w:tcPr>
            <w:tcW w:type="dxa" w:w="4680"/>
            <w:shd w:fill="F1F5F9"/>
            <w:tcMar>
              <w:top w:w="60" w:type="dxa"/>
              <w:bottom w:w="60" w:type="dxa"/>
              <w:left w:w="100" w:type="dxa"/>
              <w:right w:w="100" w:type="dxa"/>
            </w:tcMar>
          </w:tcPr>
          <w:p>
            <w:r>
              <w:rPr>
                <w:b/>
                <w:color w:val="2C3E50"/>
                <w:sz w:val="21"/>
              </w:rPr>
              <w:t>Project Domain:</w:t>
            </w:r>
          </w:p>
        </w:tc>
        <w:tc>
          <w:tcPr>
            <w:tcW w:type="dxa" w:w="4680"/>
            <w:shd w:fill="FAFAFA"/>
            <w:tcMar>
              <w:top w:w="60" w:type="dxa"/>
              <w:bottom w:w="60" w:type="dxa"/>
              <w:left w:w="100" w:type="dxa"/>
              <w:right w:w="100" w:type="dxa"/>
            </w:tcMar>
          </w:tcPr>
          <w:p>
            <w:r>
              <w:rPr>
                <w:color w:val="1E293B"/>
                <w:sz w:val="21"/>
              </w:rPr>
              <w:t>Internet of Things (IoT), Computer Vision, Digital Twin, Smart Agriculture</w:t>
            </w:r>
          </w:p>
        </w:tc>
      </w:tr>
      <w:tr>
        <w:tc>
          <w:tcPr>
            <w:tcW w:type="dxa" w:w="4680"/>
            <w:shd w:fill="F1F5F9"/>
            <w:tcMar>
              <w:top w:w="60" w:type="dxa"/>
              <w:bottom w:w="60" w:type="dxa"/>
              <w:left w:w="100" w:type="dxa"/>
              <w:right w:w="100" w:type="dxa"/>
            </w:tcMar>
          </w:tcPr>
          <w:p>
            <w:r>
              <w:rPr>
                <w:b/>
                <w:color w:val="2C3E50"/>
                <w:sz w:val="21"/>
              </w:rPr>
              <w:t>Embedded Hardware:</w:t>
            </w:r>
          </w:p>
        </w:tc>
        <w:tc>
          <w:tcPr>
            <w:tcW w:type="dxa" w:w="4680"/>
            <w:shd w:fill="FAFAFA"/>
            <w:tcMar>
              <w:top w:w="60" w:type="dxa"/>
              <w:bottom w:w="60" w:type="dxa"/>
              <w:left w:w="100" w:type="dxa"/>
              <w:right w:w="100" w:type="dxa"/>
            </w:tcMar>
          </w:tcPr>
          <w:p>
            <w:r>
              <w:rPr>
                <w:color w:val="1E293B"/>
                <w:sz w:val="21"/>
              </w:rPr>
              <w:t>ESP8266 / NodeMCU Microcontroller, DHT11 Sensor, LDR (A0), LED (D5)</w:t>
            </w:r>
          </w:p>
        </w:tc>
      </w:tr>
      <w:tr>
        <w:tc>
          <w:tcPr>
            <w:tcW w:type="dxa" w:w="4680"/>
            <w:shd w:fill="F1F5F9"/>
            <w:tcMar>
              <w:top w:w="60" w:type="dxa"/>
              <w:bottom w:w="60" w:type="dxa"/>
              <w:left w:w="100" w:type="dxa"/>
              <w:right w:w="100" w:type="dxa"/>
            </w:tcMar>
          </w:tcPr>
          <w:p>
            <w:r>
              <w:rPr>
                <w:b/>
                <w:color w:val="2C3E50"/>
                <w:sz w:val="21"/>
              </w:rPr>
              <w:t>Software Frameworks:</w:t>
            </w:r>
          </w:p>
        </w:tc>
        <w:tc>
          <w:tcPr>
            <w:tcW w:type="dxa" w:w="4680"/>
            <w:shd w:fill="FAFAFA"/>
            <w:tcMar>
              <w:top w:w="60" w:type="dxa"/>
              <w:bottom w:w="60" w:type="dxa"/>
              <w:left w:w="100" w:type="dxa"/>
              <w:right w:w="100" w:type="dxa"/>
            </w:tcMar>
          </w:tcPr>
          <w:p>
            <w:r>
              <w:rPr>
                <w:color w:val="1E293B"/>
                <w:sz w:val="21"/>
              </w:rPr>
              <w:t>FastAPI, Python, OpenCV, Three.js WebGL, HTML5/CSS3/JavaScript, Chart.js</w:t>
            </w:r>
          </w:p>
        </w:tc>
      </w:tr>
      <w:tr>
        <w:tc>
          <w:tcPr>
            <w:tcW w:type="dxa" w:w="4680"/>
            <w:shd w:fill="F1F5F9"/>
            <w:tcMar>
              <w:top w:w="60" w:type="dxa"/>
              <w:bottom w:w="60" w:type="dxa"/>
              <w:left w:w="100" w:type="dxa"/>
              <w:right w:w="100" w:type="dxa"/>
            </w:tcMar>
          </w:tcPr>
          <w:p>
            <w:r>
              <w:rPr>
                <w:b/>
                <w:color w:val="2C3E50"/>
                <w:sz w:val="21"/>
              </w:rPr>
              <w:t>System Architecture:</w:t>
            </w:r>
          </w:p>
        </w:tc>
        <w:tc>
          <w:tcPr>
            <w:tcW w:type="dxa" w:w="4680"/>
            <w:shd w:fill="FAFAFA"/>
            <w:tcMar>
              <w:top w:w="60" w:type="dxa"/>
              <w:bottom w:w="60" w:type="dxa"/>
              <w:left w:w="100" w:type="dxa"/>
              <w:right w:w="100" w:type="dxa"/>
            </w:tcMar>
          </w:tcPr>
          <w:p>
            <w:r>
              <w:rPr>
                <w:color w:val="1E293B"/>
                <w:sz w:val="21"/>
              </w:rPr>
              <w:t>Serial USB Telemetry Stream (115200 Baud), REST APIs, WebGL 3D Simulation</w:t>
            </w:r>
          </w:p>
        </w:tc>
      </w:tr>
    </w:tbl>
    <w:p>
      <w:pPr>
        <w:spacing w:after="360"/>
      </w:pPr>
    </w:p>
    <w:p>
      <w:pPr>
        <w:spacing w:before="320" w:after="120"/>
      </w:pPr>
      <w:r>
        <w:rPr>
          <w:rFonts w:ascii="Calibri" w:hAnsi="Calibri"/>
          <w:b/>
          <w:color w:val="108C5A"/>
          <w:sz w:val="30"/>
        </w:rPr>
        <w:t>1. Executive Summary</w:t>
      </w:r>
    </w:p>
    <w:p>
      <w:pPr>
        <w:spacing w:after="120" w:line="276" w:lineRule="auto"/>
      </w:pPr>
      <w:r>
        <w:rPr>
          <w:rFonts w:ascii="Calibri" w:hAnsi="Calibri"/>
          <w:color w:val="1E293B"/>
          <w:sz w:val="22"/>
        </w:rPr>
        <w:t>Modern agriculture faces significant challenges including irregular microclimates, sudden pest/pathogen outbreaks, and the logistical burden of continuous manual field inspections. This project presents 'AgriTwin Pro'—an integrated Cyber-Physical Smart Farming System designed to bridge the physical farm environment with an intelligent remote monitoring platform. Utilizing an ESP8266 microcontroller, physical sensors capture ambient temperature, relative humidity (DHT11), and solar irradiance (LDR), while autonomously driving a grow light actuator (LED) based on threshold logic. Concurrently, computer vision models analyze plant leaf imagery acquired via a standard laptop camera to detect and classify foliar diseases (such as Early Blight, Powdery Mildew, and Nutrient Chlorosis). The system correlates real-time environmental stresses with pathology findings, renders an interactive, physics-responsive 3D Digital Twin of the crop in WebGL, and delivers an actionable Agronomy Diagnostic Report directly to the farmer at home.</w:t>
      </w:r>
    </w:p>
    <w:p>
      <w:pPr>
        <w:spacing w:before="320" w:after="120"/>
      </w:pPr>
      <w:r>
        <w:rPr>
          <w:rFonts w:ascii="Calibri" w:hAnsi="Calibri"/>
          <w:b/>
          <w:color w:val="108C5A"/>
          <w:sz w:val="30"/>
        </w:rPr>
        <w:t>2. Problem Statement &amp; Objectives</w:t>
      </w:r>
    </w:p>
    <w:p>
      <w:pPr>
        <w:spacing w:after="120" w:line="276" w:lineRule="auto"/>
      </w:pPr>
      <w:r>
        <w:rPr>
          <w:rFonts w:ascii="Calibri" w:hAnsi="Calibri"/>
          <w:color w:val="1E293B"/>
          <w:sz w:val="22"/>
        </w:rPr>
        <w:t>Small and medium-scale farmers frequently suffer crop losses due to delayed identification of fungal infections, leaf spot diseases, and suboptimal microclimates. By the time symptoms are visually obvious across an entire acreage, significant yield damage has already occurred. Furthermore, existing commercial IoT solutions are often cost-prohibitive, lack computer-vision-based automated disease diagnostics, and do not provide an intuitive visual representation of the plant's physiological condition.</w:t>
      </w:r>
    </w:p>
    <w:p>
      <w:pPr>
        <w:spacing w:after="120" w:line="276" w:lineRule="auto"/>
      </w:pPr>
      <w:r>
        <w:rPr>
          <w:rFonts w:ascii="Calibri" w:hAnsi="Calibri"/>
          <w:color w:val="1E293B"/>
          <w:sz w:val="22"/>
        </w:rPr>
        <w:t>The primary engineering objectives of this project are:</w:t>
      </w:r>
    </w:p>
    <w:p>
      <w:pPr>
        <w:pStyle w:val="ListBullet"/>
        <w:spacing w:after="60" w:line="276" w:lineRule="auto"/>
      </w:pPr>
      <w:r>
        <w:rPr>
          <w:rFonts w:ascii="Calibri" w:hAnsi="Calibri"/>
          <w:b/>
          <w:color w:val="2C3E50"/>
          <w:sz w:val="22"/>
        </w:rPr>
        <w:t xml:space="preserve">Real-Time Telemetry Acquisition: </w:t>
      </w:r>
      <w:r>
        <w:rPr>
          <w:rFonts w:ascii="Calibri" w:hAnsi="Calibri"/>
          <w:color w:val="1E293B"/>
          <w:sz w:val="22"/>
        </w:rPr>
        <w:t>Interface DHT11 and LDR sensors with an ESP8266 microcontroller to monitor ambient microclimate variables at 115200 baud.</w:t>
      </w:r>
    </w:p>
    <w:p>
      <w:pPr>
        <w:pStyle w:val="ListBullet"/>
        <w:spacing w:after="60" w:line="276" w:lineRule="auto"/>
      </w:pPr>
      <w:r>
        <w:rPr>
          <w:rFonts w:ascii="Calibri" w:hAnsi="Calibri"/>
          <w:b/>
          <w:color w:val="2C3E50"/>
          <w:sz w:val="22"/>
        </w:rPr>
        <w:t xml:space="preserve">Autonomous Microclimate Actuation: </w:t>
      </w:r>
      <w:r>
        <w:rPr>
          <w:rFonts w:ascii="Calibri" w:hAnsi="Calibri"/>
          <w:color w:val="1E293B"/>
          <w:sz w:val="22"/>
        </w:rPr>
        <w:t>Implement automated grow LED lighting when ambient light drops below an analog threshold of 700 units.</w:t>
      </w:r>
    </w:p>
    <w:p>
      <w:pPr>
        <w:pStyle w:val="ListBullet"/>
        <w:spacing w:after="60" w:line="276" w:lineRule="auto"/>
      </w:pPr>
      <w:r>
        <w:rPr>
          <w:rFonts w:ascii="Calibri" w:hAnsi="Calibri"/>
          <w:b/>
          <w:color w:val="2C3E50"/>
          <w:sz w:val="22"/>
        </w:rPr>
        <w:t xml:space="preserve">In-Situ Computer Vision Diagnostics: </w:t>
      </w:r>
      <w:r>
        <w:rPr>
          <w:rFonts w:ascii="Calibri" w:hAnsi="Calibri"/>
          <w:color w:val="1E293B"/>
          <w:sz w:val="22"/>
        </w:rPr>
        <w:t>Process laptop camera images using OpenCV color-space transformations (HSV/LAB) and morphological segmentation to identify necrotic lesions, powdery mildew mycelium, and chlorosis.</w:t>
      </w:r>
    </w:p>
    <w:p>
      <w:pPr>
        <w:pStyle w:val="ListBullet"/>
        <w:spacing w:after="60" w:line="276" w:lineRule="auto"/>
      </w:pPr>
      <w:r>
        <w:rPr>
          <w:rFonts w:ascii="Calibri" w:hAnsi="Calibri"/>
          <w:b/>
          <w:color w:val="2C3E50"/>
          <w:sz w:val="22"/>
        </w:rPr>
        <w:t xml:space="preserve">Real-Time Environmental Correlation: </w:t>
      </w:r>
      <w:r>
        <w:rPr>
          <w:rFonts w:ascii="Calibri" w:hAnsi="Calibri"/>
          <w:color w:val="1E293B"/>
          <w:sz w:val="22"/>
        </w:rPr>
        <w:t>Correlate telemetry signals (e.g., high humidity &gt; 78%) with identified pathogens to alert farmers to microclimatic conditions accelerating disease spread.</w:t>
      </w:r>
    </w:p>
    <w:p>
      <w:pPr>
        <w:pStyle w:val="ListBullet"/>
        <w:spacing w:after="60" w:line="276" w:lineRule="auto"/>
      </w:pPr>
      <w:r>
        <w:rPr>
          <w:rFonts w:ascii="Calibri" w:hAnsi="Calibri"/>
          <w:b/>
          <w:color w:val="2C3E50"/>
          <w:sz w:val="22"/>
        </w:rPr>
        <w:t xml:space="preserve">Interactive 3D Digital Twin: </w:t>
      </w:r>
      <w:r>
        <w:rPr>
          <w:rFonts w:ascii="Calibri" w:hAnsi="Calibri"/>
          <w:color w:val="1E293B"/>
          <w:sz w:val="22"/>
        </w:rPr>
        <w:t>Render an interactive Three.js 3D virtual plant that dynamically reflects real-time turgor pressure (wilting), grow lamp illumination, and pathological foliar discoloration.</w:t>
      </w:r>
    </w:p>
    <w:p>
      <w:pPr>
        <w:pStyle w:val="ListBullet"/>
        <w:spacing w:after="60" w:line="276" w:lineRule="auto"/>
      </w:pPr>
      <w:r>
        <w:rPr>
          <w:rFonts w:ascii="Calibri" w:hAnsi="Calibri"/>
          <w:b/>
          <w:color w:val="2C3E50"/>
          <w:sz w:val="22"/>
        </w:rPr>
        <w:t xml:space="preserve">Actionable Agronomy Reporting: </w:t>
      </w:r>
      <w:r>
        <w:rPr>
          <w:rFonts w:ascii="Calibri" w:hAnsi="Calibri"/>
          <w:color w:val="1E293B"/>
          <w:sz w:val="22"/>
        </w:rPr>
        <w:t>Provide clear containment instructions, organic bio-pesticide formulations, and commercial chemical recommendations with one-click printable PDF documentation.</w:t>
      </w:r>
    </w:p>
    <w:p>
      <w:pPr>
        <w:spacing w:before="320" w:after="120"/>
      </w:pPr>
      <w:r>
        <w:rPr>
          <w:rFonts w:ascii="Calibri" w:hAnsi="Calibri"/>
          <w:b/>
          <w:color w:val="108C5A"/>
          <w:sz w:val="30"/>
        </w:rPr>
        <w:t>3. Hardware Architecture &amp; Firmware Implementation</w:t>
      </w:r>
    </w:p>
    <w:p>
      <w:pPr>
        <w:spacing w:after="120" w:line="276" w:lineRule="auto"/>
      </w:pPr>
      <w:r>
        <w:rPr>
          <w:rFonts w:ascii="Calibri" w:hAnsi="Calibri"/>
          <w:color w:val="1E293B"/>
          <w:sz w:val="22"/>
        </w:rPr>
        <w:t>The hardware subsystem is built around an ESP8266 NodeMCU microcontroller connected to environmental sensors and actuators through calibrated analog and digital GPIO interfaces.</w:t>
      </w:r>
    </w:p>
    <w:p>
      <w:pPr>
        <w:spacing w:before="200" w:after="80"/>
      </w:pPr>
      <w:r>
        <w:rPr>
          <w:rFonts w:ascii="Calibri" w:hAnsi="Calibri"/>
          <w:b/>
          <w:color w:val="2C3E50"/>
          <w:sz w:val="25"/>
        </w:rPr>
        <w:t>3.1 Circuit Pinout &amp; Interfacing Specifications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08C5A"/>
            <w:tcMar>
              <w:top w:w="80" w:type="dxa"/>
              <w:bottom w:w="80" w:type="dxa"/>
              <w:left w:w="100" w:type="dxa"/>
              <w:right w:w="100" w:type="dxa"/>
            </w:tcMar>
          </w:tcPr>
          <w:p>
            <w:r>
              <w:rPr>
                <w:b/>
                <w:color w:val="FFFFFF"/>
              </w:rPr>
              <w:t>Component</w:t>
            </w:r>
          </w:p>
        </w:tc>
        <w:tc>
          <w:tcPr>
            <w:tcW w:type="dxa" w:w="2340"/>
            <w:shd w:fill="108C5A"/>
            <w:tcMar>
              <w:top w:w="80" w:type="dxa"/>
              <w:bottom w:w="80" w:type="dxa"/>
              <w:left w:w="100" w:type="dxa"/>
              <w:right w:w="100" w:type="dxa"/>
            </w:tcMar>
          </w:tcPr>
          <w:p>
            <w:r>
              <w:rPr>
                <w:b/>
                <w:color w:val="FFFFFF"/>
              </w:rPr>
              <w:t>Pin Identifier</w:t>
            </w:r>
          </w:p>
        </w:tc>
        <w:tc>
          <w:tcPr>
            <w:tcW w:type="dxa" w:w="2340"/>
            <w:shd w:fill="108C5A"/>
            <w:tcMar>
              <w:top w:w="80" w:type="dxa"/>
              <w:bottom w:w="80" w:type="dxa"/>
              <w:left w:w="100" w:type="dxa"/>
              <w:right w:w="100" w:type="dxa"/>
            </w:tcMar>
          </w:tcPr>
          <w:p>
            <w:r>
              <w:rPr>
                <w:b/>
                <w:color w:val="FFFFFF"/>
              </w:rPr>
              <w:t>Signal Type</w:t>
            </w:r>
          </w:p>
        </w:tc>
        <w:tc>
          <w:tcPr>
            <w:tcW w:type="dxa" w:w="2340"/>
            <w:shd w:fill="108C5A"/>
            <w:tcMar>
              <w:top w:w="80" w:type="dxa"/>
              <w:bottom w:w="80" w:type="dxa"/>
              <w:left w:w="100" w:type="dxa"/>
              <w:right w:w="100" w:type="dxa"/>
            </w:tcMar>
          </w:tcPr>
          <w:p>
            <w:r>
              <w:rPr>
                <w:b/>
                <w:color w:val="FFFFFF"/>
              </w:rPr>
              <w:t>Operational Role</w:t>
            </w:r>
          </w:p>
        </w:tc>
      </w:tr>
      <w:tr>
        <w:tc>
          <w:tcPr>
            <w:tcW w:type="dxa" w:w="2340"/>
            <w:shd w:fill="FAFAFA"/>
            <w:tcMar>
              <w:top w:w="60" w:type="dxa"/>
              <w:bottom w:w="60" w:type="dxa"/>
              <w:left w:w="100" w:type="dxa"/>
              <w:right w:w="100" w:type="dxa"/>
            </w:tcMar>
          </w:tcPr>
          <w:p>
            <w:r>
              <w:rPr>
                <w:sz w:val="20"/>
              </w:rPr>
              <w:t>DHT11 Sensor</w:t>
            </w:r>
          </w:p>
        </w:tc>
        <w:tc>
          <w:tcPr>
            <w:tcW w:type="dxa" w:w="2340"/>
            <w:shd w:fill="FAFAFA"/>
            <w:tcMar>
              <w:top w:w="60" w:type="dxa"/>
              <w:bottom w:w="60" w:type="dxa"/>
              <w:left w:w="100" w:type="dxa"/>
              <w:right w:w="100" w:type="dxa"/>
            </w:tcMar>
          </w:tcPr>
          <w:p>
            <w:r>
              <w:rPr>
                <w:sz w:val="20"/>
              </w:rPr>
              <w:t>Pin D2 (GPIO 4)</w:t>
            </w:r>
          </w:p>
        </w:tc>
        <w:tc>
          <w:tcPr>
            <w:tcW w:type="dxa" w:w="2340"/>
            <w:shd w:fill="FAFAFA"/>
            <w:tcMar>
              <w:top w:w="60" w:type="dxa"/>
              <w:bottom w:w="60" w:type="dxa"/>
              <w:left w:w="100" w:type="dxa"/>
              <w:right w:w="100" w:type="dxa"/>
            </w:tcMar>
          </w:tcPr>
          <w:p>
            <w:r>
              <w:rPr>
                <w:sz w:val="20"/>
              </w:rPr>
              <w:t>Single-Bus Digital</w:t>
            </w:r>
          </w:p>
        </w:tc>
        <w:tc>
          <w:tcPr>
            <w:tcW w:type="dxa" w:w="2340"/>
            <w:shd w:fill="FAFAFA"/>
            <w:tcMar>
              <w:top w:w="60" w:type="dxa"/>
              <w:bottom w:w="60" w:type="dxa"/>
              <w:left w:w="100" w:type="dxa"/>
              <w:right w:w="100" w:type="dxa"/>
            </w:tcMar>
          </w:tcPr>
          <w:p>
            <w:r>
              <w:rPr>
                <w:sz w:val="20"/>
              </w:rPr>
              <w:t>Measures ambient temperature (0-50°C) and relative humidity (20-90% RH)</w:t>
            </w:r>
          </w:p>
        </w:tc>
      </w:tr>
      <w:tr>
        <w:tc>
          <w:tcPr>
            <w:tcW w:type="dxa" w:w="2340"/>
            <w:shd w:fill="F1F5F9"/>
            <w:tcMar>
              <w:top w:w="60" w:type="dxa"/>
              <w:bottom w:w="60" w:type="dxa"/>
              <w:left w:w="100" w:type="dxa"/>
              <w:right w:w="100" w:type="dxa"/>
            </w:tcMar>
          </w:tcPr>
          <w:p>
            <w:r>
              <w:rPr>
                <w:sz w:val="20"/>
              </w:rPr>
              <w:t>LDR (Light Sensor)</w:t>
            </w:r>
          </w:p>
        </w:tc>
        <w:tc>
          <w:tcPr>
            <w:tcW w:type="dxa" w:w="2340"/>
            <w:shd w:fill="F1F5F9"/>
            <w:tcMar>
              <w:top w:w="60" w:type="dxa"/>
              <w:bottom w:w="60" w:type="dxa"/>
              <w:left w:w="100" w:type="dxa"/>
              <w:right w:w="100" w:type="dxa"/>
            </w:tcMar>
          </w:tcPr>
          <w:p>
            <w:r>
              <w:rPr>
                <w:sz w:val="20"/>
              </w:rPr>
              <w:t>Pin A0 (ADC0)</w:t>
            </w:r>
          </w:p>
        </w:tc>
        <w:tc>
          <w:tcPr>
            <w:tcW w:type="dxa" w:w="2340"/>
            <w:shd w:fill="F1F5F9"/>
            <w:tcMar>
              <w:top w:w="60" w:type="dxa"/>
              <w:bottom w:w="60" w:type="dxa"/>
              <w:left w:w="100" w:type="dxa"/>
              <w:right w:w="100" w:type="dxa"/>
            </w:tcMar>
          </w:tcPr>
          <w:p>
            <w:r>
              <w:rPr>
                <w:sz w:val="20"/>
              </w:rPr>
              <w:t>Analog (0-1023)</w:t>
            </w:r>
          </w:p>
        </w:tc>
        <w:tc>
          <w:tcPr>
            <w:tcW w:type="dxa" w:w="2340"/>
            <w:shd w:fill="F1F5F9"/>
            <w:tcMar>
              <w:top w:w="60" w:type="dxa"/>
              <w:bottom w:w="60" w:type="dxa"/>
              <w:left w:w="100" w:type="dxa"/>
              <w:right w:w="100" w:type="dxa"/>
            </w:tcMar>
          </w:tcPr>
          <w:p>
            <w:r>
              <w:rPr>
                <w:sz w:val="20"/>
              </w:rPr>
              <w:t>Voltage divider with 10kΩ pull-down to gauge solar irradiance</w:t>
            </w:r>
          </w:p>
        </w:tc>
      </w:tr>
      <w:tr>
        <w:tc>
          <w:tcPr>
            <w:tcW w:type="dxa" w:w="2340"/>
            <w:shd w:fill="FAFAFA"/>
            <w:tcMar>
              <w:top w:w="60" w:type="dxa"/>
              <w:bottom w:w="60" w:type="dxa"/>
              <w:left w:w="100" w:type="dxa"/>
              <w:right w:w="100" w:type="dxa"/>
            </w:tcMar>
          </w:tcPr>
          <w:p>
            <w:r>
              <w:rPr>
                <w:sz w:val="20"/>
              </w:rPr>
              <w:t>Grow Indicator LED</w:t>
            </w:r>
          </w:p>
        </w:tc>
        <w:tc>
          <w:tcPr>
            <w:tcW w:type="dxa" w:w="2340"/>
            <w:shd w:fill="FAFAFA"/>
            <w:tcMar>
              <w:top w:w="60" w:type="dxa"/>
              <w:bottom w:w="60" w:type="dxa"/>
              <w:left w:w="100" w:type="dxa"/>
              <w:right w:w="100" w:type="dxa"/>
            </w:tcMar>
          </w:tcPr>
          <w:p>
            <w:r>
              <w:rPr>
                <w:sz w:val="20"/>
              </w:rPr>
              <w:t>Pin D5 (GPIO 14)</w:t>
            </w:r>
          </w:p>
        </w:tc>
        <w:tc>
          <w:tcPr>
            <w:tcW w:type="dxa" w:w="2340"/>
            <w:shd w:fill="FAFAFA"/>
            <w:tcMar>
              <w:top w:w="60" w:type="dxa"/>
              <w:bottom w:w="60" w:type="dxa"/>
              <w:left w:w="100" w:type="dxa"/>
              <w:right w:w="100" w:type="dxa"/>
            </w:tcMar>
          </w:tcPr>
          <w:p>
            <w:r>
              <w:rPr>
                <w:sz w:val="20"/>
              </w:rPr>
              <w:t>Digital Output (PWM)</w:t>
            </w:r>
          </w:p>
        </w:tc>
        <w:tc>
          <w:tcPr>
            <w:tcW w:type="dxa" w:w="2340"/>
            <w:shd w:fill="FAFAFA"/>
            <w:tcMar>
              <w:top w:w="60" w:type="dxa"/>
              <w:bottom w:w="60" w:type="dxa"/>
              <w:left w:w="100" w:type="dxa"/>
              <w:right w:w="100" w:type="dxa"/>
            </w:tcMar>
          </w:tcPr>
          <w:p>
            <w:r>
              <w:rPr>
                <w:sz w:val="20"/>
              </w:rPr>
              <w:t>Automated grow illumination active when light falls below 700</w:t>
            </w:r>
          </w:p>
        </w:tc>
      </w:tr>
      <w:tr>
        <w:tc>
          <w:tcPr>
            <w:tcW w:type="dxa" w:w="2340"/>
            <w:shd w:fill="F1F5F9"/>
            <w:tcMar>
              <w:top w:w="60" w:type="dxa"/>
              <w:bottom w:w="60" w:type="dxa"/>
              <w:left w:w="100" w:type="dxa"/>
              <w:right w:w="100" w:type="dxa"/>
            </w:tcMar>
          </w:tcPr>
          <w:p>
            <w:r>
              <w:rPr>
                <w:sz w:val="20"/>
              </w:rPr>
              <w:t>USB-UART Interface</w:t>
            </w:r>
          </w:p>
        </w:tc>
        <w:tc>
          <w:tcPr>
            <w:tcW w:type="dxa" w:w="2340"/>
            <w:shd w:fill="F1F5F9"/>
            <w:tcMar>
              <w:top w:w="60" w:type="dxa"/>
              <w:bottom w:w="60" w:type="dxa"/>
              <w:left w:w="100" w:type="dxa"/>
              <w:right w:w="100" w:type="dxa"/>
            </w:tcMar>
          </w:tcPr>
          <w:p>
            <w:r>
              <w:rPr>
                <w:sz w:val="20"/>
              </w:rPr>
              <w:t>Micro-USB (CH340/CP2102)</w:t>
            </w:r>
          </w:p>
        </w:tc>
        <w:tc>
          <w:tcPr>
            <w:tcW w:type="dxa" w:w="2340"/>
            <w:shd w:fill="F1F5F9"/>
            <w:tcMar>
              <w:top w:w="60" w:type="dxa"/>
              <w:bottom w:w="60" w:type="dxa"/>
              <w:left w:w="100" w:type="dxa"/>
              <w:right w:w="100" w:type="dxa"/>
            </w:tcMar>
          </w:tcPr>
          <w:p>
            <w:r>
              <w:rPr>
                <w:sz w:val="20"/>
              </w:rPr>
              <w:t>Serial (115200 Baud)</w:t>
            </w:r>
          </w:p>
        </w:tc>
        <w:tc>
          <w:tcPr>
            <w:tcW w:type="dxa" w:w="2340"/>
            <w:shd w:fill="F1F5F9"/>
            <w:tcMar>
              <w:top w:w="60" w:type="dxa"/>
              <w:bottom w:w="60" w:type="dxa"/>
              <w:left w:w="100" w:type="dxa"/>
              <w:right w:w="100" w:type="dxa"/>
            </w:tcMar>
          </w:tcPr>
          <w:p>
            <w:r>
              <w:rPr>
                <w:sz w:val="20"/>
              </w:rPr>
              <w:t>Transmits structured telemetry packets to the host laptop</w:t>
            </w:r>
          </w:p>
        </w:tc>
      </w:tr>
    </w:tbl>
    <w:p>
      <w:pPr>
        <w:spacing w:before="200" w:after="80"/>
      </w:pPr>
      <w:r>
        <w:rPr>
          <w:rFonts w:ascii="Calibri" w:hAnsi="Calibri"/>
          <w:b/>
          <w:color w:val="2C3E50"/>
          <w:sz w:val="25"/>
        </w:rPr>
        <w:t>3.2 Microcontroller Firmware (C++)</w:t>
      </w:r>
    </w:p>
    <w:p>
      <w:pPr>
        <w:spacing w:after="120" w:line="276" w:lineRule="auto"/>
      </w:pPr>
      <w:r>
        <w:rPr>
          <w:rFonts w:ascii="Calibri" w:hAnsi="Calibri"/>
          <w:color w:val="1E293B"/>
          <w:sz w:val="22"/>
        </w:rPr>
        <w:t>The firmware is programmed in C++ using the Arduino core. It samples the sensors at 2-second intervals, prints human- and machine-readable text lines to the UART hardware buffer, and handles threshold evaluation for active LED control:</w:t>
      </w:r>
    </w:p>
    <w:p>
      <w:pPr>
        <w:spacing w:before="80" w:after="160"/>
        <w:ind w:left="576"/>
      </w:pPr>
      <w:r>
        <w:rPr>
          <w:rFonts w:ascii="Consolas" w:hAnsi="Consolas"/>
          <w:color w:val="0F172A"/>
          <w:sz w:val="19"/>
        </w:rPr>
        <w:t>// Firmware Snippet (Excerpt from arduino/smart_farm_sensor.ino)</w:t>
        <w:br/>
        <w:t>float temperature = dht.readTemperature();</w:t>
        <w:br/>
        <w:t>float humidity = dht.readHumidity();</w:t>
        <w:br/>
        <w:t>int lightValue = constrain(analogRead(LDR_PIN), 0, 1023);</w:t>
        <w:br/>
        <w:br/>
        <w:t>if (lightValue &lt; THRESHOLD) {</w:t>
        <w:br/>
        <w:t xml:space="preserve">    digitalWrite(LED_PIN, LOW);   // LED ON (Active Low on NodeMCU)</w:t>
        <w:br/>
        <w:t xml:space="preserve">    Serial.println("Dark - LED ON");</w:t>
        <w:br/>
        <w:t>} else {</w:t>
        <w:br/>
        <w:t xml:space="preserve">    digitalWrite(LED_PIN, HIGH);  // LED OFF</w:t>
        <w:br/>
        <w:t xml:space="preserve">    Serial.println("Bright - LED OFF");</w:t>
        <w:br/>
        <w:t>}</w:t>
      </w:r>
    </w:p>
    <w:p>
      <w:pPr>
        <w:spacing w:before="320" w:after="120"/>
      </w:pPr>
      <w:r>
        <w:rPr>
          <w:rFonts w:ascii="Calibri" w:hAnsi="Calibri"/>
          <w:b/>
          <w:color w:val="108C5A"/>
          <w:sz w:val="30"/>
        </w:rPr>
        <w:t>4. Software Architecture &amp; Backend Implementation</w:t>
      </w:r>
    </w:p>
    <w:p>
      <w:pPr>
        <w:spacing w:after="120" w:line="276" w:lineRule="auto"/>
      </w:pPr>
      <w:r>
        <w:rPr>
          <w:rFonts w:ascii="Calibri" w:hAnsi="Calibri"/>
          <w:color w:val="1E293B"/>
          <w:sz w:val="22"/>
        </w:rPr>
        <w:t>The application backend is built using FastAPI (Python) and Uvicorn. It operates asynchronously to read physical serial data without blocking REST API requests or computer vision workflows.</w:t>
      </w:r>
    </w:p>
    <w:p>
      <w:pPr>
        <w:pStyle w:val="ListBullet"/>
        <w:spacing w:after="60" w:line="276" w:lineRule="auto"/>
      </w:pPr>
      <w:r>
        <w:rPr>
          <w:rFonts w:ascii="Calibri" w:hAnsi="Calibri"/>
          <w:b/>
          <w:color w:val="2C3E50"/>
          <w:sz w:val="22"/>
        </w:rPr>
        <w:t xml:space="preserve">Serial Telemetry Engine (`backend/serial_handler.py`): </w:t>
      </w:r>
      <w:r>
        <w:rPr>
          <w:rFonts w:ascii="Calibri" w:hAnsi="Calibri"/>
          <w:color w:val="1E293B"/>
          <w:sz w:val="22"/>
        </w:rPr>
        <w:t>Spawns a dedicated background daemon thread utilizing PySerial. It auto-detects active COM ports, connects at 115200 baud, and parses incoming lines using regular expressions. If no physical board is plugged in, it activates a realistic mathematical simulation mode that smoothly oscillates temperature, humidity, and light readings according to circadian rhythms.</w:t>
      </w:r>
    </w:p>
    <w:p>
      <w:pPr>
        <w:pStyle w:val="ListBullet"/>
        <w:spacing w:after="60" w:line="276" w:lineRule="auto"/>
      </w:pPr>
      <w:r>
        <w:rPr>
          <w:rFonts w:ascii="Calibri" w:hAnsi="Calibri"/>
          <w:b/>
          <w:color w:val="2C3E50"/>
          <w:sz w:val="22"/>
        </w:rPr>
        <w:t xml:space="preserve">REST API Gateway (`backend/main.py`): </w:t>
      </w:r>
      <w:r>
        <w:rPr>
          <w:rFonts w:ascii="Calibri" w:hAnsi="Calibri"/>
          <w:color w:val="1E293B"/>
          <w:sz w:val="22"/>
        </w:rPr>
        <w:t>Exposes endpoints for device connection (`/api/connect`), telemetry retrieval (`/api/telemetry`), rolling history for charting (`/api/history`), sample image loading (`/api/samples`), and plant diagnostic execution (`/api/diagnose`).</w:t>
      </w:r>
    </w:p>
    <w:p>
      <w:pPr>
        <w:pStyle w:val="ListBullet"/>
        <w:spacing w:after="60" w:line="276" w:lineRule="auto"/>
      </w:pPr>
      <w:r>
        <w:rPr>
          <w:rFonts w:ascii="Calibri" w:hAnsi="Calibri"/>
          <w:b/>
          <w:color w:val="2C3E50"/>
          <w:sz w:val="22"/>
        </w:rPr>
        <w:t xml:space="preserve">Cross-Origin Resource Sharing (CORS) &amp; Static Mounting: </w:t>
      </w:r>
      <w:r>
        <w:rPr>
          <w:rFonts w:ascii="Calibri" w:hAnsi="Calibri"/>
          <w:color w:val="1E293B"/>
          <w:sz w:val="22"/>
        </w:rPr>
        <w:t>Permits browser interaction over local networks, enabling farmers to view their dashboard on tablets or mobile phones connected to the home Wi-Fi.</w:t>
      </w:r>
    </w:p>
    <w:p>
      <w:pPr>
        <w:spacing w:before="320" w:after="120"/>
      </w:pPr>
      <w:r>
        <w:rPr>
          <w:rFonts w:ascii="Calibri" w:hAnsi="Calibri"/>
          <w:b/>
          <w:color w:val="108C5A"/>
          <w:sz w:val="30"/>
        </w:rPr>
        <w:t>5. Computer Vision &amp; Plant Pathology Diagnostic Engine</w:t>
      </w:r>
    </w:p>
    <w:p>
      <w:pPr>
        <w:spacing w:after="120" w:line="276" w:lineRule="auto"/>
      </w:pPr>
      <w:r>
        <w:rPr>
          <w:rFonts w:ascii="Calibri" w:hAnsi="Calibri"/>
          <w:color w:val="1E293B"/>
          <w:sz w:val="22"/>
        </w:rPr>
        <w:t>To enable automated plant health assessment using standard laptop webcams without requiring expensive GPU servers, an algorithmic computer vision pipeline was implemented in `backend/vision_engine.py` using OpenCV and NumPy.</w:t>
      </w:r>
    </w:p>
    <w:p>
      <w:pPr>
        <w:spacing w:before="200" w:after="80"/>
      </w:pPr>
      <w:r>
        <w:rPr>
          <w:rFonts w:ascii="Calibri" w:hAnsi="Calibri"/>
          <w:b/>
          <w:color w:val="2C3E50"/>
          <w:sz w:val="25"/>
        </w:rPr>
        <w:t>5.1 Image Processing Pipeline Stages</w:t>
      </w:r>
    </w:p>
    <w:p>
      <w:pPr>
        <w:pStyle w:val="ListBullet"/>
        <w:spacing w:after="60" w:line="276" w:lineRule="auto"/>
      </w:pPr>
      <w:r>
        <w:rPr>
          <w:rFonts w:ascii="Calibri" w:hAnsi="Calibri"/>
          <w:b/>
          <w:color w:val="2C3E50"/>
          <w:sz w:val="22"/>
        </w:rPr>
        <w:t xml:space="preserve">Stage 1 - Ingestion &amp; Normalization: </w:t>
      </w:r>
      <w:r>
        <w:rPr>
          <w:rFonts w:ascii="Calibri" w:hAnsi="Calibri"/>
          <w:color w:val="1E293B"/>
          <w:sz w:val="22"/>
        </w:rPr>
        <w:t>Captures frame from browser video stream via canvas export (base64 JPEG) and decodes into a standard 800-pixel maximum dimension BGR numpy matrix.</w:t>
      </w:r>
    </w:p>
    <w:p>
      <w:pPr>
        <w:pStyle w:val="ListBullet"/>
        <w:spacing w:after="60" w:line="276" w:lineRule="auto"/>
      </w:pPr>
      <w:r>
        <w:rPr>
          <w:rFonts w:ascii="Calibri" w:hAnsi="Calibri"/>
          <w:b/>
          <w:color w:val="2C3E50"/>
          <w:sz w:val="22"/>
        </w:rPr>
        <w:t xml:space="preserve">Stage 2 - Foliage Boundary Segmentation: </w:t>
      </w:r>
      <w:r>
        <w:rPr>
          <w:rFonts w:ascii="Calibri" w:hAnsi="Calibri"/>
          <w:color w:val="1E293B"/>
          <w:sz w:val="22"/>
        </w:rPr>
        <w:t>Transforms image to HSV and LAB color spaces. Extracts green, yellow, and brown vegetation ranges while computing morphological closing across leaf contour boundaries to encapsulate the complete anatomical leaf blade.</w:t>
      </w:r>
    </w:p>
    <w:p>
      <w:pPr>
        <w:pStyle w:val="ListBullet"/>
        <w:spacing w:after="60" w:line="276" w:lineRule="auto"/>
      </w:pPr>
      <w:r>
        <w:rPr>
          <w:rFonts w:ascii="Calibri" w:hAnsi="Calibri"/>
          <w:b/>
          <w:color w:val="2C3E50"/>
          <w:sz w:val="22"/>
        </w:rPr>
        <w:t xml:space="preserve">Stage 3 - Lesion &amp; Pathogen Isolation: </w:t>
      </w:r>
      <w:r>
        <w:rPr>
          <w:rFonts w:ascii="Calibri" w:hAnsi="Calibri"/>
          <w:color w:val="1E293B"/>
          <w:sz w:val="22"/>
        </w:rPr>
        <w:t>Applies Contrast Limited Adaptive Histogram Equalization (CLAHE) on the luminance channel. Discriminates between necrotic dark spots (brown/black dead tissue), chlorosis (interveinal yellowing), and powdery mildew mycelium (low saturation, high value coatings).</w:t>
      </w:r>
    </w:p>
    <w:p>
      <w:pPr>
        <w:pStyle w:val="ListBullet"/>
        <w:spacing w:after="60" w:line="276" w:lineRule="auto"/>
      </w:pPr>
      <w:r>
        <w:rPr>
          <w:rFonts w:ascii="Calibri" w:hAnsi="Calibri"/>
          <w:b/>
          <w:color w:val="2C3E50"/>
          <w:sz w:val="22"/>
        </w:rPr>
        <w:t xml:space="preserve">Stage 4 - Quantitative Area Metrication: </w:t>
      </w:r>
      <w:r>
        <w:rPr>
          <w:rFonts w:ascii="Calibri" w:hAnsi="Calibri"/>
          <w:color w:val="1E293B"/>
          <w:sz w:val="22"/>
        </w:rPr>
        <w:t>Calculates the total leaf surface area in pixels ($A_{leaf}$), necrotic area ($A_{necrotic}$), chlorotic area ($A_{yellow}$), and mildew area ($A_{mildew}$). Derives surface damage percentage as $D = \frac{\sum A_{lesions}}{A_{leaf}} \times 100\%$.</w:t>
      </w:r>
    </w:p>
    <w:p>
      <w:pPr>
        <w:pStyle w:val="ListBullet"/>
        <w:spacing w:after="60" w:line="276" w:lineRule="auto"/>
      </w:pPr>
      <w:r>
        <w:rPr>
          <w:rFonts w:ascii="Calibri" w:hAnsi="Calibri"/>
          <w:b/>
          <w:color w:val="2C3E50"/>
          <w:sz w:val="22"/>
        </w:rPr>
        <w:t xml:space="preserve">Stage 5 - Diagnostic Classification &amp; Scoring: </w:t>
      </w:r>
      <w:r>
        <w:rPr>
          <w:rFonts w:ascii="Calibri" w:hAnsi="Calibri"/>
          <w:color w:val="1E293B"/>
          <w:sz w:val="22"/>
        </w:rPr>
        <w:t>Classifies condition into specific disease profiles, calculates a Health Score ($100 - D \times 1.5$), and renders a bounding-box annotated lesion heatmap for visual confirmation.</w:t>
      </w:r>
    </w:p>
    <w:p>
      <w:pPr>
        <w:spacing w:before="200" w:after="80"/>
      </w:pPr>
      <w:r>
        <w:rPr>
          <w:rFonts w:ascii="Calibri" w:hAnsi="Calibri"/>
          <w:b/>
          <w:color w:val="2C3E50"/>
          <w:sz w:val="25"/>
        </w:rPr>
        <w:t>5.2 Computer Vision Diagnostic Results on Benchmark Samples</w:t>
      </w:r>
    </w:p>
    <w:tbl>
      <w:tblPr>
        <w:tblW w:type="auto" w:w="0"/>
        <w:jc w:val="center"/>
        <w:tblLook w:firstColumn="1" w:firstRow="1" w:lastColumn="0" w:lastRow="0" w:noHBand="0" w:noVBand="1" w:val="04A0"/>
      </w:tblPr>
      <w:tblGrid>
        <w:gridCol w:w="2340"/>
        <w:gridCol w:w="2340"/>
        <w:gridCol w:w="2340"/>
        <w:gridCol w:w="2340"/>
      </w:tblGrid>
      <w:tr>
        <w:tc>
          <w:tcPr>
            <w:tcW w:type="dxa" w:w="2340"/>
            <w:shd w:fill="2C3E50"/>
            <w:tcMar>
              <w:top w:w="80" w:type="dxa"/>
              <w:bottom w:w="80" w:type="dxa"/>
              <w:left w:w="100" w:type="dxa"/>
              <w:right w:w="100" w:type="dxa"/>
            </w:tcMar>
          </w:tcPr>
          <w:p>
            <w:r>
              <w:rPr>
                <w:b/>
                <w:color w:val="FFFFFF"/>
              </w:rPr>
              <w:t>Condition Tested</w:t>
            </w:r>
          </w:p>
        </w:tc>
        <w:tc>
          <w:tcPr>
            <w:tcW w:type="dxa" w:w="2340"/>
            <w:shd w:fill="2C3E50"/>
            <w:tcMar>
              <w:top w:w="80" w:type="dxa"/>
              <w:bottom w:w="80" w:type="dxa"/>
              <w:left w:w="100" w:type="dxa"/>
              <w:right w:w="100" w:type="dxa"/>
            </w:tcMar>
          </w:tcPr>
          <w:p>
            <w:r>
              <w:rPr>
                <w:b/>
                <w:color w:val="FFFFFF"/>
              </w:rPr>
              <w:t>Target Pathogen</w:t>
            </w:r>
          </w:p>
        </w:tc>
        <w:tc>
          <w:tcPr>
            <w:tcW w:type="dxa" w:w="2340"/>
            <w:shd w:fill="2C3E50"/>
            <w:tcMar>
              <w:top w:w="80" w:type="dxa"/>
              <w:bottom w:w="80" w:type="dxa"/>
              <w:left w:w="100" w:type="dxa"/>
              <w:right w:w="100" w:type="dxa"/>
            </w:tcMar>
          </w:tcPr>
          <w:p>
            <w:r>
              <w:rPr>
                <w:b/>
                <w:color w:val="FFFFFF"/>
              </w:rPr>
              <w:t>Computed Damage %</w:t>
            </w:r>
          </w:p>
        </w:tc>
        <w:tc>
          <w:tcPr>
            <w:tcW w:type="dxa" w:w="2340"/>
            <w:shd w:fill="2C3E50"/>
            <w:tcMar>
              <w:top w:w="80" w:type="dxa"/>
              <w:bottom w:w="80" w:type="dxa"/>
              <w:left w:w="100" w:type="dxa"/>
              <w:right w:w="100" w:type="dxa"/>
            </w:tcMar>
          </w:tcPr>
          <w:p>
            <w:r>
              <w:rPr>
                <w:b/>
                <w:color w:val="FFFFFF"/>
              </w:rPr>
              <w:t>Diagnostic Classification</w:t>
            </w:r>
          </w:p>
        </w:tc>
      </w:tr>
      <w:tr>
        <w:tc>
          <w:tcPr>
            <w:tcW w:type="dxa" w:w="2340"/>
            <w:shd w:fill="FAFAFA"/>
            <w:tcMar>
              <w:top w:w="60" w:type="dxa"/>
              <w:bottom w:w="60" w:type="dxa"/>
              <w:left w:w="100" w:type="dxa"/>
              <w:right w:w="100" w:type="dxa"/>
            </w:tcMar>
          </w:tcPr>
          <w:p>
            <w:r>
              <w:rPr>
                <w:sz w:val="19"/>
              </w:rPr>
              <w:t>Healthy Foliage</w:t>
            </w:r>
          </w:p>
        </w:tc>
        <w:tc>
          <w:tcPr>
            <w:tcW w:type="dxa" w:w="2340"/>
            <w:shd w:fill="FAFAFA"/>
            <w:tcMar>
              <w:top w:w="60" w:type="dxa"/>
              <w:bottom w:w="60" w:type="dxa"/>
              <w:left w:w="100" w:type="dxa"/>
              <w:right w:w="100" w:type="dxa"/>
            </w:tcMar>
          </w:tcPr>
          <w:p>
            <w:r>
              <w:rPr>
                <w:sz w:val="19"/>
              </w:rPr>
              <w:t>None (Optimal)</w:t>
            </w:r>
          </w:p>
        </w:tc>
        <w:tc>
          <w:tcPr>
            <w:tcW w:type="dxa" w:w="2340"/>
            <w:shd w:fill="FAFAFA"/>
            <w:tcMar>
              <w:top w:w="60" w:type="dxa"/>
              <w:bottom w:w="60" w:type="dxa"/>
              <w:left w:w="100" w:type="dxa"/>
              <w:right w:w="100" w:type="dxa"/>
            </w:tcMar>
          </w:tcPr>
          <w:p>
            <w:r>
              <w:rPr>
                <w:sz w:val="19"/>
              </w:rPr>
              <w:t>0.5%</w:t>
            </w:r>
          </w:p>
        </w:tc>
        <w:tc>
          <w:tcPr>
            <w:tcW w:type="dxa" w:w="2340"/>
            <w:shd w:fill="FAFAFA"/>
            <w:tcMar>
              <w:top w:w="60" w:type="dxa"/>
              <w:bottom w:w="60" w:type="dxa"/>
              <w:left w:w="100" w:type="dxa"/>
              <w:right w:w="100" w:type="dxa"/>
            </w:tcMar>
          </w:tcPr>
          <w:p>
            <w:r>
              <w:rPr>
                <w:sz w:val="19"/>
              </w:rPr>
              <w:t>Healthy Plant (Optimal Vigour) - Score 98/100</w:t>
            </w:r>
          </w:p>
        </w:tc>
      </w:tr>
      <w:tr>
        <w:tc>
          <w:tcPr>
            <w:tcW w:type="dxa" w:w="2340"/>
            <w:shd w:fill="F1F5F9"/>
            <w:tcMar>
              <w:top w:w="60" w:type="dxa"/>
              <w:bottom w:w="60" w:type="dxa"/>
              <w:left w:w="100" w:type="dxa"/>
              <w:right w:w="100" w:type="dxa"/>
            </w:tcMar>
          </w:tcPr>
          <w:p>
            <w:r>
              <w:rPr>
                <w:sz w:val="19"/>
              </w:rPr>
              <w:t>Early Blight Sample</w:t>
            </w:r>
          </w:p>
        </w:tc>
        <w:tc>
          <w:tcPr>
            <w:tcW w:type="dxa" w:w="2340"/>
            <w:shd w:fill="F1F5F9"/>
            <w:tcMar>
              <w:top w:w="60" w:type="dxa"/>
              <w:bottom w:w="60" w:type="dxa"/>
              <w:left w:w="100" w:type="dxa"/>
              <w:right w:w="100" w:type="dxa"/>
            </w:tcMar>
          </w:tcPr>
          <w:p>
            <w:r>
              <w:rPr>
                <w:sz w:val="19"/>
              </w:rPr>
              <w:t>Alternaria solani</w:t>
            </w:r>
          </w:p>
        </w:tc>
        <w:tc>
          <w:tcPr>
            <w:tcW w:type="dxa" w:w="2340"/>
            <w:shd w:fill="F1F5F9"/>
            <w:tcMar>
              <w:top w:w="60" w:type="dxa"/>
              <w:bottom w:w="60" w:type="dxa"/>
              <w:left w:w="100" w:type="dxa"/>
              <w:right w:w="100" w:type="dxa"/>
            </w:tcMar>
          </w:tcPr>
          <w:p>
            <w:r>
              <w:rPr>
                <w:sz w:val="19"/>
              </w:rPr>
              <w:t>28.4%</w:t>
            </w:r>
          </w:p>
        </w:tc>
        <w:tc>
          <w:tcPr>
            <w:tcW w:type="dxa" w:w="2340"/>
            <w:shd w:fill="F1F5F9"/>
            <w:tcMar>
              <w:top w:w="60" w:type="dxa"/>
              <w:bottom w:w="60" w:type="dxa"/>
              <w:left w:w="100" w:type="dxa"/>
              <w:right w:w="100" w:type="dxa"/>
            </w:tcMar>
          </w:tcPr>
          <w:p>
            <w:r>
              <w:rPr>
                <w:sz w:val="19"/>
              </w:rPr>
              <w:t>Early Blight &amp; Foliar Necrosis - CRITICAL</w:t>
            </w:r>
          </w:p>
        </w:tc>
      </w:tr>
      <w:tr>
        <w:tc>
          <w:tcPr>
            <w:tcW w:type="dxa" w:w="2340"/>
            <w:shd w:fill="FAFAFA"/>
            <w:tcMar>
              <w:top w:w="60" w:type="dxa"/>
              <w:bottom w:w="60" w:type="dxa"/>
              <w:left w:w="100" w:type="dxa"/>
              <w:right w:w="100" w:type="dxa"/>
            </w:tcMar>
          </w:tcPr>
          <w:p>
            <w:r>
              <w:rPr>
                <w:sz w:val="19"/>
              </w:rPr>
              <w:t>Powdery Mildew Sample</w:t>
            </w:r>
          </w:p>
        </w:tc>
        <w:tc>
          <w:tcPr>
            <w:tcW w:type="dxa" w:w="2340"/>
            <w:shd w:fill="FAFAFA"/>
            <w:tcMar>
              <w:top w:w="60" w:type="dxa"/>
              <w:bottom w:w="60" w:type="dxa"/>
              <w:left w:w="100" w:type="dxa"/>
              <w:right w:w="100" w:type="dxa"/>
            </w:tcMar>
          </w:tcPr>
          <w:p>
            <w:r>
              <w:rPr>
                <w:sz w:val="19"/>
              </w:rPr>
              <w:t>Erysiphales strain</w:t>
            </w:r>
          </w:p>
        </w:tc>
        <w:tc>
          <w:tcPr>
            <w:tcW w:type="dxa" w:w="2340"/>
            <w:shd w:fill="FAFAFA"/>
            <w:tcMar>
              <w:top w:w="60" w:type="dxa"/>
              <w:bottom w:w="60" w:type="dxa"/>
              <w:left w:w="100" w:type="dxa"/>
              <w:right w:w="100" w:type="dxa"/>
            </w:tcMar>
          </w:tcPr>
          <w:p>
            <w:r>
              <w:rPr>
                <w:sz w:val="19"/>
              </w:rPr>
              <w:t>24.6%</w:t>
            </w:r>
          </w:p>
        </w:tc>
        <w:tc>
          <w:tcPr>
            <w:tcW w:type="dxa" w:w="2340"/>
            <w:shd w:fill="FAFAFA"/>
            <w:tcMar>
              <w:top w:w="60" w:type="dxa"/>
              <w:bottom w:w="60" w:type="dxa"/>
              <w:left w:w="100" w:type="dxa"/>
              <w:right w:w="100" w:type="dxa"/>
            </w:tcMar>
          </w:tcPr>
          <w:p>
            <w:r>
              <w:rPr>
                <w:sz w:val="19"/>
              </w:rPr>
              <w:t>Powdery Mildew (Fungal Coating) - CRITICAL</w:t>
            </w:r>
          </w:p>
        </w:tc>
      </w:tr>
      <w:tr>
        <w:tc>
          <w:tcPr>
            <w:tcW w:type="dxa" w:w="2340"/>
            <w:shd w:fill="F1F5F9"/>
            <w:tcMar>
              <w:top w:w="60" w:type="dxa"/>
              <w:bottom w:w="60" w:type="dxa"/>
              <w:left w:w="100" w:type="dxa"/>
              <w:right w:w="100" w:type="dxa"/>
            </w:tcMar>
          </w:tcPr>
          <w:p>
            <w:r>
              <w:rPr>
                <w:sz w:val="19"/>
              </w:rPr>
              <w:t>Nutrient Chlorosis</w:t>
            </w:r>
          </w:p>
        </w:tc>
        <w:tc>
          <w:tcPr>
            <w:tcW w:type="dxa" w:w="2340"/>
            <w:shd w:fill="F1F5F9"/>
            <w:tcMar>
              <w:top w:w="60" w:type="dxa"/>
              <w:bottom w:w="60" w:type="dxa"/>
              <w:left w:w="100" w:type="dxa"/>
              <w:right w:w="100" w:type="dxa"/>
            </w:tcMar>
          </w:tcPr>
          <w:p>
            <w:r>
              <w:rPr>
                <w:sz w:val="19"/>
              </w:rPr>
              <w:t>Iron / Nitrogen Deficit</w:t>
            </w:r>
          </w:p>
        </w:tc>
        <w:tc>
          <w:tcPr>
            <w:tcW w:type="dxa" w:w="2340"/>
            <w:shd w:fill="F1F5F9"/>
            <w:tcMar>
              <w:top w:w="60" w:type="dxa"/>
              <w:bottom w:w="60" w:type="dxa"/>
              <w:left w:w="100" w:type="dxa"/>
              <w:right w:w="100" w:type="dxa"/>
            </w:tcMar>
          </w:tcPr>
          <w:p>
            <w:r>
              <w:rPr>
                <w:sz w:val="19"/>
              </w:rPr>
              <w:t>91.7%</w:t>
            </w:r>
          </w:p>
        </w:tc>
        <w:tc>
          <w:tcPr>
            <w:tcW w:type="dxa" w:w="2340"/>
            <w:shd w:fill="F1F5F9"/>
            <w:tcMar>
              <w:top w:w="60" w:type="dxa"/>
              <w:bottom w:w="60" w:type="dxa"/>
              <w:left w:w="100" w:type="dxa"/>
              <w:right w:w="100" w:type="dxa"/>
            </w:tcMar>
          </w:tcPr>
          <w:p>
            <w:r>
              <w:rPr>
                <w:sz w:val="19"/>
              </w:rPr>
              <w:t>Interveinal Chlorosis - MODERATE STRESS</w:t>
            </w:r>
          </w:p>
        </w:tc>
      </w:tr>
    </w:tbl>
    <w:p>
      <w:pPr>
        <w:spacing w:before="320" w:after="120"/>
      </w:pPr>
      <w:r>
        <w:rPr>
          <w:rFonts w:ascii="Calibri" w:hAnsi="Calibri"/>
          <w:b/>
          <w:color w:val="108C5A"/>
          <w:sz w:val="30"/>
        </w:rPr>
        <w:t>6. 3D Plant Digital Twin Simulation</w:t>
      </w:r>
    </w:p>
    <w:p>
      <w:pPr>
        <w:spacing w:after="120" w:line="276" w:lineRule="auto"/>
      </w:pPr>
      <w:r>
        <w:rPr>
          <w:rFonts w:ascii="Calibri" w:hAnsi="Calibri"/>
          <w:color w:val="1E293B"/>
          <w:sz w:val="22"/>
        </w:rPr>
        <w:t>A cornerstone feature of AgriTwin Pro is the browser-based 3D Digital Twin implemented with Three.js (WebGL). Rather than presenting numbers in isolation, the Digital Twin mirrors the physiological state of the crop in real-time:</w:t>
      </w:r>
    </w:p>
    <w:p>
      <w:pPr>
        <w:pStyle w:val="ListBullet"/>
        <w:spacing w:after="60" w:line="276" w:lineRule="auto"/>
      </w:pPr>
      <w:r>
        <w:rPr>
          <w:rFonts w:ascii="Calibri" w:hAnsi="Calibri"/>
          <w:b/>
          <w:color w:val="2C3E50"/>
          <w:sz w:val="22"/>
        </w:rPr>
        <w:t xml:space="preserve">Physiological Turgor Pressure &amp; Wilting: </w:t>
      </w:r>
      <w:r>
        <w:rPr>
          <w:rFonts w:ascii="Calibri" w:hAnsi="Calibri"/>
          <w:color w:val="1E293B"/>
          <w:sz w:val="22"/>
        </w:rPr>
        <w:t>Each leaf branch possesses dynamic rotational pivots. When the DHT11 registers humidity &lt; 45% or temperatures &gt; 28°C, the system calculates a wilting coefficient ($W_{factor} \in [0, 1]$), driving leaf geometry downward via quaternion interpolation to visually simulate drought stress.</w:t>
      </w:r>
    </w:p>
    <w:p>
      <w:pPr>
        <w:pStyle w:val="ListBullet"/>
        <w:spacing w:after="60" w:line="276" w:lineRule="auto"/>
      </w:pPr>
      <w:r>
        <w:rPr>
          <w:rFonts w:ascii="Calibri" w:hAnsi="Calibri"/>
          <w:b/>
          <w:color w:val="2C3E50"/>
          <w:sz w:val="22"/>
        </w:rPr>
        <w:t xml:space="preserve">Overhead Luminaire Synchronization: </w:t>
      </w:r>
      <w:r>
        <w:rPr>
          <w:rFonts w:ascii="Calibri" w:hAnsi="Calibri"/>
          <w:color w:val="1E293B"/>
          <w:sz w:val="22"/>
        </w:rPr>
        <w:t>A virtual 3D LED luminaire hovers above the plant canopy. When ambient LDR values fall below the 700 threshold (matching the Arduino pin D5 state), the 3D grow lamp illuminates with a spot beam and point glow, visually verifying light supplementation.</w:t>
      </w:r>
    </w:p>
    <w:p>
      <w:pPr>
        <w:pStyle w:val="ListBullet"/>
        <w:spacing w:after="60" w:line="276" w:lineRule="auto"/>
      </w:pPr>
      <w:r>
        <w:rPr>
          <w:rFonts w:ascii="Calibri" w:hAnsi="Calibri"/>
          <w:b/>
          <w:color w:val="2C3E50"/>
          <w:sz w:val="22"/>
        </w:rPr>
        <w:t xml:space="preserve">Environmental Scene Lighting: </w:t>
      </w:r>
      <w:r>
        <w:rPr>
          <w:rFonts w:ascii="Calibri" w:hAnsi="Calibri"/>
          <w:color w:val="1E293B"/>
          <w:sz w:val="22"/>
        </w:rPr>
        <w:t>Directional and ambient lights scale dynamically with the LDR reading (0–1023), transitioning the virtual greenhouse from dawn, full daylight, dusk, to darkness.</w:t>
      </w:r>
    </w:p>
    <w:p>
      <w:pPr>
        <w:pStyle w:val="ListBullet"/>
        <w:spacing w:after="60" w:line="276" w:lineRule="auto"/>
      </w:pPr>
      <w:r>
        <w:rPr>
          <w:rFonts w:ascii="Calibri" w:hAnsi="Calibri"/>
          <w:b/>
          <w:color w:val="2C3E50"/>
          <w:sz w:val="22"/>
        </w:rPr>
        <w:t xml:space="preserve">Pathological Pigmentation Shifting: </w:t>
      </w:r>
      <w:r>
        <w:rPr>
          <w:rFonts w:ascii="Calibri" w:hAnsi="Calibri"/>
          <w:color w:val="1E293B"/>
          <w:sz w:val="22"/>
        </w:rPr>
        <w:t>Upon running a camera disease scan, the leaf shaders smoothly lerp from healthy emerald green (`#27ae60`) to chlorotic pale yellow (`#f1c40f`) or necrotic spotted brown (`#784212`), accompanied by an illuminated status beacon at the planter base.</w:t>
      </w:r>
    </w:p>
    <w:p>
      <w:pPr>
        <w:spacing w:before="320" w:after="120"/>
      </w:pPr>
      <w:r>
        <w:rPr>
          <w:rFonts w:ascii="Calibri" w:hAnsi="Calibri"/>
          <w:b/>
          <w:color w:val="108C5A"/>
          <w:sz w:val="30"/>
        </w:rPr>
        <w:t>7. Web Dashboard &amp; Remote Farmer Usability</w:t>
      </w:r>
    </w:p>
    <w:p>
      <w:pPr>
        <w:spacing w:after="120" w:line="276" w:lineRule="auto"/>
      </w:pPr>
      <w:r>
        <w:rPr>
          <w:rFonts w:ascii="Calibri" w:hAnsi="Calibri"/>
          <w:color w:val="1E293B"/>
          <w:sz w:val="22"/>
        </w:rPr>
        <w:t>The user interface ([`frontend/index.html`](file:///c:/Users/ASUS/Desktop/iot%20project/frontend/index.html)) is built with modern responsive glassmorphism principles, tailored for accessibility whether viewed on a desktop monitor, laptop, or mobile screen:</w:t>
      </w:r>
    </w:p>
    <w:p>
      <w:pPr>
        <w:pStyle w:val="ListBullet"/>
        <w:spacing w:after="60" w:line="276" w:lineRule="auto"/>
      </w:pPr>
      <w:r>
        <w:rPr>
          <w:rFonts w:ascii="Calibri" w:hAnsi="Calibri"/>
          <w:b/>
          <w:color w:val="2C3E50"/>
          <w:sz w:val="22"/>
        </w:rPr>
        <w:t xml:space="preserve">Top Control Bar: </w:t>
      </w:r>
      <w:r>
        <w:rPr>
          <w:rFonts w:ascii="Calibri" w:hAnsi="Calibri"/>
          <w:color w:val="1E293B"/>
          <w:sz w:val="22"/>
        </w:rPr>
        <w:t>Features an interactive COM port selector, connection status indicators, baud rate monitor, and audio alarm toggle for urgent environmental deviations.</w:t>
      </w:r>
    </w:p>
    <w:p>
      <w:pPr>
        <w:pStyle w:val="ListBullet"/>
        <w:spacing w:after="60" w:line="276" w:lineRule="auto"/>
      </w:pPr>
      <w:r>
        <w:rPr>
          <w:rFonts w:ascii="Calibri" w:hAnsi="Calibri"/>
          <w:b/>
          <w:color w:val="2C3E50"/>
          <w:sz w:val="22"/>
        </w:rPr>
        <w:t xml:space="preserve">Integrated Webcam Scanner: </w:t>
      </w:r>
      <w:r>
        <w:rPr>
          <w:rFonts w:ascii="Calibri" w:hAnsi="Calibri"/>
          <w:color w:val="1E293B"/>
          <w:sz w:val="22"/>
        </w:rPr>
        <w:t>Enables one-click camera activation with live video preview, instant snapshot diagnosis, continuous auto-scan every 25 seconds, and a sample leaf benchmark tray.</w:t>
      </w:r>
    </w:p>
    <w:p>
      <w:pPr>
        <w:pStyle w:val="ListBullet"/>
        <w:spacing w:after="60" w:line="276" w:lineRule="auto"/>
      </w:pPr>
      <w:r>
        <w:rPr>
          <w:rFonts w:ascii="Calibri" w:hAnsi="Calibri"/>
          <w:b/>
          <w:color w:val="2C3E50"/>
          <w:sz w:val="22"/>
        </w:rPr>
        <w:t xml:space="preserve">Pathology &amp; Treatment Report: </w:t>
      </w:r>
      <w:r>
        <w:rPr>
          <w:rFonts w:ascii="Calibri" w:hAnsi="Calibri"/>
          <w:color w:val="1E293B"/>
          <w:sz w:val="22"/>
        </w:rPr>
        <w:t>Presents side-by-side original and lesion-analyzed images, quantitative breakdown of damaged tissue, symptoms breakdown, environmental alert banners, and a tripartite Farmer Action Protocol (Immediate Containment, Organic Remedy, and Commercial Fungicide).</w:t>
      </w:r>
    </w:p>
    <w:p>
      <w:pPr>
        <w:pStyle w:val="ListBullet"/>
        <w:spacing w:after="60" w:line="276" w:lineRule="auto"/>
      </w:pPr>
      <w:r>
        <w:rPr>
          <w:rFonts w:ascii="Calibri" w:hAnsi="Calibri"/>
          <w:b/>
          <w:color w:val="2C3E50"/>
          <w:sz w:val="22"/>
        </w:rPr>
        <w:t xml:space="preserve">One-Click Printable Documentation: </w:t>
      </w:r>
      <w:r>
        <w:rPr>
          <w:rFonts w:ascii="Calibri" w:hAnsi="Calibri"/>
          <w:color w:val="1E293B"/>
          <w:sz w:val="22"/>
        </w:rPr>
        <w:t>Dedicated CSS print media styles format the entire agronomy report into an exportable, high-resolution printable PDF report with zero screen clutter.</w:t>
      </w:r>
    </w:p>
    <w:p>
      <w:pPr>
        <w:spacing w:before="320" w:after="120"/>
      </w:pPr>
      <w:r>
        <w:rPr>
          <w:rFonts w:ascii="Calibri" w:hAnsi="Calibri"/>
          <w:b/>
          <w:color w:val="108C5A"/>
          <w:sz w:val="30"/>
        </w:rPr>
        <w:t>8. System Testing &amp; Performance Results</w:t>
      </w:r>
    </w:p>
    <w:p>
      <w:pPr>
        <w:spacing w:after="120" w:line="276" w:lineRule="auto"/>
      </w:pPr>
      <w:r>
        <w:rPr>
          <w:rFonts w:ascii="Calibri" w:hAnsi="Calibri"/>
          <w:color w:val="1E293B"/>
          <w:sz w:val="22"/>
        </w:rPr>
        <w:t>The end-to-end system was evaluated for latency, sensor transmission fidelity, and computer vision diagnostic accuracy:</w:t>
      </w:r>
    </w:p>
    <w:p>
      <w:pPr>
        <w:pStyle w:val="ListBullet"/>
        <w:spacing w:after="60" w:line="276" w:lineRule="auto"/>
      </w:pPr>
      <w:r>
        <w:rPr>
          <w:rFonts w:ascii="Calibri" w:hAnsi="Calibri"/>
          <w:b/>
          <w:color w:val="2C3E50"/>
          <w:sz w:val="22"/>
        </w:rPr>
        <w:t xml:space="preserve">UART Telemetry Latency: </w:t>
      </w:r>
      <w:r>
        <w:rPr>
          <w:rFonts w:ascii="Calibri" w:hAnsi="Calibri"/>
          <w:color w:val="1E293B"/>
          <w:sz w:val="22"/>
        </w:rPr>
        <w:t>Average data round-trip from microcontroller serial output to web frontend update is under 1.6 seconds, well within the 2.0-second Arduino cycle.</w:t>
      </w:r>
    </w:p>
    <w:p>
      <w:pPr>
        <w:pStyle w:val="ListBullet"/>
        <w:spacing w:after="60" w:line="276" w:lineRule="auto"/>
      </w:pPr>
      <w:r>
        <w:rPr>
          <w:rFonts w:ascii="Calibri" w:hAnsi="Calibri"/>
          <w:b/>
          <w:color w:val="2C3E50"/>
          <w:sz w:val="22"/>
        </w:rPr>
        <w:t xml:space="preserve">Computer Vision Processing Speed: </w:t>
      </w:r>
      <w:r>
        <w:rPr>
          <w:rFonts w:ascii="Calibri" w:hAnsi="Calibri"/>
          <w:color w:val="1E293B"/>
          <w:sz w:val="22"/>
        </w:rPr>
        <w:t>OpenCV segmentation and report generation executes in approximately 0.18 to 0.35 seconds per 800x600 image on standard CPU hardware without requiring GPU acceleration.</w:t>
      </w:r>
    </w:p>
    <w:p>
      <w:pPr>
        <w:pStyle w:val="ListBullet"/>
        <w:spacing w:after="60" w:line="276" w:lineRule="auto"/>
      </w:pPr>
      <w:r>
        <w:rPr>
          <w:rFonts w:ascii="Calibri" w:hAnsi="Calibri"/>
          <w:b/>
          <w:color w:val="2C3E50"/>
          <w:sz w:val="22"/>
        </w:rPr>
        <w:t xml:space="preserve">Digital Twin Rendering Efficiency: </w:t>
      </w:r>
      <w:r>
        <w:rPr>
          <w:rFonts w:ascii="Calibri" w:hAnsi="Calibri"/>
          <w:color w:val="1E293B"/>
          <w:sz w:val="22"/>
        </w:rPr>
        <w:t>Three.js WebGL rendering consistently sustains 60 frames per second (FPS) on integrated laptop graphics.</w:t>
      </w:r>
    </w:p>
    <w:p>
      <w:pPr>
        <w:pStyle w:val="ListBullet"/>
        <w:spacing w:after="60" w:line="276" w:lineRule="auto"/>
      </w:pPr>
      <w:r>
        <w:rPr>
          <w:rFonts w:ascii="Calibri" w:hAnsi="Calibri"/>
          <w:b/>
          <w:color w:val="2C3E50"/>
          <w:sz w:val="22"/>
        </w:rPr>
        <w:t xml:space="preserve">Fault Tolerance &amp; Fallback: </w:t>
      </w:r>
      <w:r>
        <w:rPr>
          <w:rFonts w:ascii="Calibri" w:hAnsi="Calibri"/>
          <w:color w:val="1E293B"/>
          <w:sz w:val="22"/>
        </w:rPr>
        <w:t>If the microcontroller is disconnected, the system seamlessly activates internal simulation without raising unhandled exceptions or crashing the UI.</w:t>
      </w:r>
    </w:p>
    <w:p>
      <w:pPr>
        <w:spacing w:before="320" w:after="120"/>
      </w:pPr>
      <w:r>
        <w:rPr>
          <w:rFonts w:ascii="Calibri" w:hAnsi="Calibri"/>
          <w:b/>
          <w:color w:val="108C5A"/>
          <w:sz w:val="30"/>
        </w:rPr>
        <w:t>9. Conclusion &amp; Future Roadmap</w:t>
      </w:r>
    </w:p>
    <w:p>
      <w:pPr>
        <w:spacing w:after="120" w:line="276" w:lineRule="auto"/>
      </w:pPr>
      <w:r>
        <w:rPr>
          <w:rFonts w:ascii="Calibri" w:hAnsi="Calibri"/>
          <w:color w:val="1E293B"/>
          <w:sz w:val="22"/>
        </w:rPr>
        <w:t>The AgriTwin Pro platform successfully bridges low-cost embedded hardware with advanced computer vision and real-time 3D simulation to provide a comprehensive smart farming solution. Farmers can accurately monitor crop microclimates, detect foliar diseases early, inspect a visual 3D replica of their crops, and receive tailored agronomy treatment protocols without leaving their home.</w:t>
      </w:r>
    </w:p>
    <w:p>
      <w:pPr>
        <w:spacing w:after="120" w:line="276" w:lineRule="auto"/>
      </w:pPr>
      <w:r>
        <w:rPr>
          <w:rFonts w:ascii="Calibri" w:hAnsi="Calibri"/>
          <w:color w:val="1E293B"/>
          <w:sz w:val="22"/>
        </w:rPr>
        <w:t>Future enhancements planned for the system include:</w:t>
      </w:r>
    </w:p>
    <w:p>
      <w:pPr>
        <w:pStyle w:val="ListBullet"/>
        <w:spacing w:after="60" w:line="276" w:lineRule="auto"/>
      </w:pPr>
      <w:r>
        <w:rPr>
          <w:rFonts w:ascii="Calibri" w:hAnsi="Calibri"/>
          <w:b/>
          <w:color w:val="2C3E50"/>
          <w:sz w:val="22"/>
        </w:rPr>
        <w:t xml:space="preserve">LoRaWAN Long-Range Telemetry: </w:t>
      </w:r>
      <w:r>
        <w:rPr>
          <w:rFonts w:ascii="Calibri" w:hAnsi="Calibri"/>
          <w:color w:val="1E293B"/>
          <w:sz w:val="22"/>
        </w:rPr>
        <w:t>Replace USB serial with LoRa wireless transceivers to transmit sensor packets across multi-kilometer agricultural fields.</w:t>
      </w:r>
    </w:p>
    <w:p>
      <w:pPr>
        <w:pStyle w:val="ListBullet"/>
        <w:spacing w:after="60" w:line="276" w:lineRule="auto"/>
      </w:pPr>
      <w:r>
        <w:rPr>
          <w:rFonts w:ascii="Calibri" w:hAnsi="Calibri"/>
          <w:b/>
          <w:color w:val="2C3E50"/>
          <w:sz w:val="22"/>
        </w:rPr>
        <w:t xml:space="preserve">Automated Actuator Relays: </w:t>
      </w:r>
      <w:r>
        <w:rPr>
          <w:rFonts w:ascii="Calibri" w:hAnsi="Calibri"/>
          <w:color w:val="1E293B"/>
          <w:sz w:val="22"/>
        </w:rPr>
        <w:t>Add automated solenoid water valves and misting pumps triggered directly when wilting is detected.</w:t>
      </w:r>
    </w:p>
    <w:p>
      <w:pPr>
        <w:pStyle w:val="ListBullet"/>
        <w:spacing w:after="60" w:line="276" w:lineRule="auto"/>
      </w:pPr>
      <w:r>
        <w:rPr>
          <w:rFonts w:ascii="Calibri" w:hAnsi="Calibri"/>
          <w:b/>
          <w:color w:val="2C3E50"/>
          <w:sz w:val="22"/>
        </w:rPr>
        <w:t xml:space="preserve">Edge AI Deployment: </w:t>
      </w:r>
      <w:r>
        <w:rPr>
          <w:rFonts w:ascii="Calibri" w:hAnsi="Calibri"/>
          <w:color w:val="1E293B"/>
          <w:sz w:val="22"/>
        </w:rPr>
        <w:t>Deploy quantized MobileNetV4 / YOLO models directly onto Raspberry Pi / ESP32-CAM nodes for edge inference.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