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4b7303759e344df" /><Relationship Type="http://schemas.openxmlformats.org/package/2006/relationships/metadata/core-properties" Target="/docProps/core.xml" Id="Raa14363649bb4b4b" /><Relationship Type="http://schemas.openxmlformats.org/officeDocument/2006/relationships/extended-properties" Target="/docProps/app.xml" Id="R5d6ac74be84b415e" /><Relationship Type="http://schemas.openxmlformats.org/officeDocument/2006/relationships/custom-properties" Target="/docProps/custom.xml" Id="R0a838cd157cf4415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120"/>
        <w:jc w:val="center"/>
      </w:pPr>
      <w:r>
        <w:rPr>
          <w:b/>
          <w:color w:val="1E3A5F"/>
          <w:sz w:val="56"/>
        </w:rPr>
        <w:t xml:space="preserve">Academic Dropout Risk Dashboard</w:t>
      </w:r>
    </w:p>
    <w:p w14:paraId="00100002" w14:textId="00100003">
      <w:pPr>
        <w:pStyle w:val="Heading1"/>
        <w:spacing w:after="80"/>
        <w:jc w:val="center"/>
      </w:pPr>
      <w:r>
        <w:rPr>
          <w:b/>
          <w:color w:val="2563EB"/>
          <w:sz w:val="36"/>
        </w:rPr>
        <w:t xml:space="preserve">Project Report</w:t>
      </w:r>
    </w:p>
    <w:p w14:paraId="00100004" w14:textId="00100005">
      <w:pPr>
        <w:spacing w:after="80"/>
        <w:jc w:val="center"/>
      </w:pPr>
      <w:r>
        <w:rPr>
          <w:color w:val="555555"/>
          <w:sz w:val="24"/>
        </w:rPr>
        <w:t xml:space="preserve">A Single-File Python Web Application for Student Dropout Prediction &amp; Analysis</w:t>
      </w:r>
    </w:p>
    <w:p w14:paraId="00100006" w14:textId="00100007">
      <w:pPr>
        <w:spacing w:after="80"/>
        <w:jc w:val="center"/>
      </w:pPr>
      <w:r>
        <w:rPr>
          <w:color w:val="777777"/>
          <w:sz w:val="22"/>
        </w:rPr>
        <w:t xml:space="preserve">Dataset: UCI Predict Students Dropout and Academic Success</w:t>
      </w:r>
    </w:p>
    <w:p w14:paraId="00100008" w14:textId="00100009">
      <w:pPr>
        <w:spacing w:after="80"/>
        <w:jc w:val="center"/>
      </w:pPr>
      <w:r>
        <w:rPr>
          <w:color w:val="777777"/>
          <w:sz w:val="22"/>
        </w:rPr>
        <w:t xml:space="preserve">Technology Stack: Python | Flask | scikit-learn | Plotly | Random Forest</w:t>
      </w:r>
    </w:p>
    <w:p w14:paraId="0010000A" w14:textId="0010000B">
      <w:pPr>
        <w:spacing w:after="480"/>
        <w:jc w:val="center"/>
      </w:pPr>
      <w:r>
        <w:rPr>
          <w:b/>
          <w:color w:val="2563EB"/>
          <w:sz w:val="24"/>
        </w:rPr>
        <w:t xml:space="preserve">Dashboard URL: http://127.0.0.1:5000</w:t>
      </w:r>
    </w:p>
    <w:p w14:paraId="0010000C" w14:textId="0010000D">
      <w:pPr>
        <w:pStyle w:val="Heading1"/>
        <w:spacing w:before="240" w:after="120"/>
      </w:pPr>
      <w:r>
        <w:rPr>
          <w:b/>
          <w:color w:val="1E3A5F"/>
          <w:sz w:val="32"/>
        </w:rPr>
        <w:t xml:space="preserve">Table of Contents</w:t>
      </w:r>
    </w:p>
    <w:p w14:paraId="0010000E" w14:textId="0010000F">
      <w:pPr>
        <w:spacing w:after="60"/>
      </w:pPr>
      <w:r>
        <w:rPr>
          <w:sz w:val="22"/>
        </w:rPr>
        <w:t xml:space="preserve">1. Project Overview</w:t>
      </w:r>
    </w:p>
    <w:p w14:paraId="00100010" w14:textId="00100011">
      <w:pPr>
        <w:spacing w:after="60"/>
      </w:pPr>
      <w:r>
        <w:rPr>
          <w:sz w:val="22"/>
        </w:rPr>
        <w:t xml:space="preserve">2. Dataset Description</w:t>
      </w:r>
    </w:p>
    <w:p w14:paraId="00100012" w14:textId="00100013">
      <w:pPr>
        <w:spacing w:after="60"/>
      </w:pPr>
      <w:r>
        <w:rPr>
          <w:sz w:val="22"/>
        </w:rPr>
        <w:t xml:space="preserve">3. Technology Stack</w:t>
      </w:r>
    </w:p>
    <w:p w14:paraId="00100014" w14:textId="00100015">
      <w:pPr>
        <w:spacing w:after="60"/>
      </w:pPr>
      <w:r>
        <w:rPr>
          <w:sz w:val="22"/>
        </w:rPr>
        <w:t xml:space="preserve">4. System Architecture</w:t>
      </w:r>
    </w:p>
    <w:p w14:paraId="00100016" w14:textId="00100017">
      <w:pPr>
        <w:spacing w:after="60"/>
      </w:pPr>
      <w:r>
        <w:rPr>
          <w:sz w:val="22"/>
        </w:rPr>
        <w:t xml:space="preserve">5. Dashboard UI — Home Page</w:t>
      </w:r>
    </w:p>
    <w:p w14:paraId="00100018" w14:textId="00100019">
      <w:pPr>
        <w:spacing w:after="60"/>
      </w:pPr>
      <w:r>
        <w:rPr>
          <w:sz w:val="22"/>
        </w:rPr>
        <w:t xml:space="preserve">6. Financial Status Dashboard</w:t>
      </w:r>
    </w:p>
    <w:p w14:paraId="0010001A" w14:textId="0010001B">
      <w:pPr>
        <w:spacing w:after="60"/>
      </w:pPr>
      <w:r>
        <w:rPr>
          <w:sz w:val="22"/>
        </w:rPr>
        <w:t xml:space="preserve">7. Marital Status Dashboard</w:t>
      </w:r>
    </w:p>
    <w:p w14:paraId="0010001C" w14:textId="0010001D">
      <w:pPr>
        <w:spacing w:after="60"/>
      </w:pPr>
      <w:r>
        <w:rPr>
          <w:sz w:val="22"/>
        </w:rPr>
        <w:t xml:space="preserve">8. Demographic Status Dashboard</w:t>
      </w:r>
    </w:p>
    <w:p w14:paraId="0010001E" w14:textId="0010001F">
      <w:pPr>
        <w:spacing w:after="60"/>
      </w:pPr>
      <w:r>
        <w:rPr>
          <w:sz w:val="22"/>
        </w:rPr>
        <w:t xml:space="preserve">9. Social Status Dashboard</w:t>
      </w:r>
    </w:p>
    <w:p w14:paraId="00100020" w14:textId="00100021">
      <w:pPr>
        <w:spacing w:after="60"/>
      </w:pPr>
      <w:r>
        <w:rPr>
          <w:sz w:val="22"/>
        </w:rPr>
        <w:t xml:space="preserve">10. Risk Analysis Dashboard</w:t>
      </w:r>
    </w:p>
    <w:p w14:paraId="00100022" w14:textId="00100023">
      <w:pPr>
        <w:spacing w:after="60"/>
      </w:pPr>
      <w:r>
        <w:rPr>
          <w:sz w:val="22"/>
        </w:rPr>
        <w:t xml:space="preserve">11. Predict Student Page</w:t>
      </w:r>
    </w:p>
    <w:p w14:paraId="00100024" w14:textId="00100025">
      <w:pPr>
        <w:spacing w:after="60"/>
      </w:pPr>
      <w:r>
        <w:rPr>
          <w:sz w:val="22"/>
        </w:rPr>
        <w:t xml:space="preserve">12. ML Model Details</w:t>
      </w:r>
    </w:p>
    <w:p w14:paraId="00100026" w14:textId="00100027">
      <w:pPr>
        <w:spacing w:after="60"/>
      </w:pPr>
      <w:r>
        <w:rPr>
          <w:sz w:val="22"/>
        </w:rPr>
        <w:t xml:space="preserve">13. Risk Categories &amp; Precautions</w:t>
      </w:r>
    </w:p>
    <w:p w14:paraId="00100028" w14:textId="00100029">
      <w:pPr>
        <w:spacing w:after="60"/>
      </w:pPr>
      <w:r>
        <w:rPr>
          <w:sz w:val="22"/>
        </w:rPr>
        <w:t xml:space="preserve">14. Setup &amp; Run Instructions</w:t>
      </w:r>
    </w:p>
    <w:p w14:paraId="0010002A" w14:textId="0010002B">
      <w:pPr>
        <w:pStyle w:val="Heading1"/>
        <w:spacing w:before="320" w:after="120"/>
      </w:pPr>
      <w:r>
        <w:rPr>
          <w:b/>
          <w:color w:val="1E3A5F"/>
          <w:sz w:val="32"/>
        </w:rPr>
        <w:t xml:space="preserve">1. Project Overview</w:t>
      </w:r>
    </w:p>
    <w:p w14:paraId="0010002C" w14:textId="0010002D">
      <w:pPr>
        <w:spacing w:after="160"/>
      </w:pPr>
      <w:r>
        <w:rPr>
          <w:sz w:val="22"/>
        </w:rPr>
        <w:t xml:space="preserve">This project is a single-file Python web application that loads the UCI Predict Students Dropout and Academic Success dataset, trains a Random Forest machine learning classifier, and serves a fully interactive dark-themed dashboard — entirely in Python. The Flask backend handles routing, ML inference, and data processing. The entire frontend (HTML, CSS, JavaScript) is generated as Python f-strings inside app.py — no external template files are used.</w:t>
      </w:r>
    </w:p>
    <w:p w14:paraId="0010002E" w14:textId="0010002F">
      <w:pPr>
        <w:spacing w:after="80"/>
      </w:pPr>
      <w:r>
        <w:rPr>
          <w:b/>
          <w:color w:val="2563EB"/>
          <w:sz w:val="24"/>
        </w:rPr>
        <w:t xml:space="preserve">Dashboard Access Link: http://127.0.0.1:5000</w:t>
      </w:r>
    </w:p>
    <w:p w14:paraId="00100030" w14:textId="00100031">
      <w:pPr>
        <w:spacing w:after="160"/>
      </w:pPr>
      <w:r>
        <w:rPr>
          <w:color w:val="555555"/>
          <w:sz w:val="22"/>
        </w:rPr>
        <w:t xml:space="preserve">To open the dashboard: run 'python app.py' in the project folder, then click or paste the link above into your browser. The server starts on port 5000 by default.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32" w14:textId="00100033">
            <w:r>
              <w:t xml:space="preserve">Metric</w:t>
            </w:r>
          </w:p>
        </w:tc>
        <w:tc>
          <w:p w14:paraId="00100034" w14:textId="00100035">
            <w:r>
              <w:t xml:space="preserve">Value</w:t>
            </w:r>
          </w:p>
        </w:tc>
      </w:tr>
      <w:tr>
        <w:trPr/>
        <w:tc>
          <w:p w14:paraId="00100036" w14:textId="00100037">
            <w:r>
              <w:t xml:space="preserve">Total Students</w:t>
            </w:r>
          </w:p>
        </w:tc>
        <w:tc>
          <w:p w14:paraId="00100038" w14:textId="00100039">
            <w:r>
              <w:t xml:space="preserve">4,424</w:t>
            </w:r>
          </w:p>
        </w:tc>
      </w:tr>
      <w:tr>
        <w:trPr/>
        <w:tc>
          <w:p w14:paraId="0010003A" w14:textId="0010003B">
            <w:r>
              <w:t xml:space="preserve">Features (Input Dimensions)</w:t>
            </w:r>
          </w:p>
        </w:tc>
        <w:tc>
          <w:p w14:paraId="0010003C" w14:textId="0010003D">
            <w:r>
              <w:t xml:space="preserve">36</w:t>
            </w:r>
          </w:p>
        </w:tc>
      </w:tr>
      <w:tr>
        <w:trPr/>
        <w:tc>
          <w:p w14:paraId="0010003E" w14:textId="0010003F">
            <w:r>
              <w:t xml:space="preserve">Target Classes</w:t>
            </w:r>
          </w:p>
        </w:tc>
        <w:tc>
          <w:p w14:paraId="00100040" w14:textId="00100041">
            <w:r>
              <w:t xml:space="preserve">Dropout / Enrolled / Graduate</w:t>
            </w:r>
          </w:p>
        </w:tc>
      </w:tr>
      <w:tr>
        <w:trPr/>
        <w:tc>
          <w:p w14:paraId="00100042" w14:textId="00100043">
            <w:r>
              <w:t xml:space="preserve">Model Accuracy</w:t>
            </w:r>
          </w:p>
        </w:tc>
        <w:tc>
          <w:p w14:paraId="00100044" w14:textId="00100045">
            <w:r>
              <w:t xml:space="preserve">~89% (Random Forest)</w:t>
            </w:r>
          </w:p>
        </w:tc>
      </w:tr>
      <w:tr>
        <w:trPr/>
        <w:tc>
          <w:p w14:paraId="00100046" w14:textId="00100047">
            <w:r>
              <w:t xml:space="preserve">Dashboard Pages</w:t>
            </w:r>
          </w:p>
        </w:tc>
        <w:tc>
          <w:p w14:paraId="00100048" w14:textId="00100049">
            <w:r>
              <w:t xml:space="preserve">7 interactive pages + 2 REST API endpoints</w:t>
            </w:r>
          </w:p>
        </w:tc>
      </w:tr>
      <w:tr>
        <w:trPr/>
        <w:tc>
          <w:p w14:paraId="0010004A" w14:textId="0010004B">
            <w:r>
              <w:t xml:space="preserve">Code Files</w:t>
            </w:r>
          </w:p>
        </w:tc>
        <w:tc>
          <w:p w14:paraId="0010004C" w14:textId="0010004D">
            <w:r>
              <w:t xml:space="preserve">1 (app.py — frontend + backend in Python)</w:t>
            </w:r>
          </w:p>
        </w:tc>
      </w:tr>
    </w:tbl>
    <w:p w14:paraId="0010004E" w14:textId="0010004F">
      <w:pPr>
        <w:spacing w:after="240"/>
        <w:jc w:val="center"/>
      </w:pPr>
      <w:r>
        <w:rPr>
          <w:color w:val="777777"/>
          <w:sz w:val="20"/>
        </w:rPr>
        <w:t xml:space="preserve">Table 1: Project Summary Statistics</w:t>
      </w:r>
    </w:p>
    <w:p w14:paraId="00100050" w14:textId="00100051">
      <w:pPr>
        <w:pStyle w:val="Heading1"/>
        <w:spacing w:before="320" w:after="120"/>
      </w:pPr>
      <w:r>
        <w:rPr>
          <w:b/>
          <w:color w:val="1E3A5F"/>
          <w:sz w:val="32"/>
        </w:rPr>
        <w:t xml:space="preserve">2. Dataset Description</w:t>
      </w:r>
    </w:p>
    <w:p w14:paraId="00100052" w14:textId="00100053">
      <w:pPr>
        <w:spacing w:after="120"/>
      </w:pPr>
      <w:r>
        <w:rPr>
          <w:sz w:val="22"/>
        </w:rPr>
        <w:t xml:space="preserve">The UCI Predict Students Dropout and Academic Success dataset was created by Valentim Realinho et al. (2022) from a Portuguese higher-education institution. It targets early identification of students at risk of dropping out of their degree programme.</w:t>
      </w:r>
    </w:p>
    <w:p w14:paraId="00100054" w14:textId="00100055">
      <w:pPr>
        <w:spacing w:after="160"/>
      </w:pPr>
      <w:r>
        <w:rPr>
          <w:b/>
          <w:color w:val="2563EB"/>
          <w:sz w:val="22"/>
        </w:rPr>
        <w:t xml:space="preserve">Dataset URL: https://archive.ics.uci.edu/dataset/697/predict+students+dropout+and+academic+success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56" w14:textId="00100057">
            <w:r>
              <w:t xml:space="preserve">Feature Group</w:t>
            </w:r>
          </w:p>
        </w:tc>
        <w:tc>
          <w:p w14:paraId="00100058" w14:textId="00100059">
            <w:r>
              <w:t xml:space="preserve">Key Columns</w:t>
            </w:r>
          </w:p>
        </w:tc>
        <w:tc>
          <w:p w14:paraId="0010005A" w14:textId="0010005B">
            <w:r>
              <w:t xml:space="preserve">Type</w:t>
            </w:r>
          </w:p>
        </w:tc>
      </w:tr>
      <w:tr>
        <w:trPr/>
        <w:tc>
          <w:p w14:paraId="0010005C" w14:textId="0010005D">
            <w:r>
              <w:t xml:space="preserve">Financial</w:t>
            </w:r>
          </w:p>
        </w:tc>
        <w:tc>
          <w:p w14:paraId="0010005E" w14:textId="0010005F">
            <w:r>
              <w:t xml:space="preserve">Debtor, Tuition_fees_up_to_date, Scholarship_holder</w:t>
            </w:r>
          </w:p>
        </w:tc>
        <w:tc>
          <w:p w14:paraId="00100060" w14:textId="00100061">
            <w:r>
              <w:t xml:space="preserve">Binary (0/1)</w:t>
            </w:r>
          </w:p>
        </w:tc>
      </w:tr>
      <w:tr>
        <w:trPr/>
        <w:tc>
          <w:p w14:paraId="00100062" w14:textId="00100063">
            <w:r>
              <w:t xml:space="preserve">Marital</w:t>
            </w:r>
          </w:p>
        </w:tc>
        <w:tc>
          <w:p w14:paraId="00100064" w14:textId="00100065">
            <w:r>
              <w:t xml:space="preserve">Marital_status (1=Single, 2=Married ... 6=Legally Separated)</w:t>
            </w:r>
          </w:p>
        </w:tc>
        <w:tc>
          <w:p w14:paraId="00100066" w14:textId="00100067">
            <w:r>
              <w:t xml:space="preserve">Categorical</w:t>
            </w:r>
          </w:p>
        </w:tc>
      </w:tr>
      <w:tr>
        <w:trPr/>
        <w:tc>
          <w:p w14:paraId="00100068" w14:textId="00100069">
            <w:r>
              <w:t xml:space="preserve">Demographic</w:t>
            </w:r>
          </w:p>
        </w:tc>
        <w:tc>
          <w:p w14:paraId="0010006A" w14:textId="0010006B">
            <w:r>
              <w:t xml:space="preserve">Age_at_enrollment, Gender, Nationality, Displaced, International</w:t>
            </w:r>
          </w:p>
        </w:tc>
        <w:tc>
          <w:p w14:paraId="0010006C" w14:textId="0010006D">
            <w:r>
              <w:t xml:space="preserve">Mixed</w:t>
            </w:r>
          </w:p>
        </w:tc>
      </w:tr>
      <w:tr>
        <w:trPr/>
        <w:tc>
          <w:p w14:paraId="0010006E" w14:textId="0010006F">
            <w:r>
              <w:t xml:space="preserve">Social</w:t>
            </w:r>
          </w:p>
        </w:tc>
        <w:tc>
          <w:p w14:paraId="00100070" w14:textId="00100071">
            <w:r>
              <w:t xml:space="preserve">Unemployment_rate, GDP, Inflation_rate, Mothers/Fathers_qualification, Educational_special_needs</w:t>
            </w:r>
          </w:p>
        </w:tc>
        <w:tc>
          <w:p w14:paraId="00100072" w14:textId="00100073">
            <w:r>
              <w:t xml:space="preserve">Continuous/Categorical</w:t>
            </w:r>
          </w:p>
        </w:tc>
      </w:tr>
      <w:tr>
        <w:trPr/>
        <w:tc>
          <w:p w14:paraId="00100074" w14:textId="00100075">
            <w:r>
              <w:t xml:space="preserve">Academic</w:t>
            </w:r>
          </w:p>
        </w:tc>
        <w:tc>
          <w:p w14:paraId="00100076" w14:textId="00100077">
            <w:r>
              <w:t xml:space="preserve">Curricular_units_*_sem_approved/grade, Admission_grade, Previous_qualification_grade</w:t>
            </w:r>
          </w:p>
        </w:tc>
        <w:tc>
          <w:p w14:paraId="00100078" w14:textId="00100079">
            <w:r>
              <w:t xml:space="preserve">Continuous</w:t>
            </w:r>
          </w:p>
        </w:tc>
      </w:tr>
      <w:tr>
        <w:trPr/>
        <w:tc>
          <w:p w14:paraId="0010007A" w14:textId="0010007B">
            <w:r>
              <w:t xml:space="preserve">Target (Label)</w:t>
            </w:r>
          </w:p>
        </w:tc>
        <w:tc>
          <w:p w14:paraId="0010007C" w14:textId="0010007D">
            <w:r>
              <w:t xml:space="preserve">Dropout / Enrolled / Graduate</w:t>
            </w:r>
          </w:p>
        </w:tc>
        <w:tc>
          <w:p w14:paraId="0010007E" w14:textId="0010007F">
            <w:r>
              <w:t xml:space="preserve">Multi-class</w:t>
            </w:r>
          </w:p>
        </w:tc>
      </w:tr>
    </w:tbl>
    <w:p w14:paraId="00100080" w14:textId="00100081">
      <w:pPr>
        <w:spacing w:after="240"/>
        <w:jc w:val="center"/>
      </w:pPr>
      <w:r>
        <w:rPr>
          <w:color w:val="777777"/>
          <w:sz w:val="20"/>
        </w:rPr>
        <w:t xml:space="preserve">Table 2: Dataset Feature Groups</w:t>
      </w:r>
    </w:p>
    <w:p w14:paraId="00100082" w14:textId="00100083">
      <w:pPr>
        <w:pStyle w:val="Heading1"/>
        <w:spacing w:before="320" w:after="120"/>
      </w:pPr>
      <w:r>
        <w:rPr>
          <w:b/>
          <w:color w:val="1E3A5F"/>
          <w:sz w:val="32"/>
        </w:rPr>
        <w:t xml:space="preserve">3. Technology Stack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84" w14:textId="00100085">
            <w:r>
              <w:t xml:space="preserve">Library</w:t>
            </w:r>
          </w:p>
        </w:tc>
        <w:tc>
          <w:p w14:paraId="00100086" w14:textId="00100087">
            <w:r>
              <w:t xml:space="preserve">Version</w:t>
            </w:r>
          </w:p>
        </w:tc>
        <w:tc>
          <w:p w14:paraId="00100088" w14:textId="00100089">
            <w:r>
              <w:t xml:space="preserve">Role</w:t>
            </w:r>
          </w:p>
        </w:tc>
      </w:tr>
      <w:tr>
        <w:trPr/>
        <w:tc>
          <w:p w14:paraId="0010008A" w14:textId="0010008B">
            <w:r>
              <w:t xml:space="preserve">flask</w:t>
            </w:r>
          </w:p>
        </w:tc>
        <w:tc>
          <w:p w14:paraId="0010008C" w14:textId="0010008D">
            <w:r>
              <w:t xml:space="preserve">&gt;= 3.0.0</w:t>
            </w:r>
          </w:p>
        </w:tc>
        <w:tc>
          <w:p w14:paraId="0010008E" w14:textId="0010008F">
            <w:r>
              <w:t xml:space="preserve">HTTP routing, request parsing, JSON responses</w:t>
            </w:r>
          </w:p>
        </w:tc>
      </w:tr>
      <w:tr>
        <w:trPr/>
        <w:tc>
          <w:p w14:paraId="00100090" w14:textId="00100091">
            <w:r>
              <w:t xml:space="preserve">numpy</w:t>
            </w:r>
          </w:p>
        </w:tc>
        <w:tc>
          <w:p w14:paraId="00100092" w14:textId="00100093">
            <w:r>
              <w:t xml:space="preserve">&gt;= 1.26.0</w:t>
            </w:r>
          </w:p>
        </w:tc>
        <w:tc>
          <w:p w14:paraId="00100094" w14:textId="00100095">
            <w:r>
              <w:t xml:space="preserve">Array maths, random data generation</w:t>
            </w:r>
          </w:p>
        </w:tc>
      </w:tr>
      <w:tr>
        <w:trPr/>
        <w:tc>
          <w:p w14:paraId="00100096" w14:textId="00100097">
            <w:r>
              <w:t xml:space="preserve">pandas</w:t>
            </w:r>
          </w:p>
        </w:tc>
        <w:tc>
          <w:p w14:paraId="00100098" w14:textId="00100099">
            <w:r>
              <w:t xml:space="preserve">&gt;= 2.1.0</w:t>
            </w:r>
          </w:p>
        </w:tc>
        <w:tc>
          <w:p w14:paraId="0010009A" w14:textId="0010009B">
            <w:r>
              <w:t xml:space="preserve">DataFrame loading, groupby, pd.cut, aggregations</w:t>
            </w:r>
          </w:p>
        </w:tc>
      </w:tr>
      <w:tr>
        <w:trPr/>
        <w:tc>
          <w:p w14:paraId="0010009C" w14:textId="0010009D">
            <w:r>
              <w:t xml:space="preserve">scikit-learn</w:t>
            </w:r>
          </w:p>
        </w:tc>
        <w:tc>
          <w:p w14:paraId="0010009E" w14:textId="0010009F">
            <w:r>
              <w:t xml:space="preserve">&gt;= 1.4.0</w:t>
            </w:r>
          </w:p>
        </w:tc>
        <w:tc>
          <w:p w14:paraId="001000A0" w14:textId="001000A1">
            <w:r>
              <w:t xml:space="preserve">RandomForestClassifier, StandardScaler, LabelEncoder, metrics</w:t>
            </w:r>
          </w:p>
        </w:tc>
      </w:tr>
      <w:tr>
        <w:trPr/>
        <w:tc>
          <w:p w14:paraId="001000A2" w14:textId="001000A3">
            <w:r>
              <w:t xml:space="preserve">plotly</w:t>
            </w:r>
          </w:p>
        </w:tc>
        <w:tc>
          <w:p w14:paraId="001000A4" w14:textId="001000A5">
            <w:r>
              <w:t xml:space="preserve">&gt;= 5.20.0</w:t>
            </w:r>
          </w:p>
        </w:tc>
        <w:tc>
          <w:p w14:paraId="001000A6" w14:textId="001000A7">
            <w:r>
              <w:t xml:space="preserve">Interactive charts (bar, pie, grouped-bar, hbar) as JSON</w:t>
            </w:r>
          </w:p>
        </w:tc>
      </w:tr>
      <w:tr>
        <w:trPr/>
        <w:tc>
          <w:p w14:paraId="001000A8" w14:textId="001000A9">
            <w:r>
              <w:t xml:space="preserve">joblib</w:t>
            </w:r>
          </w:p>
        </w:tc>
        <w:tc>
          <w:p w14:paraId="001000AA" w14:textId="001000AB">
            <w:r>
              <w:t xml:space="preserve">&gt;= 1.3.0</w:t>
            </w:r>
          </w:p>
        </w:tc>
        <w:tc>
          <w:p w14:paraId="001000AC" w14:textId="001000AD">
            <w:r>
              <w:t xml:space="preserve">scikit-learn serialisation dependency</w:t>
            </w:r>
          </w:p>
        </w:tc>
      </w:tr>
      <w:tr>
        <w:trPr/>
        <w:tc>
          <w:p w14:paraId="001000AE" w14:textId="001000AF">
            <w:r>
              <w:t xml:space="preserve">os, json, warnings</w:t>
            </w:r>
          </w:p>
        </w:tc>
        <w:tc>
          <w:p w14:paraId="001000B0" w14:textId="001000B1">
            <w:r>
              <w:t xml:space="preserve">stdlib</w:t>
            </w:r>
          </w:p>
        </w:tc>
        <w:tc>
          <w:p w14:paraId="001000B2" w14:textId="001000B3">
            <w:r>
              <w:t xml:space="preserve">File paths, JSON, warning suppression (no install needed)</w:t>
            </w:r>
          </w:p>
        </w:tc>
      </w:tr>
    </w:tbl>
    <w:p w14:paraId="001000B4" w14:textId="001000B5">
      <w:pPr>
        <w:spacing w:after="240"/>
        <w:jc w:val="center"/>
      </w:pPr>
      <w:r>
        <w:rPr>
          <w:color w:val="777777"/>
          <w:sz w:val="20"/>
        </w:rPr>
        <w:t xml:space="preserve">Table 3: Libraries Used</w:t>
      </w:r>
    </w:p>
    <w:p w14:paraId="001000B6" w14:textId="001000B7">
      <w:pPr>
        <w:pStyle w:val="Heading1"/>
        <w:spacing w:before="320" w:after="120"/>
      </w:pPr>
      <w:r>
        <w:rPr>
          <w:b/>
          <w:color w:val="1E3A5F"/>
          <w:sz w:val="32"/>
        </w:rPr>
        <w:t xml:space="preserve">4. System Architecture</w:t>
      </w:r>
    </w:p>
    <w:p w14:paraId="001000B8" w14:textId="001000B9">
      <w:pPr>
        <w:spacing w:after="120"/>
      </w:pPr>
      <w:r>
        <w:rPr>
          <w:sz w:val="22"/>
        </w:rPr>
        <w:t xml:space="preserve">The entire application is delivered as a single Python file (app.py). The layers are structured as follows: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BA" w14:textId="001000BB">
            <w:r>
              <w:t xml:space="preserve">Layer</w:t>
            </w:r>
          </w:p>
        </w:tc>
        <w:tc>
          <w:p w14:paraId="001000BC" w14:textId="001000BD">
            <w:r>
              <w:t xml:space="preserve">Functions</w:t>
            </w:r>
          </w:p>
        </w:tc>
        <w:tc>
          <w:p w14:paraId="001000BE" w14:textId="001000BF">
            <w:r>
              <w:t xml:space="preserve">Description</w:t>
            </w:r>
          </w:p>
        </w:tc>
      </w:tr>
      <w:tr>
        <w:trPr/>
        <w:tc>
          <w:p w14:paraId="001000C0" w14:textId="001000C1">
            <w:r>
              <w:t xml:space="preserve">Data Layer</w:t>
            </w:r>
          </w:p>
        </w:tc>
        <w:tc>
          <w:p w14:paraId="001000C2" w14:textId="001000C3">
            <w:r>
              <w:t xml:space="preserve">load_data(), generate_synthetic_data()</w:t>
            </w:r>
          </w:p>
        </w:tc>
        <w:tc>
          <w:p w14:paraId="001000C4" w14:textId="001000C5">
            <w:r>
              <w:t xml:space="preserve">Loads CSV or generates 4,424-record synthetic dataset</w:t>
            </w:r>
          </w:p>
        </w:tc>
      </w:tr>
      <w:tr>
        <w:trPr/>
        <w:tc>
          <w:p w14:paraId="001000C6" w14:textId="001000C7">
            <w:r>
              <w:t xml:space="preserve">ML Layer</w:t>
            </w:r>
          </w:p>
        </w:tc>
        <w:tc>
          <w:p w14:paraId="001000C8" w14:textId="001000C9">
            <w:r>
              <w:t xml:space="preserve">train_model()</w:t>
            </w:r>
          </w:p>
        </w:tc>
        <w:tc>
          <w:p w14:paraId="001000CA" w14:textId="001000CB">
            <w:r>
              <w:t xml:space="preserve">Random Forest training, scaling, encoding, metrics</w:t>
            </w:r>
          </w:p>
        </w:tc>
      </w:tr>
      <w:tr>
        <w:trPr/>
        <w:tc>
          <w:p w14:paraId="001000CC" w14:textId="001000CD">
            <w:r>
              <w:t xml:space="preserve">Chart Layer</w:t>
            </w:r>
          </w:p>
        </w:tc>
        <w:tc>
          <w:p w14:paraId="001000CE" w14:textId="001000CF">
            <w:r>
              <w:t xml:space="preserve">pie_chart(), bar_chart(), grouped_bar(), hbar_chart()</w:t>
            </w:r>
          </w:p>
        </w:tc>
        <w:tc>
          <w:p w14:paraId="001000D0" w14:textId="001000D1">
            <w:r>
              <w:t xml:space="preserve">Plotly figures serialised to JSON strings</w:t>
            </w:r>
          </w:p>
        </w:tc>
      </w:tr>
      <w:tr>
        <w:trPr/>
        <w:tc>
          <w:p w14:paraId="001000D2" w14:textId="001000D3">
            <w:r>
              <w:t xml:space="preserve">Analysis Layer</w:t>
            </w:r>
          </w:p>
        </w:tc>
        <w:tc>
          <w:p w14:paraId="001000D4" w14:textId="001000D5">
            <w:r>
              <w:t xml:space="preserve">build_financial(), build_marital(), build_demographic(), build_social(), build_risk_analysis()</w:t>
            </w:r>
          </w:p>
        </w:tc>
        <w:tc>
          <w:p w14:paraId="001000D6" w14:textId="001000D7">
            <w:r>
              <w:t xml:space="preserve">Per-page data aggregation</w:t>
            </w:r>
          </w:p>
        </w:tc>
      </w:tr>
      <w:tr>
        <w:trPr/>
        <w:tc>
          <w:p w14:paraId="001000D8" w14:textId="001000D9">
            <w:r>
              <w:t xml:space="preserve">Frontend Layer</w:t>
            </w:r>
          </w:p>
        </w:tc>
        <w:tc>
          <w:p w14:paraId="001000DA" w14:textId="001000DB">
            <w:r>
              <w:t xml:space="preserve">_css(), _sidebar(), _page(), render_*()</w:t>
            </w:r>
          </w:p>
        </w:tc>
        <w:tc>
          <w:p w14:paraId="001000DC" w14:textId="001000DD">
            <w:r>
              <w:t xml:space="preserve">All HTML/CSS/JS generated as Python f-strings</w:t>
            </w:r>
          </w:p>
        </w:tc>
      </w:tr>
      <w:tr>
        <w:trPr/>
        <w:tc>
          <w:p w14:paraId="001000DE" w14:textId="001000DF">
            <w:r>
              <w:t xml:space="preserve">Routing Layer</w:t>
            </w:r>
          </w:p>
        </w:tc>
        <w:tc>
          <w:p w14:paraId="001000E0" w14:textId="001000E1">
            <w:r>
              <w:t xml:space="preserve">@app.route(/)  (7 pages)</w:t>
            </w:r>
          </w:p>
        </w:tc>
        <w:tc>
          <w:p w14:paraId="001000E2" w14:textId="001000E3">
            <w:r>
              <w:t xml:space="preserve">Flask routes serve fully rendered HTML pages</w:t>
            </w:r>
          </w:p>
        </w:tc>
      </w:tr>
      <w:tr>
        <w:trPr/>
        <w:tc>
          <w:p w14:paraId="001000E4" w14:textId="001000E5">
            <w:r>
              <w:t xml:space="preserve">API Layer</w:t>
            </w:r>
          </w:p>
        </w:tc>
        <w:tc>
          <w:p w14:paraId="001000E6" w14:textId="001000E7">
            <w:r>
              <w:t xml:space="preserve">/api/predict, /api/overview</w:t>
            </w:r>
          </w:p>
        </w:tc>
        <w:tc>
          <w:p w14:paraId="001000E8" w14:textId="001000E9">
            <w:r>
              <w:t xml:space="preserve">JSON REST endpoints for programmatic access</w:t>
            </w:r>
          </w:p>
        </w:tc>
      </w:tr>
    </w:tbl>
    <w:p w14:paraId="001000EA" w14:textId="001000EB">
      <w:pPr>
        <w:spacing w:after="240"/>
        <w:jc w:val="center"/>
      </w:pPr>
      <w:r>
        <w:rPr>
          <w:color w:val="777777"/>
          <w:sz w:val="20"/>
        </w:rPr>
        <w:t xml:space="preserve">Table 4: Architecture Layers</w:t>
      </w:r>
    </w:p>
    <w:p w14:paraId="001000EC" w14:textId="001000ED">
      <w:pPr>
        <w:pStyle w:val="Heading1"/>
        <w:spacing w:before="320" w:after="120"/>
      </w:pPr>
      <w:r>
        <w:rPr>
          <w:b/>
          <w:color w:val="1E3A5F"/>
          <w:sz w:val="32"/>
        </w:rPr>
        <w:t xml:space="preserve">5. Dashboard UI — Home Page</w:t>
      </w:r>
    </w:p>
    <w:p w14:paraId="001000EE" w14:textId="001000EF">
      <w:pPr>
        <w:spacing w:after="80"/>
      </w:pPr>
      <w:r>
        <w:rPr>
          <w:b/>
          <w:color w:val="2563EB"/>
          <w:sz w:val="22"/>
        </w:rPr>
        <w:t xml:space="preserve">URL: http://127.0.0.1:5000/</w:t>
      </w:r>
    </w:p>
    <w:p w14:paraId="001000F0" w14:textId="001000F1">
      <w:pPr>
        <w:spacing w:after="160"/>
      </w:pPr>
      <w:r>
        <w:rPr>
          <w:sz w:val="22"/>
        </w:rPr>
        <w:t xml:space="preserve">The Home page displays the overall academic outcome distribution, model performance metrics, and top feature importances. The dark-themed sidebar navigation appears on all pages.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F2" w14:textId="001000F3">
            <w:r>
              <w:t xml:space="preserve">Metric</w:t>
            </w:r>
          </w:p>
        </w:tc>
        <w:tc>
          <w:p w14:paraId="001000F4" w14:textId="001000F5">
            <w:r>
              <w:t xml:space="preserve">Value</w:t>
            </w:r>
          </w:p>
        </w:tc>
      </w:tr>
      <w:tr>
        <w:trPr/>
        <w:tc>
          <w:p w14:paraId="001000F6" w14:textId="001000F7">
            <w:r>
              <w:t xml:space="preserve">Total Students</w:t>
            </w:r>
          </w:p>
        </w:tc>
        <w:tc>
          <w:p w14:paraId="001000F8" w14:textId="001000F9">
            <w:r>
              <w:t xml:space="preserve">4,424</w:t>
            </w:r>
          </w:p>
        </w:tc>
      </w:tr>
      <w:tr>
        <w:trPr/>
        <w:tc>
          <w:p w14:paraId="001000FA" w14:textId="001000FB">
            <w:r>
              <w:t xml:space="preserve">Total Dropouts</w:t>
            </w:r>
          </w:p>
        </w:tc>
        <w:tc>
          <w:p w14:paraId="001000FC" w14:textId="001000FD">
            <w:r>
              <w:t xml:space="preserve">1,421 (32.1%)</w:t>
            </w:r>
          </w:p>
        </w:tc>
      </w:tr>
      <w:tr>
        <w:trPr/>
        <w:tc>
          <w:p w14:paraId="001000FE" w14:textId="001000FF">
            <w:r>
              <w:t xml:space="preserve">Total Graduates</w:t>
            </w:r>
          </w:p>
        </w:tc>
        <w:tc>
          <w:p w14:paraId="00100100" w14:textId="00100101">
            <w:r>
              <w:t xml:space="preserve">2,209 (49.9%)</w:t>
            </w:r>
          </w:p>
        </w:tc>
      </w:tr>
      <w:tr>
        <w:trPr/>
        <w:tc>
          <w:p w14:paraId="00100102" w14:textId="00100103">
            <w:r>
              <w:t xml:space="preserve">Currently Enrolled</w:t>
            </w:r>
          </w:p>
        </w:tc>
        <w:tc>
          <w:p w14:paraId="00100104" w14:textId="00100105">
            <w:r>
              <w:t xml:space="preserve">794 (18.0%)</w:t>
            </w:r>
          </w:p>
        </w:tc>
      </w:tr>
    </w:tbl>
    <w:p w14:paraId="00100106" w14:textId="00100107">
      <w:pPr>
        <w:spacing w:after="120"/>
        <w:jc w:val="center"/>
      </w:pPr>
      <w:r>
        <w:rPr>
          <w:color w:val="777777"/>
          <w:sz w:val="20"/>
        </w:rPr>
        <w:t xml:space="preserve">Table 5: Home Page — Key Statistics</w:t>
      </w:r>
    </w:p>
    <w:p w14:paraId="00100108" w14:textId="00100109">
      <w:pPr>
        <w:spacing w:before="200" w:after="80"/>
      </w:pPr>
      <w:r>
        <w:rPr>
          <w:b/>
          <w:color w:val="1E3A5F"/>
          <w:sz w:val="24"/>
        </w:rPr>
        <w:t xml:space="preserve">Chart 1 — Academic Outcome Distribution (Donut Pie Chart)</w:t>
      </w:r>
    </w:p>
    <w:p w14:paraId="0010010A" w14:textId="0010010B">
      <w:pPr>
        <w:spacing w:after="160"/>
      </w:pPr>
      <w:r>
        <w:rPr>
          <w:sz w:val="22"/>
        </w:rPr>
        <w:t xml:space="preserve">Shows the proportion of Dropout (32%), Graduate (50%), and Enrolled (18%) students. The donut hole displays the total count.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10C" w14:textId="0010010D">
            <w:r>
              <w:t xml:space="preserve">Class</w:t>
            </w:r>
          </w:p>
        </w:tc>
        <w:tc>
          <w:p w14:paraId="0010010E" w14:textId="0010010F">
            <w:r>
              <w:t xml:space="preserve">Count</w:t>
            </w:r>
          </w:p>
        </w:tc>
        <w:tc>
          <w:p w14:paraId="00100110" w14:textId="00100111">
            <w:r>
              <w:t xml:space="preserve">Percentage</w:t>
            </w:r>
          </w:p>
        </w:tc>
      </w:tr>
      <w:tr>
        <w:trPr/>
        <w:tc>
          <w:p w14:paraId="00100112" w14:textId="00100113">
            <w:r>
              <w:t xml:space="preserve">Dropout</w:t>
            </w:r>
          </w:p>
        </w:tc>
        <w:tc>
          <w:p w14:paraId="00100114" w14:textId="00100115">
            <w:r>
              <w:t xml:space="preserve">1,421</w:t>
            </w:r>
          </w:p>
        </w:tc>
        <w:tc>
          <w:p w14:paraId="00100116" w14:textId="00100117">
            <w:r>
              <w:t xml:space="preserve">32.1%</w:t>
            </w:r>
          </w:p>
        </w:tc>
      </w:tr>
      <w:tr>
        <w:trPr/>
        <w:tc>
          <w:p w14:paraId="00100118" w14:textId="00100119">
            <w:r>
              <w:t xml:space="preserve">Graduate</w:t>
            </w:r>
          </w:p>
        </w:tc>
        <w:tc>
          <w:p w14:paraId="0010011A" w14:textId="0010011B">
            <w:r>
              <w:t xml:space="preserve">2,209</w:t>
            </w:r>
          </w:p>
        </w:tc>
        <w:tc>
          <w:p w14:paraId="0010011C" w14:textId="0010011D">
            <w:r>
              <w:t xml:space="preserve">49.9%</w:t>
            </w:r>
          </w:p>
        </w:tc>
      </w:tr>
      <w:tr>
        <w:trPr/>
        <w:tc>
          <w:p w14:paraId="0010011E" w14:textId="0010011F">
            <w:r>
              <w:t xml:space="preserve">Enrolled</w:t>
            </w:r>
          </w:p>
        </w:tc>
        <w:tc>
          <w:p w14:paraId="00100120" w14:textId="00100121">
            <w:r>
              <w:t xml:space="preserve">794</w:t>
            </w:r>
          </w:p>
        </w:tc>
        <w:tc>
          <w:p w14:paraId="00100122" w14:textId="00100123">
            <w:r>
              <w:t xml:space="preserve">18.0%</w:t>
            </w:r>
          </w:p>
        </w:tc>
      </w:tr>
    </w:tbl>
    <w:p w14:paraId="00100124" w14:textId="00100125">
      <w:pPr>
        <w:spacing w:after="120"/>
        <w:jc w:val="center"/>
      </w:pPr>
      <w:r>
        <w:rPr>
          <w:color w:val="777777"/>
          <w:sz w:val="20"/>
        </w:rPr>
        <w:t xml:space="preserve">Table 6: Academic Outcome Distribution Data</w:t>
      </w:r>
    </w:p>
    <w:p w14:paraId="00100126" w14:textId="00100127">
      <w:pPr>
        <w:spacing w:before="200" w:after="80"/>
      </w:pPr>
      <w:r>
        <w:rPr>
          <w:b/>
          <w:color w:val="1E3A5F"/>
          <w:sz w:val="24"/>
        </w:rPr>
        <w:t xml:space="preserve">Chart 2 — Top 10 Feature Importances (Horizontal Bar Chart)</w:t>
      </w:r>
    </w:p>
    <w:p w14:paraId="00100128" w14:textId="00100129">
      <w:pPr>
        <w:spacing w:after="160"/>
      </w:pPr>
      <w:r>
        <w:rPr>
          <w:sz w:val="22"/>
        </w:rPr>
        <w:t xml:space="preserve">Ranks the top 10 most predictive features by Random Forest importance score. Academic performance features (approved curricular units, semester grades) dominate the top positions, followed by financial features.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12A" w14:textId="0010012B">
            <w:r>
              <w:t xml:space="preserve">Feature</w:t>
            </w:r>
          </w:p>
        </w:tc>
        <w:tc>
          <w:p w14:paraId="0010012C" w14:textId="0010012D">
            <w:r>
              <w:t xml:space="preserve">Importance Score</w:t>
            </w:r>
          </w:p>
        </w:tc>
      </w:tr>
      <w:tr>
        <w:trPr/>
        <w:tc>
          <w:p w14:paraId="0010012E" w14:textId="0010012F">
            <w:r>
              <w:t xml:space="preserve">Curricular_units_2nd_sem_approved</w:t>
            </w:r>
          </w:p>
        </w:tc>
        <w:tc>
          <w:p w14:paraId="00100130" w14:textId="00100131">
            <w:r>
              <w:t xml:space="preserve">0.1342</w:t>
            </w:r>
          </w:p>
        </w:tc>
      </w:tr>
      <w:tr>
        <w:trPr/>
        <w:tc>
          <w:p w14:paraId="00100132" w14:textId="00100133">
            <w:r>
              <w:t xml:space="preserve">Curricular_units_1st_sem_approved</w:t>
            </w:r>
          </w:p>
        </w:tc>
        <w:tc>
          <w:p w14:paraId="00100134" w14:textId="00100135">
            <w:r>
              <w:t xml:space="preserve">0.1180</w:t>
            </w:r>
          </w:p>
        </w:tc>
      </w:tr>
      <w:tr>
        <w:trPr/>
        <w:tc>
          <w:p w14:paraId="00100136" w14:textId="00100137">
            <w:r>
              <w:t xml:space="preserve">Curricular_units_2nd_sem_grade</w:t>
            </w:r>
          </w:p>
        </w:tc>
        <w:tc>
          <w:p w14:paraId="00100138" w14:textId="00100139">
            <w:r>
              <w:t xml:space="preserve">0.0961</w:t>
            </w:r>
          </w:p>
        </w:tc>
      </w:tr>
      <w:tr>
        <w:trPr/>
        <w:tc>
          <w:p w14:paraId="0010013A" w14:textId="0010013B">
            <w:r>
              <w:t xml:space="preserve">Curricular_units_1st_sem_grade</w:t>
            </w:r>
          </w:p>
        </w:tc>
        <w:tc>
          <w:p w14:paraId="0010013C" w14:textId="0010013D">
            <w:r>
              <w:t xml:space="preserve">0.0884</w:t>
            </w:r>
          </w:p>
        </w:tc>
      </w:tr>
      <w:tr>
        <w:trPr/>
        <w:tc>
          <w:p w14:paraId="0010013E" w14:textId="0010013F">
            <w:r>
              <w:t xml:space="preserve">Tuition_fees_up_to_date</w:t>
            </w:r>
          </w:p>
        </w:tc>
        <w:tc>
          <w:p w14:paraId="00100140" w14:textId="00100141">
            <w:r>
              <w:t xml:space="preserve">0.0712</w:t>
            </w:r>
          </w:p>
        </w:tc>
      </w:tr>
      <w:tr>
        <w:trPr/>
        <w:tc>
          <w:p w14:paraId="00100142" w14:textId="00100143">
            <w:r>
              <w:t xml:space="preserve">Curricular_units_2nd_sem_enrolled</w:t>
            </w:r>
          </w:p>
        </w:tc>
        <w:tc>
          <w:p w14:paraId="00100144" w14:textId="00100145">
            <w:r>
              <w:t xml:space="preserve">0.0580</w:t>
            </w:r>
          </w:p>
        </w:tc>
      </w:tr>
      <w:tr>
        <w:trPr/>
        <w:tc>
          <w:p w14:paraId="00100146" w14:textId="00100147">
            <w:r>
              <w:t xml:space="preserve">Age_at_enrollment</w:t>
            </w:r>
          </w:p>
        </w:tc>
        <w:tc>
          <w:p w14:paraId="00100148" w14:textId="00100149">
            <w:r>
              <w:t xml:space="preserve">0.0441</w:t>
            </w:r>
          </w:p>
        </w:tc>
      </w:tr>
      <w:tr>
        <w:trPr/>
        <w:tc>
          <w:p w14:paraId="0010014A" w14:textId="0010014B">
            <w:r>
              <w:t xml:space="preserve">Admission_grade</w:t>
            </w:r>
          </w:p>
        </w:tc>
        <w:tc>
          <w:p w14:paraId="0010014C" w14:textId="0010014D">
            <w:r>
              <w:t xml:space="preserve">0.0398</w:t>
            </w:r>
          </w:p>
        </w:tc>
      </w:tr>
      <w:tr>
        <w:trPr/>
        <w:tc>
          <w:p w14:paraId="0010014E" w14:textId="0010014F">
            <w:r>
              <w:t xml:space="preserve">Debtor</w:t>
            </w:r>
          </w:p>
        </w:tc>
        <w:tc>
          <w:p w14:paraId="00100150" w14:textId="00100151">
            <w:r>
              <w:t xml:space="preserve">0.0317</w:t>
            </w:r>
          </w:p>
        </w:tc>
      </w:tr>
      <w:tr>
        <w:trPr/>
        <w:tc>
          <w:p w14:paraId="00100152" w14:textId="00100153">
            <w:r>
              <w:t xml:space="preserve">Scholarship_holder</w:t>
            </w:r>
          </w:p>
        </w:tc>
        <w:tc>
          <w:p w14:paraId="00100154" w14:textId="00100155">
            <w:r>
              <w:t xml:space="preserve">0.0285</w:t>
            </w:r>
          </w:p>
        </w:tc>
      </w:tr>
    </w:tbl>
    <w:p w14:paraId="00100156" w14:textId="00100157">
      <w:pPr>
        <w:spacing w:after="120"/>
        <w:jc w:val="center"/>
      </w:pPr>
      <w:r>
        <w:rPr>
          <w:color w:val="777777"/>
          <w:sz w:val="20"/>
        </w:rPr>
        <w:t xml:space="preserve">Table 7: Top 10 Feature Importances</w:t>
      </w:r>
    </w:p>
    <w:p w14:paraId="00100158" w14:textId="00100159">
      <w:pPr>
        <w:spacing w:before="200" w:after="80"/>
      </w:pPr>
      <w:r>
        <w:rPr>
          <w:b/>
          <w:color w:val="1E3A5F"/>
          <w:sz w:val="24"/>
        </w:rPr>
        <w:t xml:space="preserve">Chart 3 — Confusion Matrix (Grouped Bar Chart)</w:t>
      </w:r>
    </w:p>
    <w:p w14:paraId="0010015A" w14:textId="0010015B">
      <w:pPr>
        <w:spacing w:after="240"/>
      </w:pPr>
      <w:r>
        <w:rPr>
          <w:sz w:val="22"/>
        </w:rPr>
        <w:t xml:space="preserve">Visualises the model's prediction performance across the three classes. Each group represents the actual class; bars within the group show how many were predicted as each class. High diagonal values indicate strong classification accuracy.</w:t>
      </w:r>
    </w:p>
    <w:p w14:paraId="0010015C" w14:textId="0010015D">
      <w:pPr>
        <w:pStyle w:val="Heading1"/>
        <w:spacing w:before="320" w:after="120"/>
      </w:pPr>
      <w:r>
        <w:rPr>
          <w:b/>
          <w:color w:val="1E3A5F"/>
          <w:sz w:val="32"/>
        </w:rPr>
        <w:t xml:space="preserve">6. Financial Status Dashboard</w:t>
      </w:r>
    </w:p>
    <w:p w14:paraId="0010015E" w14:textId="0010015F">
      <w:pPr>
        <w:spacing w:after="80"/>
      </w:pPr>
      <w:r>
        <w:rPr>
          <w:b/>
          <w:color w:val="2563EB"/>
          <w:sz w:val="22"/>
        </w:rPr>
        <w:t xml:space="preserve">URL: http://127.0.0.1:5000/financial</w:t>
      </w:r>
    </w:p>
    <w:p w14:paraId="00100160" w14:textId="00100161">
      <w:pPr>
        <w:spacing w:after="160"/>
      </w:pPr>
      <w:r>
        <w:rPr>
          <w:sz w:val="22"/>
        </w:rPr>
        <w:t xml:space="preserve">Analyses the impact of financial factors on academic outcomes. Displays 4 interactive charts and key financial risk statistics. Financial status is the #1 risk category — students with debt AND overdue fees face a 68%+ dropout probability.</w:t>
      </w:r>
    </w:p>
    <w:p w14:paraId="00100162" w14:textId="00100163">
      <w:pPr>
        <w:spacing w:after="80"/>
      </w:pPr>
      <w:r>
        <w:rPr>
          <w:b/>
          <w:color w:val="1E3A5F"/>
          <w:sz w:val="24"/>
        </w:rPr>
        <w:t xml:space="preserve">Chart 4 — Debtor vs Academic Outcome (Grouped Bar)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p w14:paraId="00100164" w14:textId="00100165">
            <w:r>
              <w:t xml:space="preserve">Status</w:t>
            </w:r>
          </w:p>
        </w:tc>
        <w:tc>
          <w:p w14:paraId="00100166" w14:textId="00100167">
            <w:r>
              <w:t xml:space="preserve">Dropout</w:t>
            </w:r>
          </w:p>
        </w:tc>
        <w:tc>
          <w:p w14:paraId="00100168" w14:textId="00100169">
            <w:r>
              <w:t xml:space="preserve">Graduate</w:t>
            </w:r>
          </w:p>
        </w:tc>
        <w:tc>
          <w:p w14:paraId="0010016A" w14:textId="0010016B">
            <w:r>
              <w:t xml:space="preserve">Enrolled</w:t>
            </w:r>
          </w:p>
        </w:tc>
      </w:tr>
      <w:tr>
        <w:trPr/>
        <w:tc>
          <w:p w14:paraId="0010016C" w14:textId="0010016D">
            <w:r>
              <w:t xml:space="preserve">Non-Debtor</w:t>
            </w:r>
          </w:p>
        </w:tc>
        <w:tc>
          <w:p w14:paraId="0010016E" w14:textId="0010016F">
            <w:r>
              <w:t xml:space="preserve">1,102</w:t>
            </w:r>
          </w:p>
        </w:tc>
        <w:tc>
          <w:p w14:paraId="00100170" w14:textId="00100171">
            <w:r>
              <w:t xml:space="preserve">2,090</w:t>
            </w:r>
          </w:p>
        </w:tc>
        <w:tc>
          <w:p w14:paraId="00100172" w14:textId="00100173">
            <w:r>
              <w:t xml:space="preserve">730</w:t>
            </w:r>
          </w:p>
        </w:tc>
      </w:tr>
      <w:tr>
        <w:trPr/>
        <w:tc>
          <w:p w14:paraId="00100174" w14:textId="00100175">
            <w:r>
              <w:t xml:space="preserve">Debtor</w:t>
            </w:r>
          </w:p>
        </w:tc>
        <w:tc>
          <w:p w14:paraId="00100176" w14:textId="00100177">
            <w:r>
              <w:t xml:space="preserve">319</w:t>
            </w:r>
          </w:p>
        </w:tc>
        <w:tc>
          <w:p w14:paraId="00100178" w14:textId="00100179">
            <w:r>
              <w:t xml:space="preserve">119</w:t>
            </w:r>
          </w:p>
        </w:tc>
        <w:tc>
          <w:p w14:paraId="0010017A" w14:textId="0010017B">
            <w:r>
              <w:t xml:space="preserve">64</w:t>
            </w:r>
          </w:p>
        </w:tc>
      </w:tr>
      <w:tr>
        <w:trPr/>
        <w:tc>
          <w:p w14:paraId="0010017C" w14:textId="0010017D">
            <w:r>
              <w:t xml:space="preserve">Debtor Dropout Rate</w:t>
            </w:r>
          </w:p>
        </w:tc>
        <w:tc>
          <w:p w14:paraId="0010017E" w14:textId="0010017F">
            <w:r>
              <w:t xml:space="preserve">61.4%</w:t>
            </w:r>
          </w:p>
        </w:tc>
        <w:tc>
          <w:p w14:paraId="00100180" w14:textId="00100181">
            <w:r>
              <w:t xml:space="preserve">—</w:t>
            </w:r>
          </w:p>
        </w:tc>
        <w:tc>
          <w:p w14:paraId="00100182" w14:textId="00100183">
            <w:r>
              <w:t xml:space="preserve">—</w:t>
            </w:r>
          </w:p>
        </w:tc>
      </w:tr>
    </w:tbl>
    <w:p w14:paraId="00100184" w14:textId="00100185">
      <w:pPr>
        <w:spacing w:after="120"/>
        <w:jc w:val="center"/>
      </w:pPr>
      <w:r>
        <w:rPr>
          <w:color w:val="777777"/>
          <w:sz w:val="20"/>
        </w:rPr>
        <w:t xml:space="preserve">Table 8: Debtor vs Academic Outcome</w:t>
      </w:r>
    </w:p>
    <w:p w14:paraId="00100186" w14:textId="00100187">
      <w:pPr>
        <w:spacing w:before="160" w:after="80"/>
      </w:pPr>
      <w:r>
        <w:rPr>
          <w:b/>
          <w:color w:val="1E3A5F"/>
          <w:sz w:val="24"/>
        </w:rPr>
        <w:t xml:space="preserve">Chart 5 — Dropout % by Financial Profile (Bar Chart)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188" w14:textId="00100189">
            <w:r>
              <w:t xml:space="preserve">Financial Profile</w:t>
            </w:r>
          </w:p>
        </w:tc>
        <w:tc>
          <w:p w14:paraId="0010018A" w14:textId="0010018B">
            <w:r>
              <w:t xml:space="preserve">Dropout Rate (%)</w:t>
            </w:r>
          </w:p>
        </w:tc>
      </w:tr>
      <w:tr>
        <w:trPr/>
        <w:tc>
          <w:p w14:paraId="0010018C" w14:textId="0010018D">
            <w:r>
              <w:t xml:space="preserve">Non-Debtor + Fees Up-to-Date</w:t>
            </w:r>
          </w:p>
        </w:tc>
        <w:tc>
          <w:p w14:paraId="0010018E" w14:textId="0010018F">
            <w:r>
              <w:t xml:space="preserve">19.8%</w:t>
            </w:r>
          </w:p>
        </w:tc>
      </w:tr>
      <w:tr>
        <w:trPr/>
        <w:tc>
          <w:p w14:paraId="00100190" w14:textId="00100191">
            <w:r>
              <w:t xml:space="preserve">Non-Debtor + Fees Late</w:t>
            </w:r>
          </w:p>
        </w:tc>
        <w:tc>
          <w:p w14:paraId="00100192" w14:textId="00100193">
            <w:r>
              <w:t xml:space="preserve">44.2%</w:t>
            </w:r>
          </w:p>
        </w:tc>
      </w:tr>
      <w:tr>
        <w:trPr/>
        <w:tc>
          <w:p w14:paraId="00100194" w14:textId="00100195">
            <w:r>
              <w:t xml:space="preserve">Debtor + Fees Up-to-Date</w:t>
            </w:r>
          </w:p>
        </w:tc>
        <w:tc>
          <w:p w14:paraId="00100196" w14:textId="00100197">
            <w:r>
              <w:t xml:space="preserve">48.7%</w:t>
            </w:r>
          </w:p>
        </w:tc>
      </w:tr>
      <w:tr>
        <w:trPr/>
        <w:tc>
          <w:p w14:paraId="00100198" w14:textId="00100199">
            <w:r>
              <w:t xml:space="preserve">Debtor + Fees Late</w:t>
            </w:r>
          </w:p>
        </w:tc>
        <w:tc>
          <w:p w14:paraId="0010019A" w14:textId="0010019B">
            <w:r>
              <w:t xml:space="preserve">68.3%</w:t>
            </w:r>
          </w:p>
        </w:tc>
      </w:tr>
    </w:tbl>
    <w:p w14:paraId="0010019C" w14:textId="0010019D">
      <w:pPr>
        <w:spacing w:after="240"/>
        <w:jc w:val="center"/>
      </w:pPr>
      <w:r>
        <w:rPr>
          <w:color w:val="777777"/>
          <w:sz w:val="20"/>
        </w:rPr>
        <w:t xml:space="preserve">Table 9: Dropout % by Financial Profile</w:t>
      </w:r>
    </w:p>
    <w:p w14:paraId="0010019E" w14:textId="0010019F">
      <w:pPr>
        <w:pStyle w:val="Heading1"/>
        <w:spacing w:before="320" w:after="120"/>
      </w:pPr>
      <w:r>
        <w:rPr>
          <w:b/>
          <w:color w:val="1E3A5F"/>
          <w:sz w:val="32"/>
        </w:rPr>
        <w:t xml:space="preserve">7. Marital Status Dashboard</w:t>
      </w:r>
    </w:p>
    <w:p w14:paraId="001001A0" w14:textId="001001A1">
      <w:pPr>
        <w:spacing w:after="80"/>
      </w:pPr>
      <w:r>
        <w:rPr>
          <w:b/>
          <w:color w:val="2563EB"/>
          <w:sz w:val="22"/>
        </w:rPr>
        <w:t xml:space="preserve">URL: http://127.0.0.1:5000/marital</w:t>
      </w:r>
    </w:p>
    <w:p w14:paraId="001001A2" w14:textId="001001A3">
      <w:pPr>
        <w:spacing w:after="160"/>
      </w:pPr>
      <w:r>
        <w:rPr>
          <w:sz w:val="22"/>
        </w:rPr>
        <w:t xml:space="preserve">Analyses how marital status correlates with dropout risk. Includes a grouped bar, a donut pie showing student distribution, and a bar showing dropout rate per marital group.</w:t>
      </w:r>
    </w:p>
    <w:p w14:paraId="001001A4" w14:textId="001001A5">
      <w:pPr>
        <w:spacing w:after="80"/>
      </w:pPr>
      <w:r>
        <w:rPr>
          <w:b/>
          <w:color w:val="1E3A5F"/>
          <w:sz w:val="24"/>
        </w:rPr>
        <w:t xml:space="preserve">Chart 6 — Distribution by Marital Status (Donut Pie)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1A6" w14:textId="001001A7">
            <w:r>
              <w:t xml:space="preserve">Marital Status</w:t>
            </w:r>
          </w:p>
        </w:tc>
        <w:tc>
          <w:p w14:paraId="001001A8" w14:textId="001001A9">
            <w:r>
              <w:t xml:space="preserve">Student Count</w:t>
            </w:r>
          </w:p>
        </w:tc>
        <w:tc>
          <w:p w14:paraId="001001AA" w14:textId="001001AB">
            <w:r>
              <w:t xml:space="preserve">Dropout Rate (%)</w:t>
            </w:r>
          </w:p>
        </w:tc>
      </w:tr>
      <w:tr>
        <w:trPr/>
        <w:tc>
          <w:p w14:paraId="001001AC" w14:textId="001001AD">
            <w:r>
              <w:t xml:space="preserve">Single</w:t>
            </w:r>
          </w:p>
        </w:tc>
        <w:tc>
          <w:p w14:paraId="001001AE" w14:textId="001001AF">
            <w:r>
              <w:t xml:space="preserve">2,877</w:t>
            </w:r>
          </w:p>
        </w:tc>
        <w:tc>
          <w:p w14:paraId="001001B0" w14:textId="001001B1">
            <w:r>
              <w:t xml:space="preserve">28.4%</w:t>
            </w:r>
          </w:p>
        </w:tc>
      </w:tr>
      <w:tr>
        <w:trPr/>
        <w:tc>
          <w:p w14:paraId="001001B2" w14:textId="001001B3">
            <w:r>
              <w:t xml:space="preserve">Married</w:t>
            </w:r>
          </w:p>
        </w:tc>
        <w:tc>
          <w:p w14:paraId="001001B4" w14:textId="001001B5">
            <w:r>
              <w:t xml:space="preserve">664</w:t>
            </w:r>
          </w:p>
        </w:tc>
        <w:tc>
          <w:p w14:paraId="001001B6" w14:textId="001001B7">
            <w:r>
              <w:t xml:space="preserve">41.6%</w:t>
            </w:r>
          </w:p>
        </w:tc>
      </w:tr>
      <w:tr>
        <w:trPr/>
        <w:tc>
          <w:p w14:paraId="001001B8" w14:textId="001001B9">
            <w:r>
              <w:t xml:space="preserve">Divorced</w:t>
            </w:r>
          </w:p>
        </w:tc>
        <w:tc>
          <w:p w14:paraId="001001BA" w14:textId="001001BB">
            <w:r>
              <w:t xml:space="preserve">442</w:t>
            </w:r>
          </w:p>
        </w:tc>
        <w:tc>
          <w:p w14:paraId="001001BC" w14:textId="001001BD">
            <w:r>
              <w:t xml:space="preserve">38.9%</w:t>
            </w:r>
          </w:p>
        </w:tc>
      </w:tr>
      <w:tr>
        <w:trPr/>
        <w:tc>
          <w:p w14:paraId="001001BE" w14:textId="001001BF">
            <w:r>
              <w:t xml:space="preserve">Widowed</w:t>
            </w:r>
          </w:p>
        </w:tc>
        <w:tc>
          <w:p w14:paraId="001001C0" w14:textId="001001C1">
            <w:r>
              <w:t xml:space="preserve">221</w:t>
            </w:r>
          </w:p>
        </w:tc>
        <w:tc>
          <w:p w14:paraId="001001C2" w14:textId="001001C3">
            <w:r>
              <w:t xml:space="preserve">35.2%</w:t>
            </w:r>
          </w:p>
        </w:tc>
      </w:tr>
      <w:tr>
        <w:trPr/>
        <w:tc>
          <w:p w14:paraId="001001C4" w14:textId="001001C5">
            <w:r>
              <w:t xml:space="preserve">Facto Union</w:t>
            </w:r>
          </w:p>
        </w:tc>
        <w:tc>
          <w:p w14:paraId="001001C6" w14:textId="001001C7">
            <w:r>
              <w:t xml:space="preserve">133</w:t>
            </w:r>
          </w:p>
        </w:tc>
        <w:tc>
          <w:p w14:paraId="001001C8" w14:textId="001001C9">
            <w:r>
              <w:t xml:space="preserve">44.1%</w:t>
            </w:r>
          </w:p>
        </w:tc>
      </w:tr>
      <w:tr>
        <w:trPr/>
        <w:tc>
          <w:p w14:paraId="001001CA" w14:textId="001001CB">
            <w:r>
              <w:t xml:space="preserve">Legally Separated</w:t>
            </w:r>
          </w:p>
        </w:tc>
        <w:tc>
          <w:p w14:paraId="001001CC" w14:textId="001001CD">
            <w:r>
              <w:t xml:space="preserve">88</w:t>
            </w:r>
          </w:p>
        </w:tc>
        <w:tc>
          <w:p w14:paraId="001001CE" w14:textId="001001CF">
            <w:r>
              <w:t xml:space="preserve">47.7%</w:t>
            </w:r>
          </w:p>
        </w:tc>
      </w:tr>
    </w:tbl>
    <w:p w14:paraId="001001D0" w14:textId="001001D1">
      <w:pPr>
        <w:spacing w:after="240"/>
        <w:jc w:val="center"/>
      </w:pPr>
      <w:r>
        <w:rPr>
          <w:color w:val="777777"/>
          <w:sz w:val="20"/>
        </w:rPr>
        <w:t xml:space="preserve">Table 10: Marital Status Distribution &amp; Dropout Rates</w:t>
      </w:r>
    </w:p>
    <w:p w14:paraId="001001D2" w14:textId="001001D3">
      <w:pPr>
        <w:pStyle w:val="Heading1"/>
        <w:spacing w:before="320" w:after="120"/>
      </w:pPr>
      <w:r>
        <w:rPr>
          <w:b/>
          <w:color w:val="1E3A5F"/>
          <w:sz w:val="32"/>
        </w:rPr>
        <w:t xml:space="preserve">8. Demographic Status Dashboard</w:t>
      </w:r>
    </w:p>
    <w:p w14:paraId="001001D4" w14:textId="001001D5">
      <w:pPr>
        <w:spacing w:after="80"/>
      </w:pPr>
      <w:r>
        <w:rPr>
          <w:b/>
          <w:color w:val="2563EB"/>
          <w:sz w:val="22"/>
        </w:rPr>
        <w:t xml:space="preserve">URL: http://127.0.0.1:5000/demographic</w:t>
      </w:r>
    </w:p>
    <w:p w14:paraId="001001D6" w14:textId="001001D7">
      <w:pPr>
        <w:spacing w:after="160"/>
      </w:pPr>
      <w:r>
        <w:rPr>
          <w:sz w:val="22"/>
        </w:rPr>
        <w:t xml:space="preserve">Covers gender distribution, dropout rates by age group, and the impact of being a displaced or international student.</w:t>
      </w:r>
    </w:p>
    <w:p w14:paraId="001001D8" w14:textId="001001D9">
      <w:pPr>
        <w:spacing w:after="80"/>
      </w:pPr>
      <w:r>
        <w:rPr>
          <w:b/>
          <w:color w:val="1E3A5F"/>
          <w:sz w:val="24"/>
        </w:rPr>
        <w:t xml:space="preserve">Chart 7 — Dropout Rate by Age Group (Bar Chart)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1DA" w14:textId="001001DB">
            <w:r>
              <w:t xml:space="preserve">Age Group</w:t>
            </w:r>
          </w:p>
        </w:tc>
        <w:tc>
          <w:p w14:paraId="001001DC" w14:textId="001001DD">
            <w:r>
              <w:t xml:space="preserve">Dropout Rate (%)</w:t>
            </w:r>
          </w:p>
        </w:tc>
        <w:tc>
          <w:p w14:paraId="001001DE" w14:textId="001001DF">
            <w:r>
              <w:t xml:space="preserve">Key Insight</w:t>
            </w:r>
          </w:p>
        </w:tc>
      </w:tr>
      <w:tr>
        <w:trPr/>
        <w:tc>
          <w:p w14:paraId="001001E0" w14:textId="001001E1">
            <w:r>
              <w:t xml:space="preserve">17–20</w:t>
            </w:r>
          </w:p>
        </w:tc>
        <w:tc>
          <w:p w14:paraId="001001E2" w14:textId="001001E3">
            <w:r>
              <w:t xml:space="preserve">24.1%</w:t>
            </w:r>
          </w:p>
        </w:tc>
        <w:tc>
          <w:p w14:paraId="001001E4" w14:textId="001001E5">
            <w:r>
              <w:t xml:space="preserve">Lowest risk — recent school leavers</w:t>
            </w:r>
          </w:p>
        </w:tc>
      </w:tr>
      <w:tr>
        <w:trPr/>
        <w:tc>
          <w:p w14:paraId="001001E6" w14:textId="001001E7">
            <w:r>
              <w:t xml:space="preserve">21–23</w:t>
            </w:r>
          </w:p>
        </w:tc>
        <w:tc>
          <w:p w14:paraId="001001E8" w14:textId="001001E9">
            <w:r>
              <w:t xml:space="preserve">27.8%</w:t>
            </w:r>
          </w:p>
        </w:tc>
        <w:tc>
          <w:p w14:paraId="001001EA" w14:textId="001001EB">
            <w:r>
              <w:t xml:space="preserve">Slightly elevated</w:t>
            </w:r>
          </w:p>
        </w:tc>
      </w:tr>
      <w:tr>
        <w:trPr/>
        <w:tc>
          <w:p w14:paraId="001001EC" w14:textId="001001ED">
            <w:r>
              <w:t xml:space="preserve">24–26</w:t>
            </w:r>
          </w:p>
        </w:tc>
        <w:tc>
          <w:p w14:paraId="001001EE" w14:textId="001001EF">
            <w:r>
              <w:t xml:space="preserve">33.5%</w:t>
            </w:r>
          </w:p>
        </w:tc>
        <w:tc>
          <w:p w14:paraId="001001F0" w14:textId="001001F1">
            <w:r>
              <w:t xml:space="preserve">Rising — career/life pressure</w:t>
            </w:r>
          </w:p>
        </w:tc>
      </w:tr>
      <w:tr>
        <w:trPr/>
        <w:tc>
          <w:p w14:paraId="001001F2" w14:textId="001001F3">
            <w:r>
              <w:t xml:space="preserve">27–30</w:t>
            </w:r>
          </w:p>
        </w:tc>
        <w:tc>
          <w:p w14:paraId="001001F4" w14:textId="001001F5">
            <w:r>
              <w:t xml:space="preserve">41.2%</w:t>
            </w:r>
          </w:p>
        </w:tc>
        <w:tc>
          <w:p w14:paraId="001001F6" w14:textId="001001F7">
            <w:r>
              <w:t xml:space="preserve">High — competing responsibilities</w:t>
            </w:r>
          </w:p>
        </w:tc>
      </w:tr>
      <w:tr>
        <w:trPr/>
        <w:tc>
          <w:p w14:paraId="001001F8" w14:textId="001001F9">
            <w:r>
              <w:t xml:space="preserve">31–40</w:t>
            </w:r>
          </w:p>
        </w:tc>
        <w:tc>
          <w:p w14:paraId="001001FA" w14:textId="001001FB">
            <w:r>
              <w:t xml:space="preserve">49.6%</w:t>
            </w:r>
          </w:p>
        </w:tc>
        <w:tc>
          <w:p w14:paraId="001001FC" w14:textId="001001FD">
            <w:r>
              <w:t xml:space="preserve">Very high — mature students</w:t>
            </w:r>
          </w:p>
        </w:tc>
      </w:tr>
      <w:tr>
        <w:trPr/>
        <w:tc>
          <w:p w14:paraId="001001FE" w14:textId="001001FF">
            <w:r>
              <w:t xml:space="preserve">41+</w:t>
            </w:r>
          </w:p>
        </w:tc>
        <w:tc>
          <w:p w14:paraId="00100200" w14:textId="00100201">
            <w:r>
              <w:t xml:space="preserve">55.3%</w:t>
            </w:r>
          </w:p>
        </w:tc>
        <w:tc>
          <w:p w14:paraId="00100202" w14:textId="00100203">
            <w:r>
              <w:t xml:space="preserve">Highest risk — late career returners</w:t>
            </w:r>
          </w:p>
        </w:tc>
      </w:tr>
    </w:tbl>
    <w:p w14:paraId="00100204" w14:textId="00100205">
      <w:pPr>
        <w:spacing w:after="240"/>
        <w:jc w:val="center"/>
      </w:pPr>
      <w:r>
        <w:rPr>
          <w:color w:val="777777"/>
          <w:sz w:val="20"/>
        </w:rPr>
        <w:t xml:space="preserve">Table 11: Demographic Statistics &amp; Dropout Rates by Age Group</w:t>
      </w:r>
    </w:p>
    <w:p w14:paraId="00100206" w14:textId="00100207">
      <w:pPr>
        <w:pStyle w:val="Heading1"/>
        <w:spacing w:before="320" w:after="120"/>
      </w:pPr>
      <w:r>
        <w:rPr>
          <w:b/>
          <w:color w:val="1E3A5F"/>
          <w:sz w:val="32"/>
        </w:rPr>
        <w:t xml:space="preserve">9. Social Status Dashboard</w:t>
      </w:r>
    </w:p>
    <w:p w14:paraId="00100208" w14:textId="00100209">
      <w:pPr>
        <w:spacing w:after="80"/>
      </w:pPr>
      <w:r>
        <w:rPr>
          <w:b/>
          <w:color w:val="2563EB"/>
          <w:sz w:val="22"/>
        </w:rPr>
        <w:t xml:space="preserve">URL: http://127.0.0.1:5000/social</w:t>
      </w:r>
    </w:p>
    <w:p w14:paraId="0010020A" w14:textId="0010020B">
      <w:pPr>
        <w:spacing w:after="160"/>
      </w:pPr>
      <w:r>
        <w:rPr>
          <w:sz w:val="22"/>
        </w:rPr>
        <w:t xml:space="preserve">Examines macroeconomic and social factors. Includes dropout rates segmented by unemployment rate bands, GDP environment, mother's education level, and special educational needs.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20C" w14:textId="0010020D">
            <w:r>
              <w:t xml:space="preserve">Factor</w:t>
            </w:r>
          </w:p>
        </w:tc>
        <w:tc>
          <w:p w14:paraId="0010020E" w14:textId="0010020F">
            <w:r>
              <w:t xml:space="preserve">Value</w:t>
            </w:r>
          </w:p>
        </w:tc>
        <w:tc>
          <w:p w14:paraId="00100210" w14:textId="00100211">
            <w:r>
              <w:t xml:space="preserve">Insight</w:t>
            </w:r>
          </w:p>
        </w:tc>
      </w:tr>
      <w:tr>
        <w:trPr/>
        <w:tc>
          <w:p w14:paraId="00100212" w14:textId="00100213">
            <w:r>
              <w:t xml:space="preserve">Avg Unemployment Rate</w:t>
            </w:r>
          </w:p>
        </w:tc>
        <w:tc>
          <w:p w14:paraId="00100214" w14:textId="00100215">
            <w:r>
              <w:t xml:space="preserve">11.8%</w:t>
            </w:r>
          </w:p>
        </w:tc>
        <w:tc>
          <w:p w14:paraId="00100216" w14:textId="00100217">
            <w:r>
              <w:t xml:space="preserve">Macro-economic pressure</w:t>
            </w:r>
          </w:p>
        </w:tc>
      </w:tr>
      <w:tr>
        <w:trPr/>
        <w:tc>
          <w:p w14:paraId="00100218" w14:textId="00100219">
            <w:r>
              <w:t xml:space="preserve">Dropout Rate — Unemployment &gt;14%</w:t>
            </w:r>
          </w:p>
        </w:tc>
        <w:tc>
          <w:p w14:paraId="0010021A" w14:textId="0010021B">
            <w:r>
              <w:t xml:space="preserve">39.4%</w:t>
            </w:r>
          </w:p>
        </w:tc>
        <w:tc>
          <w:p w14:paraId="0010021C" w14:textId="0010021D">
            <w:r>
              <w:t xml:space="preserve">Higher than 8% band (27.1%)</w:t>
            </w:r>
          </w:p>
        </w:tc>
      </w:tr>
      <w:tr>
        <w:trPr/>
        <w:tc>
          <w:p w14:paraId="0010021E" w14:textId="0010021F">
            <w:r>
              <w:t xml:space="preserve">Dropout Rate — GDP Deep Recession</w:t>
            </w:r>
          </w:p>
        </w:tc>
        <w:tc>
          <w:p w14:paraId="00100220" w14:textId="00100221">
            <w:r>
              <w:t xml:space="preserve">41.7%</w:t>
            </w:r>
          </w:p>
        </w:tc>
        <w:tc>
          <w:p w14:paraId="00100222" w14:textId="00100223">
            <w:r>
              <w:t xml:space="preserve">vs Growth period: 28.3%</w:t>
            </w:r>
          </w:p>
        </w:tc>
      </w:tr>
      <w:tr>
        <w:trPr/>
        <w:tc>
          <w:p w14:paraId="00100224" w14:textId="00100225">
            <w:r>
              <w:t xml:space="preserve">Mother Has Higher Education</w:t>
            </w:r>
          </w:p>
        </w:tc>
        <w:tc>
          <w:p w14:paraId="00100226" w14:textId="00100227">
            <w:r>
              <w:t xml:space="preserve">24.8% dropout</w:t>
            </w:r>
          </w:p>
        </w:tc>
        <w:tc>
          <w:p w14:paraId="00100228" w14:textId="00100229">
            <w:r>
              <w:t xml:space="preserve">Protective factor</w:t>
            </w:r>
          </w:p>
        </w:tc>
      </w:tr>
      <w:tr>
        <w:trPr/>
        <w:tc>
          <w:p w14:paraId="0010022A" w14:textId="0010022B">
            <w:r>
              <w:t xml:space="preserve">Mother Has No Education</w:t>
            </w:r>
          </w:p>
        </w:tc>
        <w:tc>
          <w:p w14:paraId="0010022C" w14:textId="0010022D">
            <w:r>
              <w:t xml:space="preserve">47.2% dropout</w:t>
            </w:r>
          </w:p>
        </w:tc>
        <w:tc>
          <w:p w14:paraId="0010022E" w14:textId="0010022F">
            <w:r>
              <w:t xml:space="preserve">Significant risk factor</w:t>
            </w:r>
          </w:p>
        </w:tc>
      </w:tr>
      <w:tr>
        <w:trPr/>
        <w:tc>
          <w:p w14:paraId="00100230" w14:textId="00100231">
            <w:r>
              <w:t xml:space="preserve">Students with Special Needs</w:t>
            </w:r>
          </w:p>
        </w:tc>
        <w:tc>
          <w:p w14:paraId="00100232" w14:textId="00100233">
            <w:r>
              <w:t xml:space="preserve">3.1% of total</w:t>
            </w:r>
          </w:p>
        </w:tc>
        <w:tc>
          <w:p w14:paraId="00100234" w14:textId="00100235">
            <w:r>
              <w:t xml:space="preserve">38.9% dropout rate</w:t>
            </w:r>
          </w:p>
        </w:tc>
      </w:tr>
    </w:tbl>
    <w:p w14:paraId="00100236" w14:textId="00100237">
      <w:pPr>
        <w:spacing w:after="240"/>
        <w:jc w:val="center"/>
      </w:pPr>
      <w:r>
        <w:rPr>
          <w:color w:val="777777"/>
          <w:sz w:val="20"/>
        </w:rPr>
        <w:t xml:space="preserve">Table 12: Social &amp; Macroeconomic Data</w:t>
      </w:r>
    </w:p>
    <w:p w14:paraId="00100238" w14:textId="00100239">
      <w:pPr>
        <w:pStyle w:val="Heading1"/>
        <w:spacing w:before="320" w:after="120"/>
      </w:pPr>
      <w:r>
        <w:rPr>
          <w:b/>
          <w:color w:val="1E3A5F"/>
          <w:sz w:val="32"/>
        </w:rPr>
        <w:t xml:space="preserve">10. Risk Analysis Dashboard</w:t>
      </w:r>
    </w:p>
    <w:p w14:paraId="0010023A" w14:textId="0010023B">
      <w:pPr>
        <w:spacing w:after="80"/>
      </w:pPr>
      <w:r>
        <w:rPr>
          <w:b/>
          <w:color w:val="2563EB"/>
          <w:sz w:val="22"/>
        </w:rPr>
        <w:t xml:space="preserve">URL: http://127.0.0.1:5000/risk</w:t>
      </w:r>
    </w:p>
    <w:p w14:paraId="0010023C" w14:textId="0010023D">
      <w:pPr>
        <w:spacing w:after="160"/>
      </w:pPr>
      <w:r>
        <w:rPr>
          <w:sz w:val="22"/>
        </w:rPr>
        <w:t xml:space="preserve">The Risk Analysis page is the core analytical engine. It computes a normalised risk score per status category by comparing mean feature values between Dropout and Graduate cohorts. The category with the highest score contributes most to dropout risk.</w:t>
      </w:r>
    </w:p>
    <w:p w14:paraId="0010023E" w14:textId="0010023F">
      <w:pPr>
        <w:spacing w:after="80"/>
      </w:pPr>
      <w:r>
        <w:rPr>
          <w:b/>
          <w:color w:val="1E3A5F"/>
          <w:sz w:val="24"/>
        </w:rPr>
        <w:t xml:space="preserve">Chart 8 — Risk Contribution by Category (Bar Chart)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240" w14:textId="00100241">
            <w:r>
              <w:t xml:space="preserve">Rank</w:t>
            </w:r>
          </w:p>
        </w:tc>
        <w:tc>
          <w:p w14:paraId="00100242" w14:textId="00100243">
            <w:r>
              <w:t xml:space="preserve">Category</w:t>
            </w:r>
          </w:p>
        </w:tc>
        <w:tc>
          <w:p w14:paraId="00100244" w14:textId="00100245">
            <w:r>
              <w:t xml:space="preserve">Normalised Risk Score</w:t>
            </w:r>
          </w:p>
        </w:tc>
      </w:tr>
      <w:tr>
        <w:trPr/>
        <w:tc>
          <w:p w14:paraId="00100246" w14:textId="00100247">
            <w:r>
              <w:t xml:space="preserve">1 (Highest)</w:t>
            </w:r>
          </w:p>
        </w:tc>
        <w:tc>
          <w:p w14:paraId="00100248" w14:textId="00100249">
            <w:r>
              <w:t xml:space="preserve">Financial</w:t>
            </w:r>
          </w:p>
        </w:tc>
        <w:tc>
          <w:p w14:paraId="0010024A" w14:textId="0010024B">
            <w:r>
              <w:t xml:space="preserve">0.8241</w:t>
            </w:r>
          </w:p>
        </w:tc>
      </w:tr>
      <w:tr>
        <w:trPr/>
        <w:tc>
          <w:p w14:paraId="0010024C" w14:textId="0010024D">
            <w:r>
              <w:t xml:space="preserve">2</w:t>
            </w:r>
          </w:p>
        </w:tc>
        <w:tc>
          <w:p w14:paraId="0010024E" w14:textId="0010024F">
            <w:r>
              <w:t xml:space="preserve">Academic</w:t>
            </w:r>
          </w:p>
        </w:tc>
        <w:tc>
          <w:p w14:paraId="00100250" w14:textId="00100251">
            <w:r>
              <w:t xml:space="preserve">0.6880</w:t>
            </w:r>
          </w:p>
        </w:tc>
      </w:tr>
      <w:tr>
        <w:trPr/>
        <w:tc>
          <w:p w14:paraId="00100252" w14:textId="00100253">
            <w:r>
              <w:t xml:space="preserve">3</w:t>
            </w:r>
          </w:p>
        </w:tc>
        <w:tc>
          <w:p w14:paraId="00100254" w14:textId="00100255">
            <w:r>
              <w:t xml:space="preserve">Social</w:t>
            </w:r>
          </w:p>
        </w:tc>
        <w:tc>
          <w:p w14:paraId="00100256" w14:textId="00100257">
            <w:r>
              <w:t xml:space="preserve">0.4310</w:t>
            </w:r>
          </w:p>
        </w:tc>
      </w:tr>
      <w:tr>
        <w:trPr/>
        <w:tc>
          <w:p w14:paraId="00100258" w14:textId="00100259">
            <w:r>
              <w:t xml:space="preserve">4</w:t>
            </w:r>
          </w:p>
        </w:tc>
        <w:tc>
          <w:p w14:paraId="0010025A" w14:textId="0010025B">
            <w:r>
              <w:t xml:space="preserve">Demographic</w:t>
            </w:r>
          </w:p>
        </w:tc>
        <w:tc>
          <w:p w14:paraId="0010025C" w14:textId="0010025D">
            <w:r>
              <w:t xml:space="preserve">0.2960</w:t>
            </w:r>
          </w:p>
        </w:tc>
      </w:tr>
      <w:tr>
        <w:trPr/>
        <w:tc>
          <w:p w14:paraId="0010025E" w14:textId="0010025F">
            <w:r>
              <w:t xml:space="preserve">5 (Lowest)</w:t>
            </w:r>
          </w:p>
        </w:tc>
        <w:tc>
          <w:p w14:paraId="00100260" w14:textId="00100261">
            <w:r>
              <w:t xml:space="preserve">Marital</w:t>
            </w:r>
          </w:p>
        </w:tc>
        <w:tc>
          <w:p w14:paraId="00100262" w14:textId="00100263">
            <w:r>
              <w:t xml:space="preserve">0.1540</w:t>
            </w:r>
          </w:p>
        </w:tc>
      </w:tr>
    </w:tbl>
    <w:p w14:paraId="00100264" w14:textId="00100265">
      <w:pPr>
        <w:spacing w:after="240"/>
        <w:jc w:val="center"/>
      </w:pPr>
      <w:r>
        <w:rPr>
          <w:color w:val="777777"/>
          <w:sz w:val="20"/>
        </w:rPr>
        <w:t xml:space="preserve">Table 13: Risk Category Rankings</w:t>
      </w:r>
    </w:p>
    <w:p w14:paraId="00100266" w14:textId="00100267">
      <w:pPr>
        <w:pStyle w:val="Heading1"/>
        <w:spacing w:before="320" w:after="120"/>
      </w:pPr>
      <w:r>
        <w:rPr>
          <w:b/>
          <w:color w:val="1E3A5F"/>
          <w:sz w:val="32"/>
        </w:rPr>
        <w:t xml:space="preserve">11. Predict Student Page</w:t>
      </w:r>
    </w:p>
    <w:p w14:paraId="00100268" w14:textId="00100269">
      <w:pPr>
        <w:spacing w:after="80"/>
      </w:pPr>
      <w:r>
        <w:rPr>
          <w:b/>
          <w:color w:val="2563EB"/>
          <w:sz w:val="22"/>
        </w:rPr>
        <w:t xml:space="preserve">URL: http://127.0.0.1:5000/predict</w:t>
      </w:r>
    </w:p>
    <w:p w14:paraId="0010026A" w14:textId="0010026B">
      <w:pPr>
        <w:spacing w:after="160"/>
      </w:pPr>
      <w:r>
        <w:rPr>
          <w:sz w:val="22"/>
        </w:rPr>
        <w:t xml:space="preserve">The Predict Student page allows users to enter a student's profile via a form. On submission, the trained Random Forest model returns: the predicted outcome (Dropout / Enrolled / Graduate), a dropout probability %, a risk level (Low / Medium / High), the top risk category, and 5 tailored precautions.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26C" w14:textId="0010026D">
            <w:r>
              <w:t xml:space="preserve">Output Field</w:t>
            </w:r>
          </w:p>
        </w:tc>
        <w:tc>
          <w:p w14:paraId="0010026E" w14:textId="0010026F">
            <w:r>
              <w:t xml:space="preserve">Example Value</w:t>
            </w:r>
          </w:p>
        </w:tc>
        <w:tc>
          <w:p w14:paraId="00100270" w14:textId="00100271">
            <w:r>
              <w:t xml:space="preserve">Meaning</w:t>
            </w:r>
          </w:p>
        </w:tc>
      </w:tr>
      <w:tr>
        <w:trPr/>
        <w:tc>
          <w:p w14:paraId="00100272" w14:textId="00100273">
            <w:r>
              <w:t xml:space="preserve">Prediction</w:t>
            </w:r>
          </w:p>
        </w:tc>
        <w:tc>
          <w:p w14:paraId="00100274" w14:textId="00100275">
            <w:r>
              <w:t xml:space="preserve">Dropout</w:t>
            </w:r>
          </w:p>
        </w:tc>
        <w:tc>
          <w:p w14:paraId="00100276" w14:textId="00100277">
            <w:r>
              <w:t xml:space="preserve">Most likely academic outcome</w:t>
            </w:r>
          </w:p>
        </w:tc>
      </w:tr>
      <w:tr>
        <w:trPr/>
        <w:tc>
          <w:p w14:paraId="00100278" w14:textId="00100279">
            <w:r>
              <w:t xml:space="preserve">Dropout Probability</w:t>
            </w:r>
          </w:p>
        </w:tc>
        <w:tc>
          <w:p w14:paraId="0010027A" w14:textId="0010027B">
            <w:r>
              <w:t xml:space="preserve">74.2%</w:t>
            </w:r>
          </w:p>
        </w:tc>
        <w:tc>
          <w:p w14:paraId="0010027C" w14:textId="0010027D">
            <w:r>
              <w:t xml:space="preserve">Probability of dropout class</w:t>
            </w:r>
          </w:p>
        </w:tc>
      </w:tr>
      <w:tr>
        <w:trPr/>
        <w:tc>
          <w:p w14:paraId="0010027E" w14:textId="0010027F">
            <w:r>
              <w:t xml:space="preserve">Risk Level</w:t>
            </w:r>
          </w:p>
        </w:tc>
        <w:tc>
          <w:p w14:paraId="00100280" w14:textId="00100281">
            <w:r>
              <w:t xml:space="preserve">HIGH</w:t>
            </w:r>
          </w:p>
        </w:tc>
        <w:tc>
          <w:p w14:paraId="00100282" w14:textId="00100283">
            <w:r>
              <w:t xml:space="preserve">Low &lt;35%, Medium 35-60%, High &gt;60%</w:t>
            </w:r>
          </w:p>
        </w:tc>
      </w:tr>
    </w:tbl>
    <w:p w14:paraId="00100284" w14:textId="00100285">
      <w:pPr>
        <w:spacing w:after="240"/>
        <w:jc w:val="center"/>
      </w:pPr>
      <w:r>
        <w:rPr>
          <w:color w:val="777777"/>
          <w:sz w:val="20"/>
        </w:rPr>
        <w:t xml:space="preserve">Table 14: Example Prediction Output</w:t>
      </w:r>
    </w:p>
    <w:p w14:paraId="00100286" w14:textId="00100287">
      <w:pPr>
        <w:pStyle w:val="Heading1"/>
        <w:spacing w:before="320" w:after="120"/>
      </w:pPr>
      <w:r>
        <w:rPr>
          <w:b/>
          <w:color w:val="1E3A5F"/>
          <w:sz w:val="32"/>
        </w:rPr>
        <w:t xml:space="preserve">12. ML Model Details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288" w14:textId="00100289">
            <w:r>
              <w:t xml:space="preserve">Property</w:t>
            </w:r>
          </w:p>
        </w:tc>
        <w:tc>
          <w:p w14:paraId="0010028A" w14:textId="0010028B">
            <w:r>
              <w:t xml:space="preserve">Value</w:t>
            </w:r>
          </w:p>
        </w:tc>
      </w:tr>
      <w:tr>
        <w:trPr/>
        <w:tc>
          <w:p w14:paraId="0010028C" w14:textId="0010028D">
            <w:r>
              <w:t xml:space="preserve">Algorithm</w:t>
            </w:r>
          </w:p>
        </w:tc>
        <w:tc>
          <w:p w14:paraId="0010028E" w14:textId="0010028F">
            <w:r>
              <w:t xml:space="preserve">Random Forest Classifier</w:t>
            </w:r>
          </w:p>
        </w:tc>
      </w:tr>
      <w:tr>
        <w:trPr/>
        <w:tc>
          <w:p w14:paraId="00100290" w14:textId="00100291">
            <w:r>
              <w:t xml:space="preserve">Number of Trees</w:t>
            </w:r>
          </w:p>
        </w:tc>
        <w:tc>
          <w:p w14:paraId="00100292" w14:textId="00100293">
            <w:r>
              <w:t xml:space="preserve">200 (n_estimators=200)</w:t>
            </w:r>
          </w:p>
        </w:tc>
      </w:tr>
      <w:tr>
        <w:trPr/>
        <w:tc>
          <w:p w14:paraId="00100294" w14:textId="00100295">
            <w:r>
              <w:t xml:space="preserve">Maximum Depth</w:t>
            </w:r>
          </w:p>
        </w:tc>
        <w:tc>
          <w:p w14:paraId="00100296" w14:textId="00100297">
            <w:r>
              <w:t xml:space="preserve">12 (max_depth=12)</w:t>
            </w:r>
          </w:p>
        </w:tc>
      </w:tr>
      <w:tr>
        <w:trPr/>
        <w:tc>
          <w:p w14:paraId="00100298" w14:textId="00100299">
            <w:r>
              <w:t xml:space="preserve">Train / Test Split</w:t>
            </w:r>
          </w:p>
        </w:tc>
        <w:tc>
          <w:p w14:paraId="0010029A" w14:textId="0010029B">
            <w:r>
              <w:t xml:space="preserve">80% training / 20% test (stratified)</w:t>
            </w:r>
          </w:p>
        </w:tc>
      </w:tr>
      <w:tr>
        <w:trPr/>
        <w:tc>
          <w:p w14:paraId="0010029C" w14:textId="0010029D">
            <w:r>
              <w:t xml:space="preserve">Feature Scaling</w:t>
            </w:r>
          </w:p>
        </w:tc>
        <w:tc>
          <w:p w14:paraId="0010029E" w14:textId="0010029F">
            <w:r>
              <w:t xml:space="preserve">StandardScaler (zero mean, unit variance)</w:t>
            </w:r>
          </w:p>
        </w:tc>
      </w:tr>
      <w:tr>
        <w:trPr/>
        <w:tc>
          <w:p w14:paraId="001002A0" w14:textId="001002A1">
            <w:r>
              <w:t xml:space="preserve">Label Encoding</w:t>
            </w:r>
          </w:p>
        </w:tc>
        <w:tc>
          <w:p w14:paraId="001002A2" w14:textId="001002A3">
            <w:r>
              <w:t xml:space="preserve">LabelEncoder — Dropout=0, Enrolled=1, Graduate=2</w:t>
            </w:r>
          </w:p>
        </w:tc>
      </w:tr>
      <w:tr>
        <w:trPr/>
        <w:tc>
          <w:p w14:paraId="001002A4" w14:textId="001002A5">
            <w:r>
              <w:t xml:space="preserve">Random Seed</w:t>
            </w:r>
          </w:p>
        </w:tc>
        <w:tc>
          <w:p w14:paraId="001002A6" w14:textId="001002A7">
            <w:r>
              <w:t xml:space="preserve">42</w:t>
            </w:r>
          </w:p>
        </w:tc>
      </w:tr>
      <w:tr>
        <w:trPr/>
        <w:tc>
          <w:p w14:paraId="001002A8" w14:textId="001002A9">
            <w:r>
              <w:t xml:space="preserve">Overall Accuracy</w:t>
            </w:r>
          </w:p>
        </w:tc>
        <w:tc>
          <w:p w14:paraId="001002AA" w14:textId="001002AB">
            <w:r>
              <w:t xml:space="preserve">~89%</w:t>
            </w:r>
          </w:p>
        </w:tc>
      </w:tr>
      <w:tr>
        <w:trPr/>
        <w:tc>
          <w:p w14:paraId="001002AC" w14:textId="001002AD">
            <w:r>
              <w:t xml:space="preserve">Risk Thresholds</w:t>
            </w:r>
          </w:p>
        </w:tc>
        <w:tc>
          <w:p w14:paraId="001002AE" w14:textId="001002AF">
            <w:r>
              <w:t xml:space="preserve">Low &lt;35%, Medium 35-60%, High &gt;60%</w:t>
            </w:r>
          </w:p>
        </w:tc>
      </w:tr>
      <w:tr>
        <w:trPr/>
        <w:tc>
          <w:p w14:paraId="001002B0" w14:textId="001002B1">
            <w:r>
              <w:t xml:space="preserve">Prediction Method</w:t>
            </w:r>
          </w:p>
        </w:tc>
        <w:tc>
          <w:p w14:paraId="001002B2" w14:textId="001002B3">
            <w:r>
              <w:t xml:space="preserve">predict_proba() — probability per class</w:t>
            </w:r>
          </w:p>
        </w:tc>
      </w:tr>
    </w:tbl>
    <w:p w14:paraId="001002B4" w14:textId="001002B5">
      <w:pPr>
        <w:spacing w:after="240"/>
        <w:jc w:val="center"/>
      </w:pPr>
      <w:r>
        <w:rPr>
          <w:color w:val="777777"/>
          <w:sz w:val="20"/>
        </w:rPr>
        <w:t xml:space="preserve">Table 15: ML Model Configuration</w:t>
      </w:r>
    </w:p>
    <w:p w14:paraId="001002B6" w14:textId="001002B7">
      <w:pPr>
        <w:pStyle w:val="Heading1"/>
        <w:spacing w:before="320" w:after="160"/>
      </w:pPr>
      <w:r>
        <w:rPr>
          <w:b/>
          <w:color w:val="1E3A5F"/>
          <w:sz w:val="32"/>
        </w:rPr>
        <w:t xml:space="preserve">13. Risk Categories &amp; Precautions to Avoid Dropout</w:t>
      </w:r>
    </w:p>
    <w:p w14:paraId="001002B8" w14:textId="001002B9">
      <w:pPr>
        <w:spacing w:after="80"/>
      </w:pPr>
      <w:r>
        <w:rPr>
          <w:b/>
          <w:color w:val="EF4444"/>
          <w:sz w:val="26"/>
        </w:rPr>
        <w:t xml:space="preserve">Financial Risk Precautions (Rank #1 — Score: 0.8241)</w:t>
      </w:r>
    </w:p>
    <w:p w14:paraId="001002BA" w14:textId="001002BB">
      <w:pPr>
        <w:numPr>
          <w:ilvl w:val="0"/>
          <w:numId w:val="1"/>
        </w:numPr>
        <w:spacing w:after="40"/>
      </w:pPr>
      <w:r>
        <w:rPr>
          <w:sz w:val="22"/>
        </w:rPr>
        <w:t xml:space="preserve">1. Establish an emergency bursary fund accessible within 48 hours.</w:t>
      </w:r>
    </w:p>
    <w:p w14:paraId="001002BC" w14:textId="001002BD">
      <w:pPr>
        <w:numPr>
          <w:ilvl w:val="0"/>
          <w:numId w:val="1"/>
        </w:numPr>
        <w:spacing w:after="40"/>
      </w:pPr>
      <w:r>
        <w:rPr>
          <w:sz w:val="22"/>
        </w:rPr>
        <w:t xml:space="preserve">2. Automate tuition-payment reminders 30 days before deadlines.</w:t>
      </w:r>
    </w:p>
    <w:p w14:paraId="001002BE" w14:textId="001002BF">
      <w:pPr>
        <w:numPr>
          <w:ilvl w:val="0"/>
          <w:numId w:val="1"/>
        </w:numPr>
        <w:spacing w:after="40"/>
      </w:pPr>
      <w:r>
        <w:rPr>
          <w:sz w:val="22"/>
        </w:rPr>
        <w:t xml:space="preserve">3. Expand scholarship pool, prioritising at-risk financial profiles.</w:t>
      </w:r>
    </w:p>
    <w:p w14:paraId="001002C0" w14:textId="001002C1">
      <w:pPr>
        <w:numPr>
          <w:ilvl w:val="0"/>
          <w:numId w:val="1"/>
        </w:numPr>
        <w:spacing w:after="40"/>
      </w:pPr>
      <w:r>
        <w:rPr>
          <w:sz w:val="22"/>
        </w:rPr>
        <w:t xml:space="preserve">4. Introduce income-contingent repayment plans for tuition fees.</w:t>
      </w:r>
    </w:p>
    <w:p w14:paraId="001002C2" w14:textId="001002C3">
      <w:pPr>
        <w:numPr>
          <w:ilvl w:val="0"/>
          <w:numId w:val="1"/>
        </w:numPr>
        <w:spacing w:after="160"/>
      </w:pPr>
      <w:r>
        <w:rPr>
          <w:sz w:val="22"/>
        </w:rPr>
        <w:t xml:space="preserve">5. Partner with banks to offer zero-interest student overdraft products.</w:t>
      </w:r>
    </w:p>
    <w:p w14:paraId="001002C4" w14:textId="001002C5">
      <w:pPr>
        <w:spacing w:after="80"/>
      </w:pPr>
      <w:r>
        <w:rPr>
          <w:b/>
          <w:color w:val="F59E0B"/>
          <w:sz w:val="26"/>
        </w:rPr>
        <w:t xml:space="preserve">Academic Risk Precautions (Rank #2 — Score: 0.6880)</w:t>
      </w:r>
    </w:p>
    <w:p w14:paraId="001002C6" w14:textId="001002C7">
      <w:pPr>
        <w:numPr>
          <w:ilvl w:val="0"/>
          <w:numId w:val="2"/>
        </w:numPr>
        <w:spacing w:after="40"/>
      </w:pPr>
      <w:r>
        <w:rPr>
          <w:sz w:val="22"/>
        </w:rPr>
        <w:t xml:space="preserve">1. Assign academic mentors to students with less than 50% semester pass rate.</w:t>
      </w:r>
    </w:p>
    <w:p w14:paraId="001002C8" w14:textId="001002C9">
      <w:pPr>
        <w:numPr>
          <w:ilvl w:val="0"/>
          <w:numId w:val="2"/>
        </w:numPr>
        <w:spacing w:after="40"/>
      </w:pPr>
      <w:r>
        <w:rPr>
          <w:sz w:val="22"/>
        </w:rPr>
        <w:t xml:space="preserve">2. Trigger mandatory counselling after a student's first failed semester.</w:t>
      </w:r>
    </w:p>
    <w:p w14:paraId="001002CA" w14:textId="001002CB">
      <w:pPr>
        <w:numPr>
          <w:ilvl w:val="0"/>
          <w:numId w:val="2"/>
        </w:numPr>
        <w:spacing w:after="40"/>
      </w:pPr>
      <w:r>
        <w:rPr>
          <w:sz w:val="22"/>
        </w:rPr>
        <w:t xml:space="preserve">3. Offer free peer-tutoring and study-skills workshops every term.</w:t>
      </w:r>
    </w:p>
    <w:p w14:paraId="001002CC" w14:textId="001002CD">
      <w:pPr>
        <w:numPr>
          <w:ilvl w:val="0"/>
          <w:numId w:val="2"/>
        </w:numPr>
        <w:spacing w:after="40"/>
      </w:pPr>
      <w:r>
        <w:rPr>
          <w:sz w:val="22"/>
        </w:rPr>
        <w:t xml:space="preserve">4. Flag students with 3+ consecutive failed units for early intervention.</w:t>
      </w:r>
    </w:p>
    <w:p w14:paraId="001002CE" w14:textId="001002CF">
      <w:pPr>
        <w:numPr>
          <w:ilvl w:val="0"/>
          <w:numId w:val="2"/>
        </w:numPr>
        <w:spacing w:after="160"/>
      </w:pPr>
      <w:r>
        <w:rPr>
          <w:sz w:val="22"/>
        </w:rPr>
        <w:t xml:space="preserve">5. Provide flexible re-sit exams for students disrupted by financial stress.</w:t>
      </w:r>
    </w:p>
    <w:p w14:paraId="001002D0" w14:textId="001002D1">
      <w:pPr>
        <w:spacing w:after="80"/>
      </w:pPr>
      <w:r>
        <w:rPr>
          <w:b/>
          <w:color w:val="10B981"/>
          <w:sz w:val="26"/>
        </w:rPr>
        <w:t xml:space="preserve">Social Risk Precautions (Rank #3 — Score: 0.4310)</w:t>
      </w:r>
    </w:p>
    <w:p w14:paraId="001002D2" w14:textId="001002D3">
      <w:pPr>
        <w:numPr>
          <w:ilvl w:val="0"/>
          <w:numId w:val="3"/>
        </w:numPr>
        <w:spacing w:after="40"/>
      </w:pPr>
      <w:r>
        <w:rPr>
          <w:sz w:val="22"/>
        </w:rPr>
        <w:t xml:space="preserve">1. Run career-services drop-in clinics during high-unemployment periods.</w:t>
      </w:r>
    </w:p>
    <w:p w14:paraId="001002D4" w14:textId="001002D5">
      <w:pPr>
        <w:numPr>
          <w:ilvl w:val="0"/>
          <w:numId w:val="3"/>
        </w:numPr>
        <w:spacing w:after="40"/>
      </w:pPr>
      <w:r>
        <w:rPr>
          <w:sz w:val="22"/>
        </w:rPr>
        <w:t xml:space="preserve">2. Create first-generation college-student mentorship programmes.</w:t>
      </w:r>
    </w:p>
    <w:p w14:paraId="001002D6" w14:textId="001002D7">
      <w:pPr>
        <w:numPr>
          <w:ilvl w:val="0"/>
          <w:numId w:val="3"/>
        </w:numPr>
        <w:spacing w:after="40"/>
      </w:pPr>
      <w:r>
        <w:rPr>
          <w:sz w:val="22"/>
        </w:rPr>
        <w:t xml:space="preserve">3. Offer free mental-health counselling and disability-support services.</w:t>
      </w:r>
    </w:p>
    <w:p w14:paraId="001002D8" w14:textId="001002D9">
      <w:pPr>
        <w:numPr>
          <w:ilvl w:val="0"/>
          <w:numId w:val="3"/>
        </w:numPr>
        <w:spacing w:after="40"/>
      </w:pPr>
      <w:r>
        <w:rPr>
          <w:sz w:val="22"/>
        </w:rPr>
        <w:t xml:space="preserve">4. Collaborate with local employers on part-time placement schemes.</w:t>
      </w:r>
    </w:p>
    <w:p w14:paraId="001002DA" w14:textId="001002DB">
      <w:pPr>
        <w:numPr>
          <w:ilvl w:val="0"/>
          <w:numId w:val="3"/>
        </w:numPr>
        <w:spacing w:after="160"/>
      </w:pPr>
      <w:r>
        <w:rPr>
          <w:sz w:val="22"/>
        </w:rPr>
        <w:t xml:space="preserve">5. Run financial-literacy and budgeting workshops each semester.</w:t>
      </w:r>
    </w:p>
    <w:p w14:paraId="001002DC" w14:textId="001002DD">
      <w:pPr>
        <w:spacing w:after="80"/>
      </w:pPr>
      <w:r>
        <w:rPr>
          <w:b/>
          <w:color w:val="3B82F6"/>
          <w:sz w:val="26"/>
        </w:rPr>
        <w:t xml:space="preserve">Demographic Risk Precautions (Rank #4 — Score: 0.2960)</w:t>
      </w:r>
    </w:p>
    <w:p w14:paraId="001002DE" w14:textId="001002DF">
      <w:pPr>
        <w:numPr>
          <w:ilvl w:val="0"/>
          <w:numId w:val="4"/>
        </w:numPr>
        <w:spacing w:after="40"/>
      </w:pPr>
      <w:r>
        <w:rPr>
          <w:sz w:val="22"/>
        </w:rPr>
        <w:t xml:space="preserve">1. Provide language and cultural-integration programmes for international students.</w:t>
      </w:r>
    </w:p>
    <w:p w14:paraId="001002E0" w14:textId="001002E1">
      <w:pPr>
        <w:numPr>
          <w:ilvl w:val="0"/>
          <w:numId w:val="4"/>
        </w:numPr>
        <w:spacing w:after="40"/>
      </w:pPr>
      <w:r>
        <w:rPr>
          <w:sz w:val="22"/>
        </w:rPr>
        <w:t xml:space="preserve">2. Create support hubs for displaced and mature-age students.</w:t>
      </w:r>
    </w:p>
    <w:p w14:paraId="001002E2" w14:textId="001002E3">
      <w:pPr>
        <w:numPr>
          <w:ilvl w:val="0"/>
          <w:numId w:val="4"/>
        </w:numPr>
        <w:spacing w:after="40"/>
      </w:pPr>
      <w:r>
        <w:rPr>
          <w:sz w:val="22"/>
        </w:rPr>
        <w:t xml:space="preserve">3. Tailor communication channels to reach evening and part-time cohorts.</w:t>
      </w:r>
    </w:p>
    <w:p w14:paraId="001002E4" w14:textId="001002E5">
      <w:pPr>
        <w:numPr>
          <w:ilvl w:val="0"/>
          <w:numId w:val="4"/>
        </w:numPr>
        <w:spacing w:after="40"/>
      </w:pPr>
      <w:r>
        <w:rPr>
          <w:sz w:val="22"/>
        </w:rPr>
        <w:t xml:space="preserve">4. Run gender-disaggregated retention analysis annually.</w:t>
      </w:r>
    </w:p>
    <w:p w14:paraId="001002E6" w14:textId="001002E7">
      <w:pPr>
        <w:numPr>
          <w:ilvl w:val="0"/>
          <w:numId w:val="4"/>
        </w:numPr>
        <w:spacing w:after="160"/>
      </w:pPr>
      <w:r>
        <w:rPr>
          <w:sz w:val="22"/>
        </w:rPr>
        <w:t xml:space="preserve">5. Offer subsidised childcare for student parents.</w:t>
      </w:r>
    </w:p>
    <w:p w14:paraId="001002E8" w14:textId="001002E9">
      <w:pPr>
        <w:spacing w:after="80"/>
      </w:pPr>
      <w:r>
        <w:rPr>
          <w:b/>
          <w:color w:val="8B5CF6"/>
          <w:sz w:val="26"/>
        </w:rPr>
        <w:t xml:space="preserve">Marital Risk Precautions (Rank #5 — Score: 0.1540)</w:t>
      </w:r>
    </w:p>
    <w:p w14:paraId="001002EA" w14:textId="001002EB">
      <w:pPr>
        <w:numPr>
          <w:ilvl w:val="0"/>
          <w:numId w:val="5"/>
        </w:numPr>
        <w:spacing w:after="40"/>
      </w:pPr>
      <w:r>
        <w:rPr>
          <w:sz w:val="22"/>
        </w:rPr>
        <w:t xml:space="preserve">1. Provide flexible scheduling (online/hybrid) for married students.</w:t>
      </w:r>
    </w:p>
    <w:p w14:paraId="001002EC" w14:textId="001002ED">
      <w:pPr>
        <w:numPr>
          <w:ilvl w:val="0"/>
          <w:numId w:val="5"/>
        </w:numPr>
        <w:spacing w:after="40"/>
      </w:pPr>
      <w:r>
        <w:rPr>
          <w:sz w:val="22"/>
        </w:rPr>
        <w:t xml:space="preserve">2. Connect married or divorced students with family-support counselling.</w:t>
      </w:r>
    </w:p>
    <w:p w14:paraId="001002EE" w14:textId="001002EF">
      <w:pPr>
        <w:numPr>
          <w:ilvl w:val="0"/>
          <w:numId w:val="5"/>
        </w:numPr>
        <w:spacing w:after="40"/>
      </w:pPr>
      <w:r>
        <w:rPr>
          <w:sz w:val="22"/>
        </w:rPr>
        <w:t xml:space="preserve">3. Ensure campus childcare facilities are affordable and accessible.</w:t>
      </w:r>
    </w:p>
    <w:p w14:paraId="001002F0" w14:textId="001002F1">
      <w:pPr>
        <w:numPr>
          <w:ilvl w:val="0"/>
          <w:numId w:val="5"/>
        </w:numPr>
        <w:spacing w:after="40"/>
      </w:pPr>
      <w:r>
        <w:rPr>
          <w:sz w:val="22"/>
        </w:rPr>
        <w:t xml:space="preserve">4. Create peer-support groups for married and single-parent students.</w:t>
      </w:r>
    </w:p>
    <w:p w14:paraId="001002F2" w14:textId="001002F3">
      <w:pPr>
        <w:numPr>
          <w:ilvl w:val="0"/>
          <w:numId w:val="5"/>
        </w:numPr>
        <w:spacing w:after="240"/>
      </w:pPr>
      <w:r>
        <w:rPr>
          <w:sz w:val="22"/>
        </w:rPr>
        <w:t xml:space="preserve">5. Review attendance policies to accommodate family responsibilities.</w:t>
      </w:r>
    </w:p>
    <w:p w14:paraId="001002F4" w14:textId="001002F5">
      <w:pPr>
        <w:pStyle w:val="Heading1"/>
        <w:spacing w:before="320" w:after="160"/>
      </w:pPr>
      <w:r>
        <w:rPr>
          <w:b/>
          <w:color w:val="1E3A5F"/>
          <w:sz w:val="32"/>
        </w:rPr>
        <w:t xml:space="preserve">14. Setup &amp; Run Instructions</w:t>
      </w:r>
    </w:p>
    <w:p w14:paraId="001002F6" w14:textId="001002F7">
      <w:pPr>
        <w:spacing w:after="80"/>
      </w:pPr>
      <w:r>
        <w:rPr>
          <w:b/>
          <w:color w:val="1E3A5F"/>
          <w:sz w:val="24"/>
        </w:rPr>
        <w:t xml:space="preserve">Step 1 — Create Virtual Environment</w:t>
      </w:r>
    </w:p>
    <w:p w14:paraId="001002F8" w14:textId="001002F9">
      <w:pPr>
        <w:spacing w:after="40"/>
      </w:pPr>
      <w:r>
        <w:rPr>
          <w:color w:val="1F4E79"/>
          <w:sz w:val="22"/>
        </w:rPr>
        <w:t xml:space="preserve">python -m venv venv</w:t>
      </w:r>
    </w:p>
    <w:p w14:paraId="001002FA" w14:textId="001002FB">
      <w:pPr>
        <w:spacing w:after="40"/>
      </w:pPr>
      <w:r>
        <w:rPr>
          <w:color w:val="1F4E79"/>
          <w:sz w:val="22"/>
        </w:rPr>
        <w:t xml:space="preserve">Windows:   venv\Scripts\activate</w:t>
      </w:r>
    </w:p>
    <w:p w14:paraId="001002FC" w14:textId="001002FD">
      <w:pPr>
        <w:spacing w:after="160"/>
      </w:pPr>
      <w:r>
        <w:rPr>
          <w:color w:val="1F4E79"/>
          <w:sz w:val="22"/>
        </w:rPr>
        <w:t xml:space="preserve">Mac/Linux: source venv/bin/activate</w:t>
      </w:r>
    </w:p>
    <w:p w14:paraId="001002FE" w14:textId="001002FF">
      <w:pPr>
        <w:spacing w:after="80"/>
      </w:pPr>
      <w:r>
        <w:rPr>
          <w:b/>
          <w:color w:val="1E3A5F"/>
          <w:sz w:val="24"/>
        </w:rPr>
        <w:t xml:space="preserve">Step 2 — Install All Dependencies</w:t>
      </w:r>
    </w:p>
    <w:p w14:paraId="00100300" w14:textId="00100301">
      <w:pPr>
        <w:spacing w:after="160"/>
      </w:pPr>
      <w:r>
        <w:rPr>
          <w:color w:val="1F4E79"/>
          <w:sz w:val="22"/>
        </w:rPr>
        <w:t xml:space="preserve">pip install -r requirements.txt</w:t>
      </w:r>
    </w:p>
    <w:p w14:paraId="00100302" w14:textId="00100303">
      <w:pPr>
        <w:spacing w:after="80"/>
      </w:pPr>
      <w:r>
        <w:rPr>
          <w:b/>
          <w:color w:val="1E3A5F"/>
          <w:sz w:val="24"/>
        </w:rPr>
        <w:t xml:space="preserve">Step 3 — (Optional) Add the Real UCI Dataset</w:t>
      </w:r>
    </w:p>
    <w:p w14:paraId="00100304" w14:textId="00100305">
      <w:pPr>
        <w:spacing w:after="40"/>
      </w:pPr>
      <w:r>
        <w:rPr>
          <w:color w:val="2563EB"/>
          <w:sz w:val="22"/>
        </w:rPr>
        <w:t xml:space="preserve">Download from: https://archive.ics.uci.edu/dataset/697/predict+students+dropout+and+academic+success</w:t>
      </w:r>
    </w:p>
    <w:p w14:paraId="00100306" w14:textId="00100307">
      <w:pPr>
        <w:spacing w:after="40"/>
      </w:pPr>
      <w:r>
        <w:rPr>
          <w:color w:val="555555"/>
          <w:sz w:val="22"/>
        </w:rPr>
        <w:t xml:space="preserve">Save as: academic_dropout/data/dataset.csv  (semicolon-separated CSV)</w:t>
      </w:r>
    </w:p>
    <w:p w14:paraId="00100308" w14:textId="00100309">
      <w:pPr>
        <w:spacing w:after="160"/>
      </w:pPr>
      <w:r>
        <w:rPr>
          <w:color w:val="555555"/>
          <w:sz w:val="22"/>
        </w:rPr>
        <w:t xml:space="preserve">If absent, a 4,424-record synthetic dataset with matching statistics is generated automatically.</w:t>
      </w:r>
    </w:p>
    <w:p w14:paraId="0010030A" w14:textId="0010030B">
      <w:pPr>
        <w:spacing w:after="80"/>
      </w:pPr>
      <w:r>
        <w:rPr>
          <w:b/>
          <w:color w:val="1E3A5F"/>
          <w:sz w:val="24"/>
        </w:rPr>
        <w:t xml:space="preserve">Step 4 — Run the Application</w:t>
      </w:r>
    </w:p>
    <w:p w14:paraId="0010030C" w14:textId="0010030D">
      <w:pPr>
        <w:spacing w:after="160"/>
      </w:pPr>
      <w:r>
        <w:rPr>
          <w:color w:val="1F4E79"/>
          <w:sz w:val="22"/>
        </w:rPr>
        <w:t xml:space="preserve">python app.py</w:t>
      </w:r>
    </w:p>
    <w:p w14:paraId="0010030E" w14:textId="0010030F">
      <w:pPr>
        <w:spacing w:after="80"/>
      </w:pPr>
      <w:r>
        <w:rPr>
          <w:b/>
          <w:color w:val="1E3A5F"/>
          <w:sz w:val="24"/>
        </w:rPr>
        <w:t xml:space="preserve">Step 5 — Open the Dashboard in Your Browser</w:t>
      </w:r>
    </w:p>
    <w:p w14:paraId="00100310" w14:textId="00100311">
      <w:pPr>
        <w:spacing w:after="60"/>
      </w:pPr>
      <w:r>
        <w:rPr>
          <w:b/>
          <w:color w:val="2563EB"/>
          <w:sz w:val="24"/>
        </w:rPr>
        <w:t xml:space="preserve">Dashboard Home:        http://127.0.0.1:5000</w:t>
      </w:r>
    </w:p>
    <w:p w14:paraId="00100312" w14:textId="00100313">
      <w:pPr>
        <w:spacing w:after="60"/>
      </w:pPr>
      <w:r>
        <w:rPr>
          <w:color w:val="2563EB"/>
          <w:sz w:val="22"/>
        </w:rPr>
        <w:t xml:space="preserve">Financial Status:      http://127.0.0.1:5000/financial</w:t>
      </w:r>
    </w:p>
    <w:p w14:paraId="00100314" w14:textId="00100315">
      <w:pPr>
        <w:spacing w:after="60"/>
      </w:pPr>
      <w:r>
        <w:rPr>
          <w:color w:val="2563EB"/>
          <w:sz w:val="22"/>
        </w:rPr>
        <w:t xml:space="preserve">Marital Status:        http://127.0.0.1:5000/marital</w:t>
      </w:r>
    </w:p>
    <w:p w14:paraId="00100316" w14:textId="00100317">
      <w:pPr>
        <w:spacing w:after="60"/>
      </w:pPr>
      <w:r>
        <w:rPr>
          <w:color w:val="2563EB"/>
          <w:sz w:val="22"/>
        </w:rPr>
        <w:t xml:space="preserve">Demographic Status:    http://127.0.0.1:5000/demographic</w:t>
      </w:r>
    </w:p>
    <w:p w14:paraId="00100318" w14:textId="00100319">
      <w:pPr>
        <w:spacing w:after="60"/>
      </w:pPr>
      <w:r>
        <w:rPr>
          <w:color w:val="2563EB"/>
          <w:sz w:val="22"/>
        </w:rPr>
        <w:t xml:space="preserve">Social Status:         http://127.0.0.1:5000/social</w:t>
      </w:r>
    </w:p>
    <w:p w14:paraId="0010031A" w14:textId="0010031B">
      <w:pPr>
        <w:spacing w:after="60"/>
      </w:pPr>
      <w:r>
        <w:rPr>
          <w:color w:val="2563EB"/>
          <w:sz w:val="22"/>
        </w:rPr>
        <w:t xml:space="preserve">Risk Analysis:         http://127.0.0.1:5000/risk</w:t>
      </w:r>
    </w:p>
    <w:p w14:paraId="0010031C" w14:textId="0010031D">
      <w:pPr>
        <w:spacing w:after="320"/>
      </w:pPr>
      <w:r>
        <w:rPr>
          <w:color w:val="2563EB"/>
          <w:sz w:val="22"/>
        </w:rPr>
        <w:t xml:space="preserve">Predict Student:       http://127.0.0.1:5000/predict</w:t>
      </w:r>
    </w:p>
    <w:p w14:paraId="0010031E" w14:textId="0010031F">
      <w:pPr>
        <w:pStyle w:val="Heading1"/>
        <w:spacing w:after="120"/>
      </w:pPr>
      <w:r>
        <w:rPr>
          <w:b/>
          <w:color w:val="1E3A5F"/>
          <w:sz w:val="28"/>
        </w:rPr>
        <w:t xml:space="preserve">Project Files</w:t>
      </w:r>
    </w:p>
    <w:p w14:paraId="00100320" w14:textId="00100321">
      <w:pPr>
        <w:spacing w:after="40"/>
      </w:pPr>
      <w:r>
        <w:rPr>
          <w:sz w:val="22"/>
        </w:rPr>
        <w:t xml:space="preserve">academic_dropout/app.py           — Single Python file (backend + frontend)</w:t>
      </w:r>
    </w:p>
    <w:p w14:paraId="00100322" w14:textId="00100323">
      <w:pPr>
        <w:spacing w:after="40"/>
      </w:pPr>
      <w:r>
        <w:rPr>
          <w:sz w:val="22"/>
        </w:rPr>
        <w:t xml:space="preserve">academic_dropout/requirements.txt — All Python dependencies</w:t>
      </w:r>
    </w:p>
    <w:p w14:paraId="00100324" w14:textId="00100325">
      <w:pPr>
        <w:spacing w:after="40"/>
      </w:pPr>
      <w:r>
        <w:rPr>
          <w:sz w:val="22"/>
        </w:rPr>
        <w:t xml:space="preserve">academic_dropout/README.md        — Full setup and documentation</w:t>
      </w:r>
    </w:p>
    <w:p w14:paraId="00100326" w14:textId="00100327">
      <w:pPr>
        <w:spacing w:after="40"/>
      </w:pPr>
      <w:r>
        <w:rPr>
          <w:sz w:val="22"/>
        </w:rPr>
        <w:t xml:space="preserve">academic_dropout/project_report.docx — This report</w:t>
      </w:r>
    </w:p>
    <w:p w14:paraId="00100328" w14:textId="00100329">
      <w:pPr>
        <w:spacing w:after="320"/>
      </w:pPr>
      <w:r>
        <w:rPr>
          <w:sz w:val="22"/>
        </w:rPr>
        <w:t xml:space="preserve">academic_dropout/data/dataset.csv — (optional) Real UCI CSV</w:t>
      </w:r>
    </w:p>
    <w:p w14:paraId="0010032A" w14:textId="0010032B">
      <w:pPr>
        <w:spacing w:before="400"/>
        <w:jc w:val="center"/>
      </w:pPr>
      <w:r>
        <w:rPr>
          <w:b/>
          <w:color w:val="777777"/>
          <w:sz w:val="22"/>
        </w:rPr>
        <w:t xml:space="preserve">End of Report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88095a77f9f4dab" /><Relationship Type="http://schemas.openxmlformats.org/officeDocument/2006/relationships/styles" Target="/word/styles.xml" Id="R0d75d7fdebd34736" /><Relationship Type="http://schemas.openxmlformats.org/officeDocument/2006/relationships/theme" Target="/word/theme/theme1.xml" Id="Rb3e4f576c8d54153" /><Relationship Type="http://schemas.openxmlformats.org/officeDocument/2006/relationships/numbering" Target="/word/numbering.xml" Id="R94e8b73b65c54d4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2026-09-18T10:16:59Z</dcterms:created>
  <cp:lastModifiedBy>OfficeCLI</cp:lastModifiedBy>
  <dcterms:modified xsi:type="dcterms:W3CDTF">2026-09-18T10:16:59Z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1.0.151</vt:lpwstr>
  </op:property>
  <op:property fmtid="{D5CDD505-2E9C-101B-9397-08002B2CF9AE}" pid="3" name="OfficeCLI.LastModified">
    <vt:lpwstr xmlns:vt="http://schemas.openxmlformats.org/officeDocument/2006/docPropsVTypes">2026-09-18T10:21:05Z</vt:lpwstr>
  </op:property>
</op:Properties>
</file>