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Insights</w:t>
      </w:r>
    </w:p>
    <w:p>
      <w:r>
        <w:t>Key Findings</w:t>
        <w:br/>
        <w:br/>
        <w:t>• Rural consumers are higher than urban consumers.</w:t>
        <w:br/>
        <w:t>• LV1 has the highest consumer count.</w:t>
        <w:br/>
        <w:t>• Actual Bill is the dominant bill type.</w:t>
        <w:br/>
        <w:t>• Metered consumers are significantly higher than unmetered.</w:t>
        <w:br/>
        <w:t>• Zero-unit billing exceptions exist and require monitoring.</w:t>
        <w:br/>
        <w:t>• Some locations contribute disproportionately to operational issues.</w:t>
        <w:br/>
        <w:t>• Tariff-wise consumption differs significantly across categories.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