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20"/>
        <w:jc w:val="center"/>
      </w:pPr>
      <w:r>
        <w:rPr>
          <w:b/>
          <w:bCs/>
          <w:color w:val="1F2937"/>
          <w:sz w:val="26"/>
          <w:szCs w:val="26"/>
        </w:rPr>
        <w:t xml:space="preserve">Mid-Term Evaluation Report</w:t>
      </w:r>
    </w:p>
    <w:p>
      <w:pPr>
        <w:spacing w:after="120"/>
        <w:jc w:val="center"/>
      </w:pPr>
      <w:r>
        <w:rPr>
          <w:b/>
          <w:bCs/>
          <w:color w:val="1F2937"/>
          <w:sz w:val="22"/>
          <w:szCs w:val="22"/>
        </w:rPr>
        <w:t xml:space="preserve">On</w:t>
      </w:r>
    </w:p>
    <w:p>
      <w:pPr>
        <w:spacing w:after="200"/>
      </w:pPr>
    </w:p>
    <w:p>
      <w:pPr>
        <w:spacing w:after="120"/>
        <w:jc w:val="center"/>
      </w:pPr>
      <w:r>
        <w:rPr>
          <w:b/>
          <w:bCs/>
          <w:color w:val="1F4E79"/>
          <w:sz w:val="30"/>
          <w:szCs w:val="30"/>
        </w:rPr>
        <w:t xml:space="preserve">Reinforcement Learning-Based Dynamic Battery Thermal Management for Software Defined Electric Vehicles</w:t>
      </w:r>
    </w:p>
    <w:p>
      <w:pPr>
        <w:spacing w:after="300"/>
      </w:pPr>
    </w:p>
    <w:p>
      <w:pPr>
        <w:spacing w:after="120"/>
        <w:jc w:val="center"/>
      </w:pPr>
      <w:r>
        <w:rPr>
          <w:b/>
          <w:bCs/>
          <w:color w:val="1F2937"/>
          <w:sz w:val="20"/>
          <w:szCs w:val="20"/>
        </w:rPr>
        <w:t xml:space="preserve">Submitted in partial fulfillment of the</w:t>
      </w:r>
    </w:p>
    <w:p>
      <w:pPr>
        <w:spacing w:after="120"/>
        <w:jc w:val="center"/>
      </w:pPr>
      <w:r>
        <w:rPr>
          <w:b/>
          <w:bCs/>
          <w:color w:val="1F2937"/>
          <w:sz w:val="20"/>
          <w:szCs w:val="20"/>
        </w:rPr>
        <w:t xml:space="preserve">requirement for the award of the degree of</w:t>
      </w:r>
    </w:p>
    <w:p>
      <w:pPr>
        <w:spacing w:after="100"/>
      </w:pPr>
    </w:p>
    <w:p>
      <w:pPr>
        <w:spacing w:after="120"/>
        <w:jc w:val="center"/>
      </w:pPr>
      <w:r>
        <w:rPr>
          <w:b/>
          <w:bCs/>
          <w:color w:val="1F2937"/>
          <w:sz w:val="26"/>
          <w:szCs w:val="26"/>
        </w:rPr>
        <w:t xml:space="preserve">BACHELOR OF TECHNOLOGY</w:t>
      </w:r>
    </w:p>
    <w:p>
      <w:pPr>
        <w:spacing w:after="300"/>
      </w:pPr>
    </w:p>
    <w:p>
      <w:pPr>
        <w:spacing w:after="120"/>
        <w:jc w:val="center"/>
      </w:pPr>
      <w:r>
        <w:rPr>
          <w:b/>
          <w:bCs/>
          <w:color w:val="1F2937"/>
          <w:sz w:val="20"/>
          <w:szCs w:val="20"/>
        </w:rPr>
        <w:t xml:space="preserve">Session 2026-27</w:t>
      </w:r>
    </w:p>
    <w:p>
      <w:pPr>
        <w:spacing w:after="120"/>
        <w:jc w:val="center"/>
      </w:pPr>
      <w:r>
        <w:rPr>
          <w:b/>
          <w:bCs/>
          <w:color w:val="1F2937"/>
          <w:sz w:val="20"/>
          <w:szCs w:val="20"/>
        </w:rPr>
        <w:t xml:space="preserve">in</w:t>
      </w:r>
    </w:p>
    <w:p>
      <w:pPr>
        <w:spacing w:after="120"/>
        <w:jc w:val="center"/>
      </w:pPr>
      <w:r>
        <w:rPr>
          <w:b/>
          <w:bCs/>
          <w:color w:val="1F2937"/>
          <w:sz w:val="22"/>
          <w:szCs w:val="22"/>
        </w:rPr>
        <w:t xml:space="preserve">Computer Science and Engineering</w:t>
      </w:r>
    </w:p>
    <w:p>
      <w:pPr>
        <w:spacing w:after="300"/>
      </w:pPr>
    </w:p>
    <w:p>
      <w:pPr>
        <w:spacing w:after="120"/>
        <w:jc w:val="center"/>
      </w:pPr>
      <w:r>
        <w:rPr>
          <w:b/>
          <w:bCs/>
          <w:color w:val="1F2937"/>
          <w:sz w:val="20"/>
          <w:szCs w:val="20"/>
        </w:rPr>
        <w:t xml:space="preserve">By</w:t>
      </w:r>
    </w:p>
    <w:p>
      <w:pPr>
        <w:spacing w:after="120"/>
        <w:jc w:val="center"/>
      </w:pPr>
      <w:r>
        <w:rPr>
          <w:b/>
          <w:bCs/>
          <w:color w:val="1F2937"/>
          <w:sz w:val="23"/>
          <w:szCs w:val="23"/>
        </w:rPr>
        <w:t xml:space="preserve">Rishuraj Singh (2410030738)</w:t>
      </w:r>
    </w:p>
    <w:p>
      <w:pPr>
        <w:spacing w:after="120"/>
        <w:jc w:val="center"/>
      </w:pPr>
      <w:r>
        <w:rPr>
          <w:b/>
          <w:bCs/>
          <w:color w:val="1F2937"/>
          <w:sz w:val="23"/>
          <w:szCs w:val="23"/>
        </w:rPr>
        <w:t xml:space="preserve">Nihaal Sansanwal (2410031372)</w:t>
      </w:r>
    </w:p>
    <w:p>
      <w:pPr>
        <w:spacing w:after="120"/>
        <w:jc w:val="center"/>
      </w:pPr>
      <w:r>
        <w:rPr>
          <w:b/>
          <w:bCs/>
          <w:color w:val="1F2937"/>
          <w:sz w:val="23"/>
          <w:szCs w:val="23"/>
        </w:rPr>
        <w:t xml:space="preserve">Harshit Parmar (2410031422)</w:t>
      </w:r>
    </w:p>
    <w:p>
      <w:pPr>
        <w:spacing w:after="120"/>
        <w:jc w:val="center"/>
      </w:pPr>
      <w:r>
        <w:rPr>
          <w:b/>
          <w:bCs/>
          <w:color w:val="1F2937"/>
          <w:sz w:val="23"/>
          <w:szCs w:val="23"/>
        </w:rPr>
        <w:t xml:space="preserve">Chaitanya Sharma (2410031341)</w:t>
      </w:r>
    </w:p>
    <w:p>
      <w:pPr>
        <w:spacing w:after="200"/>
      </w:pPr>
    </w:p>
    <w:p>
      <w:pPr>
        <w:spacing w:after="120"/>
        <w:jc w:val="center"/>
      </w:pPr>
      <w:r>
        <w:rPr>
          <w:b/>
          <w:bCs/>
          <w:color w:val="1F2937"/>
          <w:sz w:val="22"/>
          <w:szCs w:val="22"/>
        </w:rPr>
        <w:t xml:space="preserve">Under the guidance of Dr. Pranav Srivastava</w:t>
      </w:r>
    </w:p>
    <w:p>
      <w:pPr>
        <w:spacing w:after="400"/>
      </w:pPr>
    </w:p>
    <w:p>
      <w:pPr>
        <w:spacing w:after="120"/>
        <w:jc w:val="center"/>
      </w:pPr>
      <w:r>
        <w:rPr>
          <w:b/>
          <w:bCs/>
          <w:color w:val="1F2937"/>
          <w:sz w:val="22"/>
          <w:szCs w:val="22"/>
        </w:rPr>
        <w:t xml:space="preserve">SCHOOL OF COMPUTER SCIENCE AND ENGINEERING</w:t>
      </w:r>
    </w:p>
    <w:p>
      <w:pPr>
        <w:spacing w:after="120"/>
        <w:jc w:val="center"/>
      </w:pPr>
      <w:r>
        <w:rPr>
          <w:b/>
          <w:bCs/>
          <w:color w:val="1F2937"/>
          <w:sz w:val="22"/>
          <w:szCs w:val="22"/>
        </w:rPr>
        <w:t xml:space="preserve">IILM UNIVERSITY, GREATER NOIDA</w:t>
      </w:r>
    </w:p>
    <w:p>
      <w:pPr>
        <w:spacing w:after="200"/>
      </w:pPr>
    </w:p>
    <w:p>
      <w:pPr>
        <w:spacing w:after="120"/>
        <w:jc w:val="center"/>
      </w:pPr>
      <w:r>
        <w:rPr>
          <w:b/>
          <w:bCs/>
          <w:color w:val="1F2937"/>
          <w:sz w:val="20"/>
          <w:szCs w:val="20"/>
        </w:rPr>
        <w:t xml:space="preserve">September, 2026</w:t>
      </w:r>
    </w:p>
    <w:p>
      <w:r>
        <w:br w:type="page"/>
      </w:r>
    </w:p>
    <w:p>
      <w:pPr>
        <w:pStyle w:val="Heading1"/>
        <w:spacing w:after="160" w:before="320"/>
      </w:pPr>
      <w:r>
        <w:rPr>
          <w:b/>
          <w:bCs/>
          <w:color w:val="1F4E79"/>
          <w:sz w:val="28"/>
          <w:szCs w:val="28"/>
        </w:rPr>
        <w:t xml:space="preserve">CANDIDATE'S DECLARATION</w:t>
      </w:r>
    </w:p>
    <w:p>
      <w:pPr>
        <w:spacing w:after="160" w:line="300"/>
        <w:jc w:val="both"/>
      </w:pPr>
      <w:r>
        <w:rPr>
          <w:i w:val="false"/>
          <w:iCs w:val="false"/>
          <w:color w:val="1F2937"/>
          <w:sz w:val="22"/>
          <w:szCs w:val="22"/>
        </w:rPr>
        <w:t xml:space="preserve">This Mid-Term Evaluation report is submitted for the project entitled "Reinforcement Learning-Based Dynamic Battery Thermal Management for Software Defined Electric Vehicles", in partial fulfillment of the requirements for the degree of Bachelor of Technology, School of Computing Science and Engineering, IILM University, Greater Noida, under the supervision of Dr. Pranav Srivastava.</w:t>
      </w:r>
    </w:p>
    <w:p>
      <w:pPr>
        <w:spacing w:after="160" w:line="300"/>
        <w:jc w:val="both"/>
      </w:pPr>
      <w:r>
        <w:rPr>
          <w:i w:val="false"/>
          <w:iCs w:val="false"/>
          <w:color w:val="1F2937"/>
          <w:sz w:val="22"/>
          <w:szCs w:val="22"/>
        </w:rPr>
        <w:t xml:space="preserve">It presents a design review validating the system design against the working prototype, a summary of prototype/implementation progress, the experimental results obtained to date, and the material prepared for the Mid-Term Presentation and Viva, as required by the Major Project Evaluation Rubrics (around 14–19 September 2026).</w:t>
      </w:r>
    </w:p>
    <w:p>
      <w:pPr>
        <w:spacing w:after="200"/>
      </w:pPr>
    </w:p>
    <w:p>
      <w:pPr>
        <w:spacing w:after="160" w:line="300"/>
        <w:jc w:val="left"/>
      </w:pPr>
      <w:r>
        <w:rPr>
          <w:i w:val="false"/>
          <w:iCs w:val="false"/>
          <w:color w:val="1F2937"/>
          <w:sz w:val="22"/>
          <w:szCs w:val="22"/>
        </w:rPr>
        <w:t xml:space="preserve">Rishuraj Singh (2410030738)</w:t>
      </w:r>
    </w:p>
    <w:p>
      <w:pPr>
        <w:spacing w:after="160" w:line="300"/>
        <w:jc w:val="left"/>
      </w:pPr>
      <w:r>
        <w:rPr>
          <w:i w:val="false"/>
          <w:iCs w:val="false"/>
          <w:color w:val="1F2937"/>
          <w:sz w:val="22"/>
          <w:szCs w:val="22"/>
        </w:rPr>
        <w:t xml:space="preserve">Nihaal Sansanwal (2410031372)</w:t>
      </w:r>
    </w:p>
    <w:p>
      <w:pPr>
        <w:spacing w:after="160" w:line="300"/>
        <w:jc w:val="left"/>
      </w:pPr>
      <w:r>
        <w:rPr>
          <w:i w:val="false"/>
          <w:iCs w:val="false"/>
          <w:color w:val="1F2937"/>
          <w:sz w:val="22"/>
          <w:szCs w:val="22"/>
        </w:rPr>
        <w:t xml:space="preserve">Harshit Parmar (2410031422)</w:t>
      </w:r>
    </w:p>
    <w:p>
      <w:pPr>
        <w:spacing w:after="160" w:line="300"/>
        <w:jc w:val="left"/>
      </w:pPr>
      <w:r>
        <w:rPr>
          <w:i w:val="false"/>
          <w:iCs w:val="false"/>
          <w:color w:val="1F2937"/>
          <w:sz w:val="22"/>
          <w:szCs w:val="22"/>
        </w:rPr>
        <w:t xml:space="preserve">Chaitanya Sharma (2410031341)</w:t>
      </w:r>
    </w:p>
    <w:p>
      <w:pPr>
        <w:spacing w:after="200"/>
      </w:pPr>
    </w:p>
    <w:p>
      <w:pPr>
        <w:spacing w:after="160" w:line="300"/>
        <w:jc w:val="both"/>
      </w:pPr>
      <w:r>
        <w:rPr>
          <w:i w:val="false"/>
          <w:iCs w:val="false"/>
          <w:color w:val="1F2937"/>
          <w:sz w:val="22"/>
          <w:szCs w:val="22"/>
        </w:rPr>
        <w:t xml:space="preserve">This is to certify that the above statement made by the candidates is correct to the best of my knowledge.</w:t>
      </w:r>
    </w:p>
    <w:p>
      <w:pPr>
        <w:spacing w:after="200"/>
      </w:pPr>
    </w:p>
    <w:p>
      <w:pPr>
        <w:spacing w:after="160" w:line="300"/>
        <w:jc w:val="left"/>
      </w:pPr>
      <w:r>
        <w:rPr>
          <w:i w:val="false"/>
          <w:iCs w:val="false"/>
          <w:color w:val="1F2937"/>
          <w:sz w:val="22"/>
          <w:szCs w:val="22"/>
        </w:rPr>
        <w:t xml:space="preserve">Signature of Guide</w:t>
      </w:r>
    </w:p>
    <w:p>
      <w:pPr>
        <w:spacing w:after="160" w:line="300"/>
        <w:jc w:val="left"/>
      </w:pPr>
      <w:r>
        <w:rPr>
          <w:i w:val="false"/>
          <w:iCs w:val="false"/>
          <w:color w:val="1F2937"/>
          <w:sz w:val="22"/>
          <w:szCs w:val="22"/>
        </w:rPr>
        <w:t xml:space="preserve">Name: Dr. Pranav Srivastava</w:t>
      </w:r>
    </w:p>
    <w:p>
      <w:pPr>
        <w:spacing w:after="160" w:line="300"/>
        <w:jc w:val="left"/>
      </w:pPr>
      <w:r>
        <w:rPr>
          <w:i w:val="false"/>
          <w:iCs w:val="false"/>
          <w:color w:val="1F2937"/>
          <w:sz w:val="22"/>
          <w:szCs w:val="22"/>
        </w:rPr>
        <w:t xml:space="preserve">School: School of Computing Science and Engineering</w:t>
      </w:r>
    </w:p>
    <w:p>
      <w:pPr>
        <w:spacing w:after="160" w:line="300"/>
        <w:jc w:val="left"/>
      </w:pPr>
      <w:r>
        <w:rPr>
          <w:i w:val="false"/>
          <w:iCs w:val="false"/>
          <w:color w:val="1F2937"/>
          <w:sz w:val="22"/>
          <w:szCs w:val="22"/>
        </w:rPr>
        <w:t xml:space="preserve">IILM University, Greater Noida</w:t>
      </w:r>
    </w:p>
    <w:p>
      <w:r>
        <w:br w:type="page"/>
      </w:r>
    </w:p>
    <w:p>
      <w:pPr>
        <w:pStyle w:val="Heading1"/>
        <w:spacing w:after="160" w:before="320"/>
      </w:pPr>
      <w:r>
        <w:rPr>
          <w:b/>
          <w:bCs/>
          <w:color w:val="1F4E79"/>
          <w:sz w:val="28"/>
          <w:szCs w:val="28"/>
        </w:rPr>
        <w:t xml:space="preserve">Table of Contents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W w:type="pct" w:w="12%"/>
            <w:shd w:fill="1F4E79" w:val="clear"/>
            <w:tcMar>
              <w:top w:type="dxa" w:w="80"/>
              <w:left w:type="dxa" w:w="100"/>
              <w:bottom w:type="dxa" w:w="80"/>
              <w:right w:type="dxa" w:w="100"/>
            </w:tcMar>
            <w:vAlign w:val="center"/>
          </w:tcPr>
          <w:p>
            <w:r>
              <w:rPr>
                <w:b/>
                <w:bCs/>
                <w:color w:val="FFFFFF"/>
                <w:sz w:val="20"/>
                <w:szCs w:val="20"/>
              </w:rPr>
              <w:t xml:space="preserve">SL. No</w:t>
            </w:r>
          </w:p>
        </w:tc>
        <w:tc>
          <w:tcPr>
            <w:tcW w:type="pct" w:w="68%"/>
            <w:shd w:fill="1F4E79" w:val="clear"/>
            <w:tcMar>
              <w:top w:type="dxa" w:w="80"/>
              <w:left w:type="dxa" w:w="100"/>
              <w:bottom w:type="dxa" w:w="80"/>
              <w:right w:type="dxa" w:w="100"/>
            </w:tcMar>
            <w:vAlign w:val="center"/>
          </w:tcPr>
          <w:p>
            <w:r>
              <w:rPr>
                <w:b/>
                <w:bCs/>
                <w:color w:val="FFFFFF"/>
                <w:sz w:val="20"/>
                <w:szCs w:val="20"/>
              </w:rPr>
              <w:t xml:space="preserve">Section</w:t>
            </w:r>
          </w:p>
        </w:tc>
        <w:tc>
          <w:tcPr>
            <w:tcW w:type="pct" w:w="20%"/>
            <w:shd w:fill="1F4E79" w:val="clear"/>
            <w:tcMar>
              <w:top w:type="dxa" w:w="80"/>
              <w:left w:type="dxa" w:w="100"/>
              <w:bottom w:type="dxa" w:w="80"/>
              <w:right w:type="dxa" w:w="100"/>
            </w:tcMar>
            <w:vAlign w:val="center"/>
          </w:tcPr>
          <w:p>
            <w:r>
              <w:rPr>
                <w:b/>
                <w:bCs/>
                <w:color w:val="FFFFFF"/>
                <w:sz w:val="20"/>
                <w:szCs w:val="20"/>
              </w:rPr>
              <w:t xml:space="preserve">Page no.</w:t>
            </w:r>
          </w:p>
        </w:tc>
      </w:tr>
      <w:tr>
        <w:tc>
          <w:tcPr>
            <w:tcW w:type="pct" w:w="12%"/>
            <w:tcMar>
              <w:top w:type="dxa" w:w="80"/>
              <w:left w:type="dxa" w:w="100"/>
              <w:bottom w:type="dxa" w:w="80"/>
              <w:right w:type="dxa" w:w="100"/>
            </w:tcMar>
            <w:vAlign w:val="center"/>
          </w:tcPr>
          <w:p>
            <w:r>
              <w:rPr>
                <w:b w:val="false"/>
                <w:bCs w:val="false"/>
                <w:color w:val="1F2937"/>
                <w:sz w:val="20"/>
                <w:szCs w:val="20"/>
              </w:rPr>
              <w:t xml:space="preserve">
              </w:t>
            </w:r>
          </w:p>
        </w:tc>
        <w:tc>
          <w:tcPr>
            <w:tcW w:type="pct" w:w="68%"/>
            <w:tcMar>
              <w:top w:type="dxa" w:w="80"/>
              <w:left w:type="dxa" w:w="100"/>
              <w:bottom w:type="dxa" w:w="80"/>
              <w:right w:type="dxa" w:w="100"/>
            </w:tcMar>
            <w:vAlign w:val="center"/>
          </w:tcPr>
          <w:p>
            <w:r>
              <w:rPr>
                <w:b w:val="false"/>
                <w:bCs w:val="false"/>
                <w:color w:val="1F2937"/>
                <w:sz w:val="20"/>
                <w:szCs w:val="20"/>
              </w:rPr>
              <w:t xml:space="preserve">Introduction</w:t>
            </w:r>
          </w:p>
        </w:tc>
        <w:tc>
          <w:tcPr>
            <w:tcW w:type="pct" w:w="20%"/>
            <w:tcMar>
              <w:top w:type="dxa" w:w="80"/>
              <w:left w:type="dxa" w:w="100"/>
              <w:bottom w:type="dxa" w:w="80"/>
              <w:right w:type="dxa" w:w="100"/>
            </w:tcMar>
            <w:vAlign w:val="center"/>
          </w:tcPr>
          <w:p>
            <w:r>
              <w:rPr>
                <w:b w:val="false"/>
                <w:bCs w:val="false"/>
                <w:color w:val="1F2937"/>
                <w:sz w:val="20"/>
                <w:szCs w:val="20"/>
              </w:rPr>
              <w:t xml:space="preserve">
              </w:t>
            </w:r>
          </w:p>
        </w:tc>
      </w:tr>
      <w:tr>
        <w:tc>
          <w:tcPr>
            <w:tcW w:type="pct" w:w="12%"/>
            <w:tcMar>
              <w:top w:type="dxa" w:w="80"/>
              <w:left w:type="dxa" w:w="100"/>
              <w:bottom w:type="dxa" w:w="80"/>
              <w:right w:type="dxa" w:w="100"/>
            </w:tcMar>
            <w:vAlign w:val="center"/>
          </w:tcPr>
          <w:p>
            <w:r>
              <w:rPr>
                <w:b w:val="false"/>
                <w:bCs w:val="false"/>
                <w:color w:val="1F2937"/>
                <w:sz w:val="20"/>
                <w:szCs w:val="20"/>
              </w:rPr>
              <w:t xml:space="preserve">1</w:t>
            </w:r>
          </w:p>
        </w:tc>
        <w:tc>
          <w:tcPr>
            <w:tcW w:type="pct" w:w="68%"/>
            <w:tcMar>
              <w:top w:type="dxa" w:w="80"/>
              <w:left w:type="dxa" w:w="100"/>
              <w:bottom w:type="dxa" w:w="80"/>
              <w:right w:type="dxa" w:w="100"/>
            </w:tcMar>
            <w:vAlign w:val="center"/>
          </w:tcPr>
          <w:p>
            <w:r>
              <w:rPr>
                <w:b w:val="false"/>
                <w:bCs w:val="false"/>
                <w:color w:val="1F2937"/>
                <w:sz w:val="20"/>
                <w:szCs w:val="20"/>
              </w:rPr>
              <w:t xml:space="preserve">Design Review</w:t>
            </w:r>
          </w:p>
        </w:tc>
        <w:tc>
          <w:tcPr>
            <w:tcW w:type="pct" w:w="20%"/>
            <w:tcMar>
              <w:top w:type="dxa" w:w="80"/>
              <w:left w:type="dxa" w:w="100"/>
              <w:bottom w:type="dxa" w:w="80"/>
              <w:right w:type="dxa" w:w="100"/>
            </w:tcMar>
            <w:vAlign w:val="center"/>
          </w:tcPr>
          <w:p>
            <w:r>
              <w:rPr>
                <w:b w:val="false"/>
                <w:bCs w:val="false"/>
                <w:color w:val="1F2937"/>
                <w:sz w:val="20"/>
                <w:szCs w:val="20"/>
              </w:rPr>
              <w:t xml:space="preserve">
              </w:t>
            </w:r>
          </w:p>
        </w:tc>
      </w:tr>
      <w:tr>
        <w:tc>
          <w:tcPr>
            <w:tcW w:type="pct" w:w="12%"/>
            <w:tcMar>
              <w:top w:type="dxa" w:w="80"/>
              <w:left w:type="dxa" w:w="100"/>
              <w:bottom w:type="dxa" w:w="80"/>
              <w:right w:type="dxa" w:w="100"/>
            </w:tcMar>
            <w:vAlign w:val="center"/>
          </w:tcPr>
          <w:p>
            <w:r>
              <w:rPr>
                <w:b w:val="false"/>
                <w:bCs w:val="false"/>
                <w:color w:val="1F2937"/>
                <w:sz w:val="20"/>
                <w:szCs w:val="20"/>
              </w:rPr>
              <w:t xml:space="preserve">2</w:t>
            </w:r>
          </w:p>
        </w:tc>
        <w:tc>
          <w:tcPr>
            <w:tcW w:type="pct" w:w="68%"/>
            <w:tcMar>
              <w:top w:type="dxa" w:w="80"/>
              <w:left w:type="dxa" w:w="100"/>
              <w:bottom w:type="dxa" w:w="80"/>
              <w:right w:type="dxa" w:w="100"/>
            </w:tcMar>
            <w:vAlign w:val="center"/>
          </w:tcPr>
          <w:p>
            <w:r>
              <w:rPr>
                <w:b w:val="false"/>
                <w:bCs w:val="false"/>
                <w:color w:val="1F2937"/>
                <w:sz w:val="20"/>
                <w:szCs w:val="20"/>
              </w:rPr>
              <w:t xml:space="preserve">Prototype / Implementation Progress</w:t>
            </w:r>
          </w:p>
        </w:tc>
        <w:tc>
          <w:tcPr>
            <w:tcW w:type="pct" w:w="20%"/>
            <w:tcMar>
              <w:top w:type="dxa" w:w="80"/>
              <w:left w:type="dxa" w:w="100"/>
              <w:bottom w:type="dxa" w:w="80"/>
              <w:right w:type="dxa" w:w="100"/>
            </w:tcMar>
            <w:vAlign w:val="center"/>
          </w:tcPr>
          <w:p>
            <w:r>
              <w:rPr>
                <w:b w:val="false"/>
                <w:bCs w:val="false"/>
                <w:color w:val="1F2937"/>
                <w:sz w:val="20"/>
                <w:szCs w:val="20"/>
              </w:rPr>
              <w:t xml:space="preserve">
              </w:t>
            </w:r>
          </w:p>
        </w:tc>
      </w:tr>
      <w:tr>
        <w:tc>
          <w:tcPr>
            <w:tcW w:type="pct" w:w="12%"/>
            <w:tcMar>
              <w:top w:type="dxa" w:w="80"/>
              <w:left w:type="dxa" w:w="100"/>
              <w:bottom w:type="dxa" w:w="80"/>
              <w:right w:type="dxa" w:w="100"/>
            </w:tcMar>
            <w:vAlign w:val="center"/>
          </w:tcPr>
          <w:p>
            <w:r>
              <w:rPr>
                <w:b w:val="false"/>
                <w:bCs w:val="false"/>
                <w:color w:val="1F2937"/>
                <w:sz w:val="20"/>
                <w:szCs w:val="20"/>
              </w:rPr>
              <w:t xml:space="preserve">3</w:t>
            </w:r>
          </w:p>
        </w:tc>
        <w:tc>
          <w:tcPr>
            <w:tcW w:type="pct" w:w="68%"/>
            <w:tcMar>
              <w:top w:type="dxa" w:w="80"/>
              <w:left w:type="dxa" w:w="100"/>
              <w:bottom w:type="dxa" w:w="80"/>
              <w:right w:type="dxa" w:w="100"/>
            </w:tcMar>
            <w:vAlign w:val="center"/>
          </w:tcPr>
          <w:p>
            <w:r>
              <w:rPr>
                <w:b w:val="false"/>
                <w:bCs w:val="false"/>
                <w:color w:val="1F2937"/>
                <w:sz w:val="20"/>
                <w:szCs w:val="20"/>
              </w:rPr>
              <w:t xml:space="preserve">Experimental Results</w:t>
            </w:r>
          </w:p>
        </w:tc>
        <w:tc>
          <w:tcPr>
            <w:tcW w:type="pct" w:w="20%"/>
            <w:tcMar>
              <w:top w:type="dxa" w:w="80"/>
              <w:left w:type="dxa" w:w="100"/>
              <w:bottom w:type="dxa" w:w="80"/>
              <w:right w:type="dxa" w:w="100"/>
            </w:tcMar>
            <w:vAlign w:val="center"/>
          </w:tcPr>
          <w:p>
            <w:r>
              <w:rPr>
                <w:b w:val="false"/>
                <w:bCs w:val="false"/>
                <w:color w:val="1F2937"/>
                <w:sz w:val="20"/>
                <w:szCs w:val="20"/>
              </w:rPr>
              <w:t xml:space="preserve">
              </w:t>
            </w:r>
          </w:p>
        </w:tc>
      </w:tr>
      <w:tr>
        <w:tc>
          <w:tcPr>
            <w:tcW w:type="pct" w:w="12%"/>
            <w:tcMar>
              <w:top w:type="dxa" w:w="80"/>
              <w:left w:type="dxa" w:w="100"/>
              <w:bottom w:type="dxa" w:w="80"/>
              <w:right w:type="dxa" w:w="100"/>
            </w:tcMar>
            <w:vAlign w:val="center"/>
          </w:tcPr>
          <w:p>
            <w:r>
              <w:rPr>
                <w:b w:val="false"/>
                <w:bCs w:val="false"/>
                <w:color w:val="1F2937"/>
                <w:sz w:val="20"/>
                <w:szCs w:val="20"/>
              </w:rPr>
              <w:t xml:space="preserve">4</w:t>
            </w:r>
          </w:p>
        </w:tc>
        <w:tc>
          <w:tcPr>
            <w:tcW w:type="pct" w:w="68%"/>
            <w:tcMar>
              <w:top w:type="dxa" w:w="80"/>
              <w:left w:type="dxa" w:w="100"/>
              <w:bottom w:type="dxa" w:w="80"/>
              <w:right w:type="dxa" w:w="100"/>
            </w:tcMar>
            <w:vAlign w:val="center"/>
          </w:tcPr>
          <w:p>
            <w:r>
              <w:rPr>
                <w:b w:val="false"/>
                <w:bCs w:val="false"/>
                <w:color w:val="1F2937"/>
                <w:sz w:val="20"/>
                <w:szCs w:val="20"/>
              </w:rPr>
              <w:t xml:space="preserve">Mid-Term Presentation Outline</w:t>
            </w:r>
          </w:p>
        </w:tc>
        <w:tc>
          <w:tcPr>
            <w:tcW w:type="pct" w:w="20%"/>
            <w:tcMar>
              <w:top w:type="dxa" w:w="80"/>
              <w:left w:type="dxa" w:w="100"/>
              <w:bottom w:type="dxa" w:w="80"/>
              <w:right w:type="dxa" w:w="100"/>
            </w:tcMar>
            <w:vAlign w:val="center"/>
          </w:tcPr>
          <w:p>
            <w:r>
              <w:rPr>
                <w:b w:val="false"/>
                <w:bCs w:val="false"/>
                <w:color w:val="1F2937"/>
                <w:sz w:val="20"/>
                <w:szCs w:val="20"/>
              </w:rPr>
              <w:t xml:space="preserve">
              </w:t>
            </w:r>
          </w:p>
        </w:tc>
      </w:tr>
      <w:tr>
        <w:tc>
          <w:tcPr>
            <w:tcW w:type="pct" w:w="12%"/>
            <w:tcMar>
              <w:top w:type="dxa" w:w="80"/>
              <w:left w:type="dxa" w:w="100"/>
              <w:bottom w:type="dxa" w:w="80"/>
              <w:right w:type="dxa" w:w="100"/>
            </w:tcMar>
            <w:vAlign w:val="center"/>
          </w:tcPr>
          <w:p>
            <w:r>
              <w:rPr>
                <w:b w:val="false"/>
                <w:bCs w:val="false"/>
                <w:color w:val="1F2937"/>
                <w:sz w:val="20"/>
                <w:szCs w:val="20"/>
              </w:rPr>
              <w:t xml:space="preserve">5</w:t>
            </w:r>
          </w:p>
        </w:tc>
        <w:tc>
          <w:tcPr>
            <w:tcW w:type="pct" w:w="68%"/>
            <w:tcMar>
              <w:top w:type="dxa" w:w="80"/>
              <w:left w:type="dxa" w:w="100"/>
              <w:bottom w:type="dxa" w:w="80"/>
              <w:right w:type="dxa" w:w="100"/>
            </w:tcMar>
            <w:vAlign w:val="center"/>
          </w:tcPr>
          <w:p>
            <w:r>
              <w:rPr>
                <w:b w:val="false"/>
                <w:bCs w:val="false"/>
                <w:color w:val="1F2937"/>
                <w:sz w:val="20"/>
                <w:szCs w:val="20"/>
              </w:rPr>
              <w:t xml:space="preserve">Anticipated Viva Questions &amp; Answers</w:t>
            </w:r>
          </w:p>
        </w:tc>
        <w:tc>
          <w:tcPr>
            <w:tcW w:type="pct" w:w="20%"/>
            <w:tcMar>
              <w:top w:type="dxa" w:w="80"/>
              <w:left w:type="dxa" w:w="100"/>
              <w:bottom w:type="dxa" w:w="80"/>
              <w:right w:type="dxa" w:w="100"/>
            </w:tcMar>
            <w:vAlign w:val="center"/>
          </w:tcPr>
          <w:p>
            <w:r>
              <w:rPr>
                <w:b w:val="false"/>
                <w:bCs w:val="false"/>
                <w:color w:val="1F2937"/>
                <w:sz w:val="20"/>
                <w:szCs w:val="20"/>
              </w:rPr>
              <w:t xml:space="preserve">
              </w:t>
            </w:r>
          </w:p>
        </w:tc>
      </w:tr>
    </w:tbl>
    <w:p>
      <w:r>
        <w:br w:type="page"/>
      </w:r>
    </w:p>
    <w:p>
      <w:pPr>
        <w:pStyle w:val="Heading1"/>
        <w:spacing w:after="160" w:before="320"/>
      </w:pPr>
      <w:r>
        <w:rPr>
          <w:b/>
          <w:bCs/>
          <w:color w:val="1F4E79"/>
          <w:sz w:val="28"/>
          <w:szCs w:val="28"/>
        </w:rPr>
        <w:t xml:space="preserve">INTRODUCTION</w:t>
      </w:r>
    </w:p>
    <w:p>
      <w:pPr>
        <w:spacing w:after="160" w:line="300"/>
        <w:jc w:val="both"/>
      </w:pPr>
      <w:r>
        <w:rPr>
          <w:i w:val="false"/>
          <w:iCs w:val="false"/>
          <w:color w:val="1F2937"/>
          <w:sz w:val="22"/>
          <w:szCs w:val="22"/>
        </w:rPr>
        <w:t xml:space="preserve">This report supports the Mid-Term Evaluation of the RL-Based Dynamic Battery Thermal Management (RL-BTMS) project, whose assessment criteria (per the Major Project Evaluation Rubrics for B.Tech. Pre-final Year 2026-27) are: prototype or initial implementation, design validation, experimental results, technical presentation, and a question-and-answer session, together worth 20 marks. It draws directly on the Phase-II system design and the Phase-III implementation and results, reframing them for design validation and presentation purposes rather than repeating them in full.</w:t>
      </w:r>
    </w:p>
    <w:p>
      <w:r>
        <w:br w:type="page"/>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00"/>
        <w:gridCol w:w="3000"/>
        <w:gridCol w:w="3000"/>
      </w:tblGrid>
      <w:tr>
        <w:tc>
          <w:tcPr>
            <w:tcW w:w="0" w:type="auto"/>
            <w:shd w:fill="1F4E78" w:val="clear"/>
          </w:tcPr>
          <w:p>
            <w:pPr>
              <w:spacing w:after="160" w:line="300"/>
              <w:jc w:val="both"/>
            </w:pPr>
            <w:r>
              <w:rPr>
                <w:b/>
              </w:rPr>
              <w:t>Metric</w:t>
            </w:r>
          </w:p>
        </w:tc>
        <w:tc>
          <w:tcPr>
            <w:tcW w:w="0" w:type="auto"/>
            <w:shd w:fill="1F4E78" w:val="clear"/>
          </w:tcPr>
          <w:p>
            <w:pPr>
              <w:spacing w:after="160" w:line="300"/>
              <w:jc w:val="both"/>
            </w:pPr>
            <w:r>
              <w:rPr>
                <w:b/>
              </w:rPr>
              <w:t>Verified result</w:t>
            </w:r>
          </w:p>
        </w:tc>
        <w:tc>
          <w:tcPr>
            <w:tcW w:w="0" w:type="auto"/>
            <w:shd w:fill="1F4E78" w:val="clear"/>
          </w:tcPr>
          <w:p>
            <w:pPr>
              <w:spacing w:after="160" w:line="300"/>
              <w:jc w:val="both"/>
            </w:pPr>
            <w:r>
              <w:rPr>
                <w:b/>
              </w:rPr>
              <w:t>Evidence file</w:t>
            </w:r>
          </w:p>
        </w:tc>
      </w:tr>
      <w:tr>
        <w:tc>
          <w:tcPr>
            <w:tcW w:w="0" w:type="auto"/>
          </w:tcPr>
          <w:p>
            <w:pPr>
              <w:spacing w:after="160" w:line="300"/>
              <w:jc w:val="both"/>
            </w:pPr>
            <w:r>
              <w:t>Hardness gate</w:t>
            </w:r>
          </w:p>
        </w:tc>
        <w:tc>
          <w:tcPr>
            <w:tcW w:w="0" w:type="auto"/>
          </w:tcPr>
          <w:p>
            <w:pPr>
              <w:spacing w:after="160" w:line="300"/>
              <w:jc w:val="both"/>
            </w:pPr>
            <w:r>
              <w:t>Null cooling violates hot and fast-charge band</w:t>
            </w:r>
          </w:p>
        </w:tc>
        <w:tc>
          <w:tcPr>
            <w:tcW w:w="0" w:type="auto"/>
          </w:tcPr>
          <w:p>
            <w:pPr>
              <w:spacing w:after="160" w:line="300"/>
              <w:jc w:val="both"/>
            </w:pPr>
            <w:r>
              <w:t>hardness_gate.json</w:t>
            </w:r>
          </w:p>
        </w:tc>
      </w:tr>
      <w:tr>
        <w:tc>
          <w:tcPr>
            <w:tcW w:w="0" w:type="auto"/>
          </w:tcPr>
          <w:p>
            <w:pPr>
              <w:spacing w:after="160" w:line="300"/>
              <w:jc w:val="both"/>
            </w:pPr>
            <w:r>
              <w:t>PID tuning</w:t>
            </w:r>
          </w:p>
        </w:tc>
        <w:tc>
          <w:tcPr>
            <w:tcW w:w="0" w:type="auto"/>
          </w:tcPr>
          <w:p>
            <w:pPr>
              <w:spacing w:after="160" w:line="300"/>
              <w:jc w:val="both"/>
            </w:pPr>
            <w:r>
              <w:t>39 C, Kp 0.6, Ki 0, Kd 0</w:t>
            </w:r>
          </w:p>
        </w:tc>
        <w:tc>
          <w:tcPr>
            <w:tcW w:w="0" w:type="auto"/>
          </w:tcPr>
          <w:p>
            <w:pPr>
              <w:spacing w:after="160" w:line="300"/>
              <w:jc w:val="both"/>
            </w:pPr>
            <w:r>
              <w:t>pid_tuning.json</w:t>
            </w:r>
          </w:p>
        </w:tc>
      </w:tr>
      <w:tr>
        <w:tc>
          <w:tcPr>
            <w:tcW w:w="0" w:type="auto"/>
          </w:tcPr>
          <w:p>
            <w:pPr>
              <w:spacing w:after="160" w:line="300"/>
              <w:jc w:val="both"/>
            </w:pPr>
            <w:r>
              <w:t>Shielded RL cost</w:t>
            </w:r>
          </w:p>
        </w:tc>
        <w:tc>
          <w:tcPr>
            <w:tcW w:w="0" w:type="auto"/>
          </w:tcPr>
          <w:p>
            <w:pPr>
              <w:spacing w:after="160" w:line="300"/>
              <w:jc w:val="both"/>
            </w:pPr>
            <w:r>
              <w:t>PPO 1841.61; SAC 1768.50; TD3 1750.04</w:t>
            </w:r>
          </w:p>
        </w:tc>
        <w:tc>
          <w:tcPr>
            <w:tcW w:w="0" w:type="auto"/>
          </w:tcPr>
          <w:p>
            <w:pPr>
              <w:spacing w:after="160" w:line="300"/>
              <w:jc w:val="both"/>
            </w:pPr>
            <w:r>
              <w:t>policy_evaluation_summary.csv</w:t>
            </w:r>
          </w:p>
        </w:tc>
      </w:tr>
      <w:tr>
        <w:tc>
          <w:tcPr>
            <w:tcW w:w="0" w:type="auto"/>
          </w:tcPr>
          <w:p>
            <w:pPr>
              <w:spacing w:after="160" w:line="300"/>
              <w:jc w:val="both"/>
            </w:pPr>
            <w:r>
              <w:t>Unshielded RL violation</w:t>
            </w:r>
          </w:p>
        </w:tc>
        <w:tc>
          <w:tcPr>
            <w:tcW w:w="0" w:type="auto"/>
          </w:tcPr>
          <w:p>
            <w:pPr>
              <w:spacing w:after="160" w:line="300"/>
              <w:jc w:val="both"/>
            </w:pPr>
            <w:r>
              <w:t>PPO 42.28%; SAC 41.15%; TD3 42.08%</w:t>
            </w:r>
          </w:p>
        </w:tc>
        <w:tc>
          <w:tcPr>
            <w:tcW w:w="0" w:type="auto"/>
          </w:tcPr>
          <w:p>
            <w:pPr>
              <w:spacing w:after="160" w:line="300"/>
              <w:jc w:val="both"/>
            </w:pPr>
            <w:r>
              <w:t>policy_evaluation_summary.csv</w:t>
            </w:r>
          </w:p>
        </w:tc>
      </w:tr>
      <w:tr>
        <w:tc>
          <w:tcPr>
            <w:tcW w:w="0" w:type="auto"/>
          </w:tcPr>
          <w:p>
            <w:pPr>
              <w:spacing w:after="160" w:line="300"/>
              <w:jc w:val="both"/>
            </w:pPr>
            <w:r>
              <w:t>ONNX latency</w:t>
            </w:r>
          </w:p>
        </w:tc>
        <w:tc>
          <w:tcPr>
            <w:tcW w:w="0" w:type="auto"/>
          </w:tcPr>
          <w:p>
            <w:pPr>
              <w:spacing w:after="160" w:line="300"/>
              <w:jc w:val="both"/>
            </w:pPr>
            <w:r>
              <w:t>0.0170 ms median on laptop CPU</w:t>
            </w:r>
          </w:p>
        </w:tc>
        <w:tc>
          <w:tcPr>
            <w:tcW w:w="0" w:type="auto"/>
          </w:tcPr>
          <w:p>
            <w:pPr>
              <w:spacing w:after="160" w:line="300"/>
              <w:jc w:val="both"/>
            </w:pPr>
            <w:r>
              <w:t>deployment_benchmark_sac_seed0.json</w:t>
            </w:r>
          </w:p>
        </w:tc>
      </w:tr>
    </w:tbl>
    <w:p>
      <w:pPr>
        <w:spacing w:after="160" w:line="300"/>
        <w:jc w:val="both"/>
      </w:pPr>
      <w:r>
        <w:t>Unshielded PPO, SAC and TD3 each violated the thermal band for more than 41% of evaluated time. This result demonstrates why a soft reward penalty cannot serve as a safety guarantee. The correct presentation is a supervised controller study with measured intervention frequency, rather than an independently safe RL result.</w:t>
      </w:r>
    </w:p>
    <w:p>
      <w:pPr>
        <w:spacing w:after="160" w:line="300"/>
        <w:jc w:val="both"/>
      </w:pPr>
      <w:r>
        <w:t>The current results replace the previous synthetic-cycle 95% energy-saving headline. On the eight fixed held-out episodes with the shield enabled, all controllers recorded zero band violation. PPO, SAC and TD3 required the shield for 22.70%, 19.63% and 21.85% of steps respectively. Their mean costs were 1841.61, 1768.50 and 1750.04, versus 1737.38 for the fairly tuned PID. The study therefore does not claim that RL has beaten PID at the present budget.</w:t>
      </w:r>
    </w:p>
    <w:p>
      <w:pPr>
        <w:pStyle w:val="Heading1"/>
        <w:spacing w:after="160" w:before="320"/>
      </w:pPr>
      <w:r>
        <w:t>3. EXPERIMENTAL RESULTS</w:t>
      </w:r>
    </w:p>
    <w:p>
      <w:pPr>
        <w:spacing w:after="160" w:line="300"/>
        <w:jc w:val="both"/>
      </w:pPr>
      <w:r>
        <w:t>Measured pack validation remains open: conductances and pack hardware mass are engineering assumptions. The 20,000-step policies need longer and broader training before any superiority claim. The deployment result is a laptop CPU benchmark, not a vehicle ECU certification. The safety shield has not been formally verified beyond the simulated cases.</w:t>
      </w:r>
    </w:p>
    <w:p>
      <w:pPr>
        <w:pStyle w:val="Heading2"/>
        <w:spacing w:after="120" w:before="220"/>
      </w:pPr>
      <w:r>
        <w:t>2.2 What remains</w:t>
      </w:r>
    </w:p>
    <w:p>
      <w:pPr>
        <w:spacing w:after="160" w:line="300"/>
        <w:jc w:val="both"/>
      </w:pPr>
      <w:r>
        <w:t>The working pipeline includes longitudinal road load, a first-order electrical model, four thermal nodes, independent cooling actuators, Gymnasium environment, fixed evaluation episodes, controller baselines, PPO/SAC/TD3 training and an ONNX/INT8 laptop deployment benchmark. The null-controller hardness gate demonstrates that doing nothing is unsafe in hot and fast-charge scenarios.</w:t>
      </w:r>
    </w:p>
    <w:p>
      <w:pPr>
        <w:pStyle w:val="Heading2"/>
        <w:spacing w:after="120" w:before="220"/>
      </w:pPr>
      <w:r>
        <w:t>2.1 What is working</w:t>
      </w:r>
    </w:p>
    <w:p>
      <w:pPr>
        <w:pStyle w:val="Heading1"/>
        <w:spacing w:after="160" w:before="320"/>
      </w:pPr>
      <w:r>
        <w:t>2. PROTOTYPE AND IMPLEMENTATION PROGRESS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00"/>
        <w:gridCol w:w="3000"/>
        <w:gridCol w:w="3000"/>
      </w:tblGrid>
      <w:tr>
        <w:tc>
          <w:tcPr>
            <w:tcW w:w="0" w:type="auto"/>
            <w:shd w:fill="1F4E78" w:val="clear"/>
          </w:tcPr>
          <w:p>
            <w:pPr>
              <w:spacing w:after="160" w:line="300"/>
              <w:jc w:val="both"/>
            </w:pPr>
            <w:r>
              <w:rPr>
                <w:b/>
              </w:rPr>
              <w:t>Design element</w:t>
            </w:r>
          </w:p>
        </w:tc>
        <w:tc>
          <w:tcPr>
            <w:tcW w:w="0" w:type="auto"/>
            <w:shd w:fill="1F4E78" w:val="clear"/>
          </w:tcPr>
          <w:p>
            <w:pPr>
              <w:spacing w:after="160" w:line="300"/>
              <w:jc w:val="both"/>
            </w:pPr>
            <w:r>
              <w:rPr>
                <w:b/>
              </w:rPr>
              <w:t>Rebuilt implementation</w:t>
            </w:r>
          </w:p>
        </w:tc>
        <w:tc>
          <w:tcPr>
            <w:tcW w:w="0" w:type="auto"/>
            <w:shd w:fill="1F4E78" w:val="clear"/>
          </w:tcPr>
          <w:p>
            <w:pPr>
              <w:spacing w:after="160" w:line="300"/>
              <w:jc w:val="both"/>
            </w:pPr>
            <w:r>
              <w:rPr>
                <w:b/>
              </w:rPr>
              <w:t>Review outcome</w:t>
            </w:r>
          </w:p>
        </w:tc>
      </w:tr>
      <w:tr>
        <w:tc>
          <w:tcPr>
            <w:tcW w:w="0" w:type="auto"/>
          </w:tcPr>
          <w:p>
            <w:pPr>
              <w:spacing w:after="160" w:line="300"/>
              <w:jc w:val="both"/>
            </w:pPr>
            <w:r>
              <w:t>Thermal state</w:t>
            </w:r>
          </w:p>
        </w:tc>
        <w:tc>
          <w:tcPr>
            <w:tcW w:w="0" w:type="auto"/>
          </w:tcPr>
          <w:p>
            <w:pPr>
              <w:spacing w:after="160" w:line="300"/>
              <w:jc w:val="both"/>
            </w:pPr>
            <w:r>
              <w:t>Four nodes with coolant warming and spatial delta T</w:t>
            </w:r>
          </w:p>
        </w:tc>
        <w:tc>
          <w:tcPr>
            <w:tcW w:w="0" w:type="auto"/>
          </w:tcPr>
          <w:p>
            <w:pPr>
              <w:spacing w:after="160" w:line="300"/>
              <w:jc w:val="both"/>
            </w:pPr>
            <w:r>
              <w:t>Corrects the one-node limitation</w:t>
            </w:r>
          </w:p>
        </w:tc>
      </w:tr>
      <w:tr>
        <w:tc>
          <w:tcPr>
            <w:tcW w:w="0" w:type="auto"/>
          </w:tcPr>
          <w:p>
            <w:pPr>
              <w:spacing w:after="160" w:line="300"/>
              <w:jc w:val="both"/>
            </w:pPr>
            <w:r>
              <w:t>Action space</w:t>
            </w:r>
          </w:p>
        </w:tc>
        <w:tc>
          <w:tcPr>
            <w:tcW w:w="0" w:type="auto"/>
          </w:tcPr>
          <w:p>
            <w:pPr>
              <w:spacing w:after="160" w:line="300"/>
              <w:jc w:val="both"/>
            </w:pPr>
            <w:r>
              <w:t>Continuous pump, fan and chiller commands</w:t>
            </w:r>
          </w:p>
        </w:tc>
        <w:tc>
          <w:tcPr>
            <w:tcW w:w="0" w:type="auto"/>
          </w:tcPr>
          <w:p>
            <w:pPr>
              <w:spacing w:after="160" w:line="300"/>
              <w:jc w:val="both"/>
            </w:pPr>
            <w:r>
              <w:t>Implements multi-actuator coordination</w:t>
            </w:r>
          </w:p>
        </w:tc>
      </w:tr>
      <w:tr>
        <w:tc>
          <w:tcPr>
            <w:tcW w:w="0" w:type="auto"/>
          </w:tcPr>
          <w:p>
            <w:pPr>
              <w:spacing w:after="160" w:line="300"/>
              <w:jc w:val="both"/>
            </w:pPr>
            <w:r>
              <w:t>Drive inputs</w:t>
            </w:r>
          </w:p>
        </w:tc>
        <w:tc>
          <w:tcPr>
            <w:tcW w:w="0" w:type="auto"/>
          </w:tcPr>
          <w:p>
            <w:pPr>
              <w:spacing w:after="160" w:line="300"/>
              <w:jc w:val="both"/>
            </w:pPr>
            <w:r>
              <w:t>Real UDDS, HWFET, US06, ECE and EUDC traces with hashes</w:t>
            </w:r>
          </w:p>
        </w:tc>
        <w:tc>
          <w:tcPr>
            <w:tcW w:w="0" w:type="auto"/>
          </w:tcPr>
          <w:p>
            <w:pPr>
              <w:spacing w:after="160" w:line="300"/>
              <w:jc w:val="both"/>
            </w:pPr>
            <w:r>
              <w:t>Synthetic inputs retired</w:t>
            </w:r>
          </w:p>
        </w:tc>
      </w:tr>
      <w:tr>
        <w:tc>
          <w:tcPr>
            <w:tcW w:w="0" w:type="auto"/>
          </w:tcPr>
          <w:p>
            <w:pPr>
              <w:spacing w:after="160" w:line="300"/>
              <w:jc w:val="both"/>
            </w:pPr>
            <w:r>
              <w:t>Reward metric</w:t>
            </w:r>
          </w:p>
        </w:tc>
        <w:tc>
          <w:tcPr>
            <w:tcW w:w="0" w:type="auto"/>
          </w:tcPr>
          <w:p>
            <w:pPr>
              <w:spacing w:after="160" w:line="300"/>
              <w:jc w:val="both"/>
            </w:pPr>
            <w:r>
              <w:t>True spatial delta T across nodes</w:t>
            </w:r>
          </w:p>
        </w:tc>
        <w:tc>
          <w:tcPr>
            <w:tcW w:w="0" w:type="auto"/>
          </w:tcPr>
          <w:p>
            <w:pPr>
              <w:spacing w:after="160" w:line="300"/>
              <w:jc w:val="both"/>
            </w:pPr>
            <w:r>
              <w:t>Temporal rate proxy retired</w:t>
            </w:r>
          </w:p>
        </w:tc>
      </w:tr>
      <w:tr>
        <w:tc>
          <w:tcPr>
            <w:tcW w:w="0" w:type="auto"/>
          </w:tcPr>
          <w:p>
            <w:pPr>
              <w:spacing w:after="160" w:line="300"/>
              <w:jc w:val="both"/>
            </w:pPr>
            <w:r>
              <w:t>Algorithms</w:t>
            </w:r>
          </w:p>
        </w:tc>
        <w:tc>
          <w:tcPr>
            <w:tcW w:w="0" w:type="auto"/>
          </w:tcPr>
          <w:p>
            <w:pPr>
              <w:spacing w:after="160" w:line="300"/>
              <w:jc w:val="both"/>
            </w:pPr>
            <w:r>
              <w:t>PPO, SAC and TD3, five seeds each</w:t>
            </w:r>
          </w:p>
        </w:tc>
        <w:tc>
          <w:tcPr>
            <w:tcW w:w="0" w:type="auto"/>
          </w:tcPr>
          <w:p>
            <w:pPr>
              <w:spacing w:after="160" w:line="300"/>
              <w:jc w:val="both"/>
            </w:pPr>
            <w:r>
              <w:t>Deep RL executed; DQN not included</w:t>
            </w:r>
          </w:p>
        </w:tc>
      </w:tr>
      <w:tr>
        <w:tc>
          <w:tcPr>
            <w:tcW w:w="0" w:type="auto"/>
          </w:tcPr>
          <w:p>
            <w:pPr>
              <w:spacing w:after="160" w:line="300"/>
              <w:jc w:val="both"/>
            </w:pPr>
            <w:r>
              <w:t>Baselines</w:t>
            </w:r>
          </w:p>
        </w:tc>
        <w:tc>
          <w:tcPr>
            <w:tcW w:w="0" w:type="auto"/>
          </w:tcPr>
          <w:p>
            <w:pPr>
              <w:spacing w:after="160" w:line="300"/>
              <w:jc w:val="both"/>
            </w:pPr>
            <w:r>
              <w:t>Tuned PID, bang-bang, null and sampling MPC</w:t>
            </w:r>
          </w:p>
        </w:tc>
        <w:tc>
          <w:tcPr>
            <w:tcW w:w="0" w:type="auto"/>
          </w:tcPr>
          <w:p>
            <w:pPr>
              <w:spacing w:after="160" w:line="300"/>
              <w:jc w:val="both"/>
            </w:pPr>
            <w:r>
              <w:t>Fair PID tuning and MPC comparison added</w:t>
            </w:r>
          </w:p>
        </w:tc>
      </w:tr>
      <w:tr>
        <w:tc>
          <w:tcPr>
            <w:tcW w:w="0" w:type="auto"/>
          </w:tcPr>
          <w:p>
            <w:pPr>
              <w:spacing w:after="160" w:line="300"/>
              <w:jc w:val="both"/>
            </w:pPr>
            <w:r>
              <w:t>Safety</w:t>
            </w:r>
          </w:p>
        </w:tc>
        <w:tc>
          <w:tcPr>
            <w:tcW w:w="0" w:type="auto"/>
          </w:tcPr>
          <w:p>
            <w:pPr>
              <w:spacing w:after="160" w:line="300"/>
              <w:jc w:val="both"/>
            </w:pPr>
            <w:r>
              <w:t>Supervisory shield measured separately</w:t>
            </w:r>
          </w:p>
        </w:tc>
        <w:tc>
          <w:tcPr>
            <w:tcW w:w="0" w:type="auto"/>
          </w:tcPr>
          <w:p>
            <w:pPr>
              <w:spacing w:after="160" w:line="300"/>
              <w:jc w:val="both"/>
            </w:pPr>
            <w:r>
              <w:t>Zero violation is conditional on intervention</w:t>
            </w:r>
          </w:p>
        </w:tc>
      </w:tr>
    </w:tbl>
    <w:p>
      <w:pPr>
        <w:spacing w:after="160" w:line="300"/>
        <w:jc w:val="both"/>
      </w:pPr>
      <w:r>
        <w:t>The rebuilt implementation deliberately corrects material deviations in the earlier prototype. The previous statement that no deviations existed is withdrawn. The original implementation used one thermal node, a scalar cooling command, synthetic profiles and a temporal max |dT/dt| proxy. Those choices could not implement the promised inter-cell gradient or multi-actuator coordination.</w:t>
      </w:r>
    </w:p>
    <w:p>
      <w:pPr>
        <w:pStyle w:val="Heading1"/>
        <w:spacing w:after="160" w:before="320"/>
      </w:pPr>
      <w:r>
        <w:t>1. DESIGN REVIEW</w:t>
      </w:r>
    </w:p>
    <w:p>
      <w:pPr>
        <w:pStyle w:val="Heading1"/>
        <w:spacing w:after="160" w:before="320"/>
      </w:pPr>
      <w:r>
        <w:rPr>
          <w:b/>
          <w:bCs/>
          <w:color w:val="1F4E79"/>
          <w:sz w:val="28"/>
          <w:szCs w:val="28"/>
        </w:rPr>
        <w:t xml:space="preserve">4. MID-TERM PRESENTATION OUTLINE</w:t>
      </w:r>
    </w:p>
    <w:p>
      <w:pPr>
        <w:spacing w:after="160" w:line="300"/>
        <w:jc w:val="both"/>
      </w:pPr>
      <w:r>
        <w:rPr>
          <w:i w:val="false"/>
          <w:iCs w:val="false"/>
          <w:color w:val="1F2937"/>
          <w:sz w:val="22"/>
          <w:szCs w:val="22"/>
        </w:rPr>
        <w:t xml:space="preserve">Suggested slide-by-slide structure for the Mid-Term presentation (aim for 8–10 minutes + Q&amp;A).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W w:type="pct" w:w="10%"/>
            <w:shd w:fill="1F4E79" w:val="clear"/>
            <w:tcMar>
              <w:top w:type="dxa" w:w="80"/>
              <w:left w:type="dxa" w:w="100"/>
              <w:bottom w:type="dxa" w:w="80"/>
              <w:right w:type="dxa" w:w="100"/>
            </w:tcMar>
            <w:vAlign w:val="center"/>
          </w:tcPr>
          <w:p>
            <w:r>
              <w:rPr>
                <w:b/>
                <w:bCs/>
                <w:color w:val="FFFFFF"/>
                <w:sz w:val="20"/>
                <w:szCs w:val="20"/>
              </w:rPr>
              <w:t xml:space="preserve">Slide</w:t>
            </w:r>
          </w:p>
        </w:tc>
        <w:tc>
          <w:tcPr>
            <w:tcW w:type="pct" w:w="55%"/>
            <w:shd w:fill="1F4E79" w:val="clear"/>
            <w:tcMar>
              <w:top w:type="dxa" w:w="80"/>
              <w:left w:type="dxa" w:w="100"/>
              <w:bottom w:type="dxa" w:w="80"/>
              <w:right w:type="dxa" w:w="100"/>
            </w:tcMar>
            <w:vAlign w:val="center"/>
          </w:tcPr>
          <w:p>
            <w:r>
              <w:rPr>
                <w:b/>
                <w:bCs/>
                <w:color w:val="FFFFFF"/>
                <w:sz w:val="20"/>
                <w:szCs w:val="20"/>
              </w:rPr>
              <w:t xml:space="preserve">Content</w:t>
            </w:r>
          </w:p>
        </w:tc>
        <w:tc>
          <w:tcPr>
            <w:tcW w:type="pct" w:w="35%"/>
            <w:shd w:fill="1F4E79" w:val="clear"/>
            <w:tcMar>
              <w:top w:type="dxa" w:w="80"/>
              <w:left w:type="dxa" w:w="100"/>
              <w:bottom w:type="dxa" w:w="80"/>
              <w:right w:type="dxa" w:w="100"/>
            </w:tcMar>
            <w:vAlign w:val="center"/>
          </w:tcPr>
          <w:p>
            <w:r>
              <w:rPr>
                <w:b/>
                <w:bCs/>
                <w:color w:val="FFFFFF"/>
                <w:sz w:val="20"/>
                <w:szCs w:val="20"/>
              </w:rPr>
              <w:t xml:space="preserve">Source</w:t>
            </w:r>
          </w:p>
        </w:tc>
      </w:tr>
      <w:tr>
        <w:tc>
          <w:tcPr>
            <w:tcW w:type="pct" w:w="20%"/>
            <w:tcMar>
              <w:top w:type="dxa" w:w="80"/>
              <w:left w:type="dxa" w:w="100"/>
              <w:bottom w:type="dxa" w:w="80"/>
              <w:right w:type="dxa" w:w="100"/>
            </w:tcMar>
            <w:vAlign w:val="center"/>
          </w:tcPr>
          <w:p>
            <w:r>
              <w:rPr>
                <w:b w:val="false"/>
                <w:bCs w:val="false"/>
                <w:color w:val="1F2937"/>
                <w:sz w:val="20"/>
                <w:szCs w:val="20"/>
              </w:rPr>
              <w:t xml:space="preserve">1</w:t>
            </w:r>
          </w:p>
        </w:tc>
        <w:tc>
          <w:tcPr>
            <w:tcW w:type="pct" w:w="20%"/>
            <w:tcMar>
              <w:top w:type="dxa" w:w="80"/>
              <w:left w:type="dxa" w:w="100"/>
              <w:bottom w:type="dxa" w:w="80"/>
              <w:right w:type="dxa" w:w="100"/>
            </w:tcMar>
            <w:vAlign w:val="center"/>
          </w:tcPr>
          <w:p>
            <w:r>
              <w:rPr>
                <w:b w:val="false"/>
                <w:bCs w:val="false"/>
                <w:color w:val="1F2937"/>
                <w:sz w:val="20"/>
                <w:szCs w:val="20"/>
              </w:rPr>
              <w:t xml:space="preserve">Title, team, guide</w:t>
            </w:r>
          </w:p>
        </w:tc>
        <w:tc>
          <w:tcPr>
            <w:tcW w:type="pct" w:w="20%"/>
            <w:tcMar>
              <w:top w:type="dxa" w:w="80"/>
              <w:left w:type="dxa" w:w="100"/>
              <w:bottom w:type="dxa" w:w="80"/>
              <w:right w:type="dxa" w:w="100"/>
            </w:tcMar>
            <w:vAlign w:val="center"/>
          </w:tcPr>
          <w:p>
            <w:r>
              <w:rPr>
                <w:b w:val="false"/>
                <w:bCs w:val="false"/>
                <w:color w:val="1F2937"/>
                <w:sz w:val="20"/>
                <w:szCs w:val="20"/>
              </w:rPr>
              <w:t xml:space="preserve">—</w:t>
            </w:r>
          </w:p>
        </w:tc>
      </w:tr>
      <w:tr>
        <w:tc>
          <w:tcPr>
            <w:tcW w:type="pct" w:w="20%"/>
            <w:tcMar>
              <w:top w:type="dxa" w:w="80"/>
              <w:left w:type="dxa" w:w="100"/>
              <w:bottom w:type="dxa" w:w="80"/>
              <w:right w:type="dxa" w:w="100"/>
            </w:tcMar>
            <w:vAlign w:val="center"/>
          </w:tcPr>
          <w:p>
            <w:r>
              <w:rPr>
                <w:b w:val="false"/>
                <w:bCs w:val="false"/>
                <w:color w:val="1F2937"/>
                <w:sz w:val="20"/>
                <w:szCs w:val="20"/>
              </w:rPr>
              <w:t xml:space="preserve">2</w:t>
            </w:r>
          </w:p>
        </w:tc>
        <w:tc>
          <w:tcPr>
            <w:tcW w:type="pct" w:w="20%"/>
            <w:tcMar>
              <w:top w:type="dxa" w:w="80"/>
              <w:left w:type="dxa" w:w="100"/>
              <w:bottom w:type="dxa" w:w="80"/>
              <w:right w:type="dxa" w:w="100"/>
            </w:tcMar>
            <w:vAlign w:val="center"/>
          </w:tcPr>
          <w:p>
            <w:r>
              <w:rPr>
                <w:b w:val="false"/>
                <w:bCs w:val="false"/>
                <w:color w:val="1F2937"/>
                <w:sz w:val="20"/>
                <w:szCs w:val="20"/>
              </w:rPr>
              <w:t xml:space="preserve">Problem: PID over-cools EV batteries, wastes energy; RL can adapt</w:t>
            </w:r>
          </w:p>
        </w:tc>
        <w:tc>
          <w:tcPr>
            <w:tcW w:type="pct" w:w="20%"/>
            <w:tcMar>
              <w:top w:type="dxa" w:w="80"/>
              <w:left w:type="dxa" w:w="100"/>
              <w:bottom w:type="dxa" w:w="80"/>
              <w:right w:type="dxa" w:w="100"/>
            </w:tcMar>
            <w:vAlign w:val="center"/>
          </w:tcPr>
          <w:p>
            <w:r>
              <w:rPr>
                <w:b w:val="false"/>
                <w:bCs w:val="false"/>
                <w:color w:val="1F2937"/>
                <w:sz w:val="20"/>
                <w:szCs w:val="20"/>
              </w:rPr>
              <w:t xml:space="preserve">Phase-I</w:t>
            </w:r>
          </w:p>
        </w:tc>
      </w:tr>
      <w:tr>
        <w:tc>
          <w:tcPr>
            <w:tcW w:type="pct" w:w="20%"/>
            <w:tcMar>
              <w:top w:type="dxa" w:w="80"/>
              <w:left w:type="dxa" w:w="100"/>
              <w:bottom w:type="dxa" w:w="80"/>
              <w:right w:type="dxa" w:w="100"/>
            </w:tcMar>
            <w:vAlign w:val="center"/>
          </w:tcPr>
          <w:p>
            <w:r>
              <w:rPr>
                <w:b w:val="false"/>
                <w:bCs w:val="false"/>
                <w:color w:val="1F2937"/>
                <w:sz w:val="20"/>
                <w:szCs w:val="20"/>
              </w:rPr>
              <w:t xml:space="preserve">3</w:t>
            </w:r>
          </w:p>
        </w:tc>
        <w:tc>
          <w:tcPr>
            <w:tcW w:type="pct" w:w="20%"/>
            <w:tcMar>
              <w:top w:type="dxa" w:w="80"/>
              <w:left w:type="dxa" w:w="100"/>
              <w:bottom w:type="dxa" w:w="80"/>
              <w:right w:type="dxa" w:w="100"/>
            </w:tcMar>
            <w:vAlign w:val="center"/>
          </w:tcPr>
          <w:p>
            <w:r>
              <w:rPr>
                <w:b w:val="false"/>
                <w:bCs w:val="false"/>
                <w:color w:val="1F2937"/>
                <w:sz w:val="20"/>
                <w:szCs w:val="20"/>
              </w:rPr>
              <w:t xml:space="preserve">System architecture (Fig. 1) and MDP design (Fig. 4)</w:t>
            </w:r>
          </w:p>
        </w:tc>
        <w:tc>
          <w:tcPr>
            <w:tcW w:type="pct" w:w="20%"/>
            <w:tcMar>
              <w:top w:type="dxa" w:w="80"/>
              <w:left w:type="dxa" w:w="100"/>
              <w:bottom w:type="dxa" w:w="80"/>
              <w:right w:type="dxa" w:w="100"/>
            </w:tcMar>
            <w:vAlign w:val="center"/>
          </w:tcPr>
          <w:p>
            <w:r>
              <w:rPr>
                <w:b w:val="false"/>
                <w:bCs w:val="false"/>
                <w:color w:val="1F2937"/>
                <w:sz w:val="20"/>
                <w:szCs w:val="20"/>
              </w:rPr>
              <w:t xml:space="preserve">Phase-II</w:t>
            </w:r>
          </w:p>
        </w:tc>
      </w:tr>
      <w:tr>
        <w:tc>
          <w:tcPr>
            <w:tcW w:type="pct" w:w="20%"/>
            <w:tcMar>
              <w:top w:type="dxa" w:w="80"/>
              <w:left w:type="dxa" w:w="100"/>
              <w:bottom w:type="dxa" w:w="80"/>
              <w:right w:type="dxa" w:w="100"/>
            </w:tcMar>
            <w:vAlign w:val="center"/>
          </w:tcPr>
          <w:p>
            <w:r>
              <w:rPr>
                <w:b w:val="false"/>
                <w:bCs w:val="false"/>
                <w:color w:val="1F2937"/>
                <w:sz w:val="20"/>
                <w:szCs w:val="20"/>
              </w:rPr>
              <w:t xml:space="preserve">4</w:t>
            </w:r>
          </w:p>
        </w:tc>
        <w:tc>
          <w:tcPr>
            <w:tcW w:type="pct" w:w="20%"/>
            <w:tcMar>
              <w:top w:type="dxa" w:w="80"/>
              <w:left w:type="dxa" w:w="100"/>
              <w:bottom w:type="dxa" w:w="80"/>
              <w:right w:type="dxa" w:w="100"/>
            </w:tcMar>
            <w:vAlign w:val="center"/>
          </w:tcPr>
          <w:p>
            <w:r>
              <w:rPr>
                <w:b w:val="false"/>
                <w:bCs w:val="false"/>
                <w:color w:val="1F2937"/>
                <w:sz w:val="20"/>
                <w:szCs w:val="20"/>
              </w:rPr>
              <w:t xml:space="preserve">What's implemented: battery model → env → PID → RL agent</w:t>
            </w:r>
          </w:p>
        </w:tc>
        <w:tc>
          <w:tcPr>
            <w:tcW w:type="pct" w:w="20%"/>
            <w:tcMar>
              <w:top w:type="dxa" w:w="80"/>
              <w:left w:type="dxa" w:w="100"/>
              <w:bottom w:type="dxa" w:w="80"/>
              <w:right w:type="dxa" w:w="100"/>
            </w:tcMar>
            <w:vAlign w:val="center"/>
          </w:tcPr>
          <w:p>
            <w:r>
              <w:rPr>
                <w:b w:val="false"/>
                <w:bCs w:val="false"/>
                <w:color w:val="1F2937"/>
                <w:sz w:val="20"/>
                <w:szCs w:val="20"/>
              </w:rPr>
              <w:t xml:space="preserve">Phase-III Sec. 1</w:t>
            </w:r>
          </w:p>
        </w:tc>
      </w:tr>
      <w:tr>
        <w:tc>
          <w:tcPr>
            <w:tcW w:type="pct" w:w="20%"/>
            <w:tcMar>
              <w:top w:type="dxa" w:w="80"/>
              <w:left w:type="dxa" w:w="100"/>
              <w:bottom w:type="dxa" w:w="80"/>
              <w:right w:type="dxa" w:w="100"/>
            </w:tcMar>
            <w:vAlign w:val="center"/>
          </w:tcPr>
          <w:p>
            <w:r>
              <w:rPr>
                <w:b w:val="false"/>
                <w:bCs w:val="false"/>
                <w:color w:val="1F2937"/>
                <w:sz w:val="20"/>
                <w:szCs w:val="20"/>
              </w:rPr>
              <w:t xml:space="preserve">5</w:t>
            </w:r>
          </w:p>
        </w:tc>
        <w:tc>
          <w:tcPr>
            <w:tcW w:type="pct" w:w="20%"/>
            <w:tcMar>
              <w:top w:type="dxa" w:w="80"/>
              <w:left w:type="dxa" w:w="100"/>
              <w:bottom w:type="dxa" w:w="80"/>
              <w:right w:type="dxa" w:w="100"/>
            </w:tcMar>
            <w:vAlign w:val="center"/>
          </w:tcPr>
          <w:p>
            <w:r>
              <w:rPr>
                <w:b w:val="false"/>
                <w:bCs w:val="false"/>
                <w:color w:val="1F2937"/>
                <w:sz w:val="20"/>
                <w:szCs w:val="20"/>
              </w:rPr>
              <w:t xml:space="preserve">Training curve (Fig. M1) — show learning actually happened</w:t>
            </w:r>
          </w:p>
        </w:tc>
        <w:tc>
          <w:tcPr>
            <w:tcW w:type="pct" w:w="20%"/>
            <w:tcMar>
              <w:top w:type="dxa" w:w="80"/>
              <w:left w:type="dxa" w:w="100"/>
              <w:bottom w:type="dxa" w:w="80"/>
              <w:right w:type="dxa" w:w="100"/>
            </w:tcMar>
            <w:vAlign w:val="center"/>
          </w:tcPr>
          <w:p>
            <w:r>
              <w:rPr>
                <w:b w:val="false"/>
                <w:bCs w:val="false"/>
                <w:color w:val="1F2937"/>
                <w:sz w:val="20"/>
                <w:szCs w:val="20"/>
              </w:rPr>
              <w:t xml:space="preserve">Sec. 3</w:t>
            </w:r>
          </w:p>
        </w:tc>
      </w:tr>
      <w:tr>
        <w:tc>
          <w:tcPr>
            <w:tcW w:type="pct" w:w="20%"/>
            <w:tcMar>
              <w:top w:type="dxa" w:w="80"/>
              <w:left w:type="dxa" w:w="100"/>
              <w:bottom w:type="dxa" w:w="80"/>
              <w:right w:type="dxa" w:w="100"/>
            </w:tcMar>
            <w:vAlign w:val="center"/>
          </w:tcPr>
          <w:p>
            <w:r>
              <w:rPr>
                <w:b w:val="false"/>
                <w:bCs w:val="false"/>
                <w:color w:val="1F2937"/>
                <w:sz w:val="20"/>
                <w:szCs w:val="20"/>
              </w:rPr>
              <w:t xml:space="preserve">6</w:t>
            </w:r>
          </w:p>
        </w:tc>
        <w:tc>
          <w:tcPr>
            <w:tcW w:type="pct" w:w="20%"/>
            <w:tcMar>
              <w:top w:type="dxa" w:w="80"/>
              <w:left w:type="dxa" w:w="100"/>
              <w:bottom w:type="dxa" w:w="80"/>
              <w:right w:type="dxa" w:w="100"/>
            </w:tcMar>
            <w:vAlign w:val="center"/>
          </w:tcPr>
          <w:p>
            <w:r>
              <w:rPr>
                <w:b w:val="false"/>
                <w:bCs w:val="false"/>
                <w:color w:val="1F2937"/>
                <w:sz w:val="20"/>
                <w:szCs w:val="20"/>
              </w:rPr>
              <w:t xml:space="preserve">RL vs. PID comparison (Fig. M2, Sec. 3.1 table)</w:t>
            </w:r>
          </w:p>
        </w:tc>
        <w:tc>
          <w:tcPr>
            <w:tcW w:type="pct" w:w="20%"/>
            <w:tcMar>
              <w:top w:type="dxa" w:w="80"/>
              <w:left w:type="dxa" w:w="100"/>
              <w:bottom w:type="dxa" w:w="80"/>
              <w:right w:type="dxa" w:w="100"/>
            </w:tcMar>
            <w:vAlign w:val="center"/>
          </w:tcPr>
          <w:p>
            <w:r>
              <w:rPr>
                <w:b w:val="false"/>
                <w:bCs w:val="false"/>
                <w:color w:val="1F2937"/>
                <w:sz w:val="20"/>
                <w:szCs w:val="20"/>
              </w:rPr>
              <w:t xml:space="preserve">Sec. 3</w:t>
            </w:r>
          </w:p>
        </w:tc>
      </w:tr>
      <w:tr>
        <w:tc>
          <w:tcPr>
            <w:tcW w:type="pct" w:w="20%"/>
            <w:tcMar>
              <w:top w:type="dxa" w:w="80"/>
              <w:left w:type="dxa" w:w="100"/>
              <w:bottom w:type="dxa" w:w="80"/>
              <w:right w:type="dxa" w:w="100"/>
            </w:tcMar>
            <w:vAlign w:val="center"/>
          </w:tcPr>
          <w:p>
            <w:r>
              <w:rPr>
                <w:b w:val="false"/>
                <w:bCs w:val="false"/>
                <w:color w:val="1F2937"/>
                <w:sz w:val="20"/>
                <w:szCs w:val="20"/>
              </w:rPr>
              <w:t xml:space="preserve">7</w:t>
            </w:r>
          </w:p>
        </w:tc>
        <w:tc>
          <w:tcPr>
            <w:tcW w:type="pct" w:w="20%"/>
            <w:tcMar>
              <w:top w:type="dxa" w:w="80"/>
              <w:left w:type="dxa" w:w="100"/>
              <w:bottom w:type="dxa" w:w="80"/>
              <w:right w:type="dxa" w:w="100"/>
            </w:tcMar>
            <w:vAlign w:val="center"/>
          </w:tcPr>
          <w:p>
            <w:r>
              <w:rPr>
                <w:b w:val="false"/>
                <w:bCs w:val="false"/>
                <w:color w:val="1F2937"/>
                <w:sz w:val="20"/>
                <w:szCs w:val="20"/>
              </w:rPr>
              <w:t xml:space="preserve">Honest limitation: synthetic drive cycles, tabular RL as SB3 stand-in, US06 gradient trade-off</w:t>
            </w:r>
          </w:p>
        </w:tc>
        <w:tc>
          <w:tcPr>
            <w:tcW w:type="pct" w:w="20%"/>
            <w:tcMar>
              <w:top w:type="dxa" w:w="80"/>
              <w:left w:type="dxa" w:w="100"/>
              <w:bottom w:type="dxa" w:w="80"/>
              <w:right w:type="dxa" w:w="100"/>
            </w:tcMar>
            <w:vAlign w:val="center"/>
          </w:tcPr>
          <w:p>
            <w:r>
              <w:rPr>
                <w:b w:val="false"/>
                <w:bCs w:val="false"/>
                <w:color w:val="1F2937"/>
                <w:sz w:val="20"/>
                <w:szCs w:val="20"/>
              </w:rPr>
              <w:t xml:space="preserve">Sec. 2.2</w:t>
            </w:r>
          </w:p>
        </w:tc>
      </w:tr>
      <w:tr>
        <w:tc>
          <w:tcPr>
            <w:tcW w:type="pct" w:w="20%"/>
            <w:tcMar>
              <w:top w:type="dxa" w:w="80"/>
              <w:left w:type="dxa" w:w="100"/>
              <w:bottom w:type="dxa" w:w="80"/>
              <w:right w:type="dxa" w:w="100"/>
            </w:tcMar>
            <w:vAlign w:val="center"/>
          </w:tcPr>
          <w:p>
            <w:r>
              <w:rPr>
                <w:b w:val="false"/>
                <w:bCs w:val="false"/>
                <w:color w:val="1F2937"/>
                <w:sz w:val="20"/>
                <w:szCs w:val="20"/>
              </w:rPr>
              <w:t xml:space="preserve">8</w:t>
            </w:r>
          </w:p>
        </w:tc>
        <w:tc>
          <w:tcPr>
            <w:tcW w:type="pct" w:w="20%"/>
            <w:tcMar>
              <w:top w:type="dxa" w:w="80"/>
              <w:left w:type="dxa" w:w="100"/>
              <w:bottom w:type="dxa" w:w="80"/>
              <w:right w:type="dxa" w:w="100"/>
            </w:tcMar>
            <w:vAlign w:val="center"/>
          </w:tcPr>
          <w:p>
            <w:r>
              <w:rPr>
                <w:b w:val="false"/>
                <w:bCs w:val="false"/>
                <w:color w:val="1F2937"/>
                <w:sz w:val="20"/>
                <w:szCs w:val="20"/>
              </w:rPr>
              <w:t xml:space="preserve">Next steps to Final Evaluation</w:t>
            </w:r>
          </w:p>
        </w:tc>
        <w:tc>
          <w:tcPr>
            <w:tcW w:type="pct" w:w="20%"/>
            <w:tcMar>
              <w:top w:type="dxa" w:w="80"/>
              <w:left w:type="dxa" w:w="100"/>
              <w:bottom w:type="dxa" w:w="80"/>
              <w:right w:type="dxa" w:w="100"/>
            </w:tcMar>
            <w:vAlign w:val="center"/>
          </w:tcPr>
          <w:p>
            <w:r>
              <w:rPr>
                <w:b w:val="false"/>
                <w:bCs w:val="false"/>
                <w:color w:val="1F2937"/>
                <w:sz w:val="20"/>
                <w:szCs w:val="20"/>
              </w:rPr>
              <w:t xml:space="preserve">Phase-III Sec. 5</w:t>
            </w:r>
          </w:p>
        </w:tc>
      </w:tr>
    </w:tbl>
    <w:p>
      <w:r>
        <w:br w:type="page"/>
      </w:r>
    </w:p>
    <w:p>
      <w:pPr>
        <w:pStyle w:val="Heading1"/>
        <w:spacing w:after="160" w:before="320"/>
      </w:pPr>
      <w:r>
        <w:rPr>
          <w:b/>
          <w:bCs/>
          <w:color w:val="1F4E79"/>
          <w:sz w:val="28"/>
          <w:szCs w:val="28"/>
        </w:rPr>
        <w:t xml:space="preserve">5. ANTICIPATED VIVA QUESTIONS &amp; ANSWERS</w:t>
      </w:r>
    </w:p>
    <w:p>
      <w:pPr>
        <w:spacing w:after="60" w:line="290"/>
      </w:pPr>
      <w:r>
        <w:rPr>
          <w:b/>
          <w:bCs/>
          <w:color w:val="1F4E79"/>
          <w:sz w:val="22"/>
          <w:szCs w:val="22"/>
        </w:rPr>
        <w:t xml:space="preserve">Q: Why is the reward function a weighted sum instead of a hard safety constraint?</w:t>
      </w:r>
    </w:p>
    <w:p>
      <w:pPr>
        <w:spacing w:after="180" w:line="290"/>
      </w:pPr>
      <w:r>
        <w:rPr>
          <w:color w:val="1F2937"/>
          <w:sz w:val="22"/>
          <w:szCs w:val="22"/>
        </w:rPr>
        <w:t xml:space="preserve">A: A hard constraint would need constrained-RL methods (e.g. Lagrangian PPO); a weighted penalty is simpler to implement and tune first, and empirically it already produced zero safety violations across 160 evaluation episodes, so the added complexity wasn't justified for this proof-of-concept stage.</w:t>
      </w:r>
    </w:p>
    <w:p>
      <w:pPr>
        <w:spacing w:after="60" w:line="290"/>
      </w:pPr>
      <w:r>
        <w:rPr>
          <w:b/>
          <w:bCs/>
          <w:color w:val="1F4E79"/>
          <w:sz w:val="22"/>
          <w:szCs w:val="22"/>
        </w:rPr>
        <w:t xml:space="preserve">Q: Why does the RL agent have a higher temperature gradient than PID on US06?</w:t>
      </w:r>
    </w:p>
    <w:p>
      <w:pPr>
        <w:spacing w:after="180" w:line="290"/>
      </w:pPr>
      <w:r>
        <w:rPr>
          <w:color w:val="1F2937"/>
          <w:sz w:val="22"/>
          <w:szCs w:val="22"/>
        </w:rPr>
        <w:t xml:space="preserve">A: The energy-cost term in the reward is currently large enough relative to the gradient term that the agent tolerates faster temperature swings to save cooling energy on the most current-intensive cycle. This is a reward-weighting issue, not a fundamental limitation, and is the top item for re-tuning before Final Evaluation.</w:t>
      </w:r>
    </w:p>
    <w:p>
      <w:pPr>
        <w:spacing w:after="60" w:line="290"/>
      </w:pPr>
      <w:r>
        <w:rPr>
          <w:b/>
          <w:bCs/>
          <w:color w:val="1F4E79"/>
          <w:sz w:val="22"/>
          <w:szCs w:val="22"/>
        </w:rPr>
        <w:t xml:space="preserve">Q: Why tabular Q-learning instead of DQN, as planned in Phase-II?</w:t>
      </w:r>
    </w:p>
    <w:p>
      <w:pPr>
        <w:spacing w:after="180" w:line="290"/>
      </w:pPr>
      <w:r>
        <w:rPr>
          <w:color w:val="1F2937"/>
          <w:sz w:val="22"/>
          <w:szCs w:val="22"/>
        </w:rPr>
        <w:t xml:space="preserve">A: PyTorch/Stable-Baselines3 could not be installed in the offline development environment used to build the pipeline. Tabular Q-learning needed no external dependencies, so it let us build and validate the full environment-training-evaluation pipeline end-to-end now, while the SB3 script (DQN/DDPG/PPO/SAC) is written and ready to run on a GPU machine.</w:t>
      </w:r>
    </w:p>
    <w:p>
      <w:pPr>
        <w:spacing w:after="60" w:line="290"/>
      </w:pPr>
      <w:r>
        <w:rPr>
          <w:b/>
          <w:bCs/>
          <w:color w:val="1F4E79"/>
          <w:sz w:val="22"/>
          <w:szCs w:val="22"/>
        </w:rPr>
        <w:t xml:space="preserve">Q: How do you know the results aren't just noise?</w:t>
      </w:r>
    </w:p>
    <w:p>
      <w:pPr>
        <w:spacing w:after="180" w:line="290"/>
      </w:pPr>
      <w:r>
        <w:rPr>
          <w:color w:val="1F2937"/>
          <w:sz w:val="22"/>
          <w:szCs w:val="22"/>
        </w:rPr>
        <w:t xml:space="preserve">A: The training curve shows a consistent, monotonic-on-average improvement over 400 episodes (mean reward −26.24 → −8.79), and the comparison uses 20 held-out episodes per cycle (not seen during training) with fixed seeds for reproducibility.</w:t>
      </w:r>
    </w:p>
    <w:p>
      <w:pPr>
        <w:spacing w:after="60" w:line="290"/>
      </w:pPr>
      <w:r>
        <w:rPr>
          <w:b/>
          <w:bCs/>
          <w:color w:val="1F4E79"/>
          <w:sz w:val="22"/>
          <w:szCs w:val="22"/>
        </w:rPr>
        <w:t xml:space="preserve">Q: Why synthetic drive cycles instead of the real NEDC/FTP-75/HWFET/US06 data?</w:t>
      </w:r>
    </w:p>
    <w:p>
      <w:pPr>
        <w:spacing w:after="180" w:line="290"/>
      </w:pPr>
      <w:r>
        <w:rPr>
          <w:color w:val="1F2937"/>
          <w:sz w:val="22"/>
          <w:szCs w:val="22"/>
        </w:rPr>
        <w:t xml:space="preserve">A: The development sandbox had no internet access to download the official datasets. The synthetic profiles were designed to reproduce each cycle's qualitative character (stop-start, sustained cruise, aggressive bursts, mixed charging) so the pipeline could be built and tested now; replacing them with the real data is a drop-in change documented in drive_cycles.py.</w:t>
      </w:r>
    </w:p>
    <w:p>
      <w:pPr>
        <w:spacing w:after="60" w:line="290"/>
      </w:pPr>
      <w:r>
        <w:rPr>
          <w:b/>
          <w:bCs/>
          <w:color w:val="1F4E79"/>
          <w:sz w:val="22"/>
          <w:szCs w:val="22"/>
        </w:rPr>
        <w:t xml:space="preserve">Q: What happens if the battery temperature exceeds the critical limit during training?</w:t>
      </w:r>
    </w:p>
    <w:p>
      <w:pPr>
        <w:spacing w:after="180" w:line="290"/>
      </w:pPr>
      <w:r>
        <w:rPr>
          <w:color w:val="1F2937"/>
          <w:sz w:val="22"/>
          <w:szCs w:val="22"/>
        </w:rPr>
        <w:t xml:space="preserve">A: The environment terminates the episode immediately once pack temperature exceeds 55°C (the CRITICAL_T constant), which both ends that episode's return early (a strongly negative outcome) and prevents the simulation from running in a physically meaningless regime.</w:t>
      </w:r>
    </w:p>
    <w:p>
      <w:pPr>
        <w:spacing w:after="60" w:line="290"/>
      </w:pPr>
      <w:r>
        <w:rPr>
          <w:b/>
          <w:bCs/>
          <w:color w:val="1F4E79"/>
          <w:sz w:val="22"/>
          <w:szCs w:val="22"/>
        </w:rPr>
        <w:t xml:space="preserve">Q: How is this different from just using a lower PID set-point?</w:t>
      </w:r>
    </w:p>
    <w:p>
      <w:pPr>
        <w:spacing w:after="180" w:line="290"/>
      </w:pPr>
      <w:r>
        <w:rPr>
          <w:color w:val="1F2937"/>
          <w:sz w:val="22"/>
          <w:szCs w:val="22"/>
        </w:rPr>
        <w:t xml:space="preserve">A: PID with any fixed set-point applies the same control law regardless of driving context; the RL agent conditions its action on the full state (SoC, C-rate, ambient temperature, drive/charge mode), letting it apply different cooling strategies for, say, a hot-ambient highway cruise versus a cool-ambient urban stop-start cycle — which is exactly why its energy savings vary so much across cycles (97% on NEDC vs. 89% on US06).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9d2c5fe0ff3d97a714167088d1c9e87f30f5171.png"/><Relationship Id="rId9" Type="http://schemas.openxmlformats.org/officeDocument/2006/relationships/image" Target="media/7a9a19c50d7cf86cc27ccbebb2763106dd65d7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2026-09-03T22:19:34.960Z</dcterms:created>
  <dcterms:modified xsi:type="dcterms:W3CDTF">2026-09-03T22:19:34.974Z</dcterms:modified>
</cp:coreProperties>
</file>

<file path=docProps/custom.xml><?xml version="1.0" encoding="utf-8"?>
<Properties xmlns="http://schemas.openxmlformats.org/officeDocument/2006/custom-properties" xmlns:vt="http://schemas.openxmlformats.org/officeDocument/2006/docPropsVTypes"/>
</file>