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b/>
          <w:bCs/>
          <w:color w:val="1F2937"/>
          <w:sz w:val="26"/>
          <w:szCs w:val="26"/>
        </w:rPr>
        <w:t xml:space="preserve">A Major Project Report</w:t>
      </w:r>
    </w:p>
    <w:p>
      <w:pPr>
        <w:spacing w:after="120"/>
        <w:jc w:val="center"/>
      </w:pPr>
      <w:r>
        <w:rPr>
          <w:b/>
          <w:bCs/>
          <w:color w:val="1F2937"/>
          <w:sz w:val="26"/>
          <w:szCs w:val="26"/>
        </w:rPr>
        <w:t xml:space="preserve">(Phase-III)</w:t>
      </w:r>
    </w:p>
    <w:p>
      <w:pPr>
        <w:spacing w:after="120"/>
        <w:jc w:val="center"/>
      </w:pPr>
      <w:r>
        <w:rPr>
          <w:b/>
          <w:bCs/>
          <w:color w:val="1F2937"/>
          <w:sz w:val="22"/>
          <w:szCs w:val="22"/>
        </w:rPr>
        <w:t xml:space="preserve">On</w:t>
      </w:r>
    </w:p>
    <w:p>
      <w:pPr>
        <w:spacing w:after="200"/>
      </w:pPr>
    </w:p>
    <w:p>
      <w:pPr>
        <w:spacing w:after="120"/>
        <w:jc w:val="center"/>
      </w:pPr>
      <w:r>
        <w:rPr>
          <w:b/>
          <w:bCs/>
          <w:color w:val="1F4E79"/>
          <w:sz w:val="30"/>
          <w:szCs w:val="30"/>
        </w:rPr>
        <w:t xml:space="preserve">Reinforcement Learning-Based Dynamic Battery Thermal Management for Software Defined Electric Vehicles</w:t>
      </w:r>
    </w:p>
    <w:p>
      <w:pPr>
        <w:spacing w:after="300"/>
      </w:pPr>
    </w:p>
    <w:p>
      <w:pPr>
        <w:spacing w:after="120"/>
        <w:jc w:val="center"/>
      </w:pPr>
      <w:r>
        <w:rPr>
          <w:b/>
          <w:bCs/>
          <w:color w:val="1F2937"/>
          <w:sz w:val="20"/>
          <w:szCs w:val="20"/>
        </w:rPr>
        <w:t xml:space="preserve">Submitted in partial fulfillment of the</w:t>
      </w:r>
    </w:p>
    <w:p>
      <w:pPr>
        <w:spacing w:after="120"/>
        <w:jc w:val="center"/>
      </w:pPr>
      <w:r>
        <w:rPr>
          <w:b/>
          <w:bCs/>
          <w:color w:val="1F2937"/>
          <w:sz w:val="20"/>
          <w:szCs w:val="20"/>
        </w:rPr>
        <w:t xml:space="preserve">requirement for the award of the degree of</w:t>
      </w:r>
    </w:p>
    <w:p>
      <w:pPr>
        <w:spacing w:after="100"/>
      </w:pPr>
    </w:p>
    <w:p>
      <w:pPr>
        <w:spacing w:after="120"/>
        <w:jc w:val="center"/>
      </w:pPr>
      <w:r>
        <w:rPr>
          <w:b/>
          <w:bCs/>
          <w:color w:val="1F2937"/>
          <w:sz w:val="26"/>
          <w:szCs w:val="26"/>
        </w:rPr>
        <w:t xml:space="preserve">BACHELOR OF TECHNOLOGY</w:t>
      </w:r>
    </w:p>
    <w:p>
      <w:pPr>
        <w:spacing w:after="300"/>
      </w:pPr>
    </w:p>
    <w:p>
      <w:pPr>
        <w:spacing w:after="120"/>
        <w:jc w:val="center"/>
      </w:pPr>
      <w:r>
        <w:rPr>
          <w:b/>
          <w:bCs/>
          <w:color w:val="1F2937"/>
          <w:sz w:val="20"/>
          <w:szCs w:val="20"/>
        </w:rPr>
        <w:t xml:space="preserve">Session 2026-27</w:t>
      </w:r>
    </w:p>
    <w:p>
      <w:pPr>
        <w:spacing w:after="120"/>
        <w:jc w:val="center"/>
      </w:pPr>
      <w:r>
        <w:rPr>
          <w:b/>
          <w:bCs/>
          <w:color w:val="1F2937"/>
          <w:sz w:val="20"/>
          <w:szCs w:val="20"/>
        </w:rPr>
        <w:t xml:space="preserve">in</w:t>
      </w:r>
    </w:p>
    <w:p>
      <w:pPr>
        <w:spacing w:after="120"/>
        <w:jc w:val="center"/>
      </w:pPr>
      <w:r>
        <w:rPr>
          <w:b/>
          <w:bCs/>
          <w:color w:val="1F2937"/>
          <w:sz w:val="22"/>
          <w:szCs w:val="22"/>
        </w:rPr>
        <w:t xml:space="preserve">Computer Science and Engineering</w:t>
      </w:r>
    </w:p>
    <w:p>
      <w:pPr>
        <w:spacing w:after="300"/>
      </w:pPr>
    </w:p>
    <w:p>
      <w:pPr>
        <w:spacing w:after="120"/>
        <w:jc w:val="center"/>
      </w:pPr>
      <w:r>
        <w:rPr>
          <w:b/>
          <w:bCs/>
          <w:color w:val="1F2937"/>
          <w:sz w:val="20"/>
          <w:szCs w:val="20"/>
        </w:rPr>
        <w:t xml:space="preserve">By</w:t>
      </w:r>
    </w:p>
    <w:p>
      <w:pPr>
        <w:spacing w:after="120"/>
        <w:jc w:val="center"/>
      </w:pPr>
      <w:r>
        <w:rPr>
          <w:b/>
          <w:bCs/>
          <w:color w:val="1F2937"/>
          <w:sz w:val="23"/>
          <w:szCs w:val="23"/>
        </w:rPr>
        <w:t xml:space="preserve">Rishuraj Singh (2410030738)</w:t>
      </w:r>
    </w:p>
    <w:p>
      <w:pPr>
        <w:spacing w:after="120"/>
        <w:jc w:val="center"/>
      </w:pPr>
      <w:r>
        <w:rPr>
          <w:b/>
          <w:bCs/>
          <w:color w:val="1F2937"/>
          <w:sz w:val="23"/>
          <w:szCs w:val="23"/>
        </w:rPr>
        <w:t xml:space="preserve">Nihaal Sansanwal (2410031372)</w:t>
      </w:r>
    </w:p>
    <w:p>
      <w:pPr>
        <w:spacing w:after="120"/>
        <w:jc w:val="center"/>
      </w:pPr>
      <w:r>
        <w:rPr>
          <w:b/>
          <w:bCs/>
          <w:color w:val="1F2937"/>
          <w:sz w:val="23"/>
          <w:szCs w:val="23"/>
        </w:rPr>
        <w:t xml:space="preserve">Harshit Parmar (2410031422)</w:t>
      </w:r>
    </w:p>
    <w:p>
      <w:pPr>
        <w:spacing w:after="120"/>
        <w:jc w:val="center"/>
      </w:pPr>
      <w:r>
        <w:rPr>
          <w:b/>
          <w:bCs/>
          <w:color w:val="1F2937"/>
          <w:sz w:val="23"/>
          <w:szCs w:val="23"/>
        </w:rPr>
        <w:t xml:space="preserve">Chaitanya Sharma (2410031341)</w:t>
      </w:r>
    </w:p>
    <w:p>
      <w:pPr>
        <w:spacing w:after="200"/>
      </w:pPr>
    </w:p>
    <w:p>
      <w:pPr>
        <w:spacing w:after="120"/>
        <w:jc w:val="center"/>
      </w:pPr>
      <w:r>
        <w:rPr>
          <w:b/>
          <w:bCs/>
          <w:color w:val="1F2937"/>
          <w:sz w:val="22"/>
          <w:szCs w:val="22"/>
        </w:rPr>
        <w:t xml:space="preserve">Under the guidance of Dr. Pranav Srivastava</w:t>
      </w:r>
    </w:p>
    <w:p>
      <w:pPr>
        <w:spacing w:after="400"/>
      </w:pPr>
    </w:p>
    <w:p>
      <w:pPr>
        <w:spacing w:after="120"/>
        <w:jc w:val="center"/>
      </w:pPr>
      <w:r>
        <w:rPr>
          <w:b/>
          <w:bCs/>
          <w:color w:val="1F2937"/>
          <w:sz w:val="22"/>
          <w:szCs w:val="22"/>
        </w:rPr>
        <w:t xml:space="preserve">SCHOOL OF COMPUTER SCIENCE AND ENGINEERING</w:t>
      </w:r>
    </w:p>
    <w:p>
      <w:pPr>
        <w:spacing w:after="120"/>
        <w:jc w:val="center"/>
      </w:pPr>
      <w:r>
        <w:rPr>
          <w:b/>
          <w:bCs/>
          <w:color w:val="1F2937"/>
          <w:sz w:val="22"/>
          <w:szCs w:val="22"/>
        </w:rPr>
        <w:t xml:space="preserve">IILM UNIVERSITY, GREATER NOIDA</w:t>
      </w:r>
    </w:p>
    <w:p>
      <w:pPr>
        <w:spacing w:after="200"/>
      </w:pPr>
    </w:p>
    <w:p>
      <w:pPr>
        <w:spacing w:after="120"/>
        <w:jc w:val="center"/>
      </w:pPr>
      <w:r>
        <w:rPr>
          <w:b/>
          <w:bCs/>
          <w:color w:val="1F2937"/>
          <w:sz w:val="20"/>
          <w:szCs w:val="20"/>
        </w:rPr>
        <w:t xml:space="preserve">October, 2026</w:t>
      </w:r>
    </w:p>
    <w:p>
      <w:r>
        <w:br w:type="page"/>
      </w:r>
    </w:p>
    <w:p>
      <w:pPr>
        <w:pStyle w:val="Heading1"/>
        <w:spacing w:after="160" w:before="320"/>
      </w:pPr>
      <w:r>
        <w:rPr>
          <w:b/>
          <w:bCs/>
          <w:color w:val="1F4E79"/>
          <w:sz w:val="28"/>
          <w:szCs w:val="28"/>
        </w:rPr>
        <w:t xml:space="preserve">CANDIDATE'S DECLARATION</w:t>
      </w:r>
    </w:p>
    <w:p>
      <w:pPr>
        <w:spacing w:after="160" w:line="300"/>
        <w:jc w:val="both"/>
      </w:pPr>
      <w:r>
        <w:rPr>
          <w:i w:val="false"/>
          <w:iCs w:val="false"/>
          <w:color w:val="1F2937"/>
          <w:sz w:val="22"/>
          <w:szCs w:val="22"/>
        </w:rPr>
        <w:t xml:space="preserve">I hereby certify that the work presented in the Phase-III report of the project entitled "Reinforcement Learning-Based Dynamic Battery Thermal Management for Software Defined Electric Vehicles", in partial fulfillment of the requirements for the degree of Bachelor of Technology in the School of Computing Science and Engineering, IILM University, Greater Noida, is an original work carried out by me under the supervision of Dr. Pranav Srivastava, School of Computing Science and Engineering, IILM University, Greater Noida.</w:t>
      </w:r>
    </w:p>
    <w:p>
      <w:pPr>
        <w:spacing w:after="160" w:line="300"/>
        <w:jc w:val="both"/>
      </w:pPr>
      <w:r>
        <w:rPr>
          <w:i w:val="false"/>
          <w:iCs w:val="false"/>
          <w:color w:val="1F2937"/>
          <w:sz w:val="22"/>
          <w:szCs w:val="22"/>
        </w:rPr>
        <w:t xml:space="preserve">This Phase-III report builds on the methodology, project planning, and system design presented in the Phase-II report, and documents the implementation, testing, validation, and performance analysis carried out for the RL-based battery thermal management system. The work presented in this report has not been submitted by me for the award of any other degree or qualification at this or any other institution.</w:t>
      </w:r>
    </w:p>
    <w:p>
      <w:pPr>
        <w:spacing w:after="200"/>
      </w:pPr>
    </w:p>
    <w:p>
      <w:pPr>
        <w:spacing w:after="160" w:line="300"/>
        <w:jc w:val="left"/>
      </w:pPr>
      <w:r>
        <w:rPr>
          <w:i w:val="false"/>
          <w:iCs w:val="false"/>
          <w:color w:val="1F2937"/>
          <w:sz w:val="22"/>
          <w:szCs w:val="22"/>
        </w:rPr>
        <w:t xml:space="preserve">Rishuraj Singh (2410030738)</w:t>
      </w:r>
    </w:p>
    <w:p>
      <w:pPr>
        <w:spacing w:after="160" w:line="300"/>
        <w:jc w:val="left"/>
      </w:pPr>
      <w:r>
        <w:rPr>
          <w:i w:val="false"/>
          <w:iCs w:val="false"/>
          <w:color w:val="1F2937"/>
          <w:sz w:val="22"/>
          <w:szCs w:val="22"/>
        </w:rPr>
        <w:t xml:space="preserve">Nihaal Sansanwal (2410031372)</w:t>
      </w:r>
    </w:p>
    <w:p>
      <w:pPr>
        <w:spacing w:after="160" w:line="300"/>
        <w:jc w:val="left"/>
      </w:pPr>
      <w:r>
        <w:rPr>
          <w:i w:val="false"/>
          <w:iCs w:val="false"/>
          <w:color w:val="1F2937"/>
          <w:sz w:val="22"/>
          <w:szCs w:val="22"/>
        </w:rPr>
        <w:t xml:space="preserve">Harshit Parmar (2410031422)</w:t>
      </w:r>
    </w:p>
    <w:p>
      <w:pPr>
        <w:spacing w:after="160" w:line="300"/>
        <w:jc w:val="left"/>
      </w:pPr>
      <w:r>
        <w:rPr>
          <w:i w:val="false"/>
          <w:iCs w:val="false"/>
          <w:color w:val="1F2937"/>
          <w:sz w:val="22"/>
          <w:szCs w:val="22"/>
        </w:rPr>
        <w:t xml:space="preserve">Chaitanya Sharma (2410031341)</w:t>
      </w:r>
    </w:p>
    <w:p>
      <w:pPr>
        <w:spacing w:after="200"/>
      </w:pPr>
    </w:p>
    <w:p>
      <w:pPr>
        <w:spacing w:after="160" w:line="300"/>
        <w:jc w:val="both"/>
      </w:pPr>
      <w:r>
        <w:rPr>
          <w:i w:val="false"/>
          <w:iCs w:val="false"/>
          <w:color w:val="1F2937"/>
          <w:sz w:val="22"/>
          <w:szCs w:val="22"/>
        </w:rPr>
        <w:t xml:space="preserve">This is to certify that the above statement made by the candidate is correct to the best of my knowledge.</w:t>
      </w:r>
    </w:p>
    <w:p>
      <w:pPr>
        <w:spacing w:after="200"/>
      </w:pPr>
    </w:p>
    <w:p>
      <w:pPr>
        <w:spacing w:after="160" w:line="300"/>
        <w:jc w:val="left"/>
      </w:pPr>
      <w:r>
        <w:rPr>
          <w:i w:val="false"/>
          <w:iCs w:val="false"/>
          <w:color w:val="1F2937"/>
          <w:sz w:val="22"/>
          <w:szCs w:val="22"/>
        </w:rPr>
        <w:t xml:space="preserve">Signature of Guide</w:t>
      </w:r>
    </w:p>
    <w:p>
      <w:pPr>
        <w:spacing w:after="160" w:line="300"/>
        <w:jc w:val="left"/>
      </w:pPr>
      <w:r>
        <w:rPr>
          <w:i w:val="false"/>
          <w:iCs w:val="false"/>
          <w:color w:val="1F2937"/>
          <w:sz w:val="22"/>
          <w:szCs w:val="22"/>
        </w:rPr>
        <w:t xml:space="preserve">Name: Dr. Pranav Srivastava</w:t>
      </w:r>
    </w:p>
    <w:p>
      <w:pPr>
        <w:spacing w:after="160" w:line="300"/>
        <w:jc w:val="left"/>
      </w:pPr>
      <w:r>
        <w:rPr>
          <w:i w:val="false"/>
          <w:iCs w:val="false"/>
          <w:color w:val="1F2937"/>
          <w:sz w:val="22"/>
          <w:szCs w:val="22"/>
        </w:rPr>
        <w:t xml:space="preserve">School: School of Computing Science and Engineering</w:t>
      </w:r>
    </w:p>
    <w:p>
      <w:pPr>
        <w:spacing w:after="160" w:line="300"/>
        <w:jc w:val="left"/>
      </w:pPr>
      <w:r>
        <w:rPr>
          <w:i w:val="false"/>
          <w:iCs w:val="false"/>
          <w:color w:val="1F2937"/>
          <w:sz w:val="22"/>
          <w:szCs w:val="22"/>
        </w:rPr>
        <w:t xml:space="preserve">IILM University, Greater Noida</w:t>
      </w:r>
    </w:p>
    <w:p>
      <w:r>
        <w:br w:type="page"/>
      </w:r>
    </w:p>
    <w:p>
      <w:pPr>
        <w:pStyle w:val="Heading1"/>
        <w:spacing w:after="160" w:before="320"/>
      </w:pPr>
      <w:r>
        <w:rPr>
          <w:b/>
          <w:bCs/>
          <w:color w:val="1F4E79"/>
          <w:sz w:val="28"/>
          <w:szCs w:val="28"/>
        </w:rPr>
        <w:t xml:space="preserve">Table of Contents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12%"/>
            <w:shd w:fill="1F4E79" w:val="clear"/>
            <w:tcMar>
              <w:top w:type="dxa" w:w="80"/>
              <w:left w:type="dxa" w:w="100"/>
              <w:bottom w:type="dxa" w:w="80"/>
              <w:right w:type="dxa" w:w="100"/>
            </w:tcMar>
            <w:vAlign w:val="center"/>
          </w:tcPr>
          <w:p>
            <w:r>
              <w:rPr>
                <w:b/>
                <w:bCs/>
                <w:color w:val="FFFFFF"/>
                <w:sz w:val="20"/>
                <w:szCs w:val="20"/>
              </w:rPr>
              <w:t xml:space="preserve">SL. No</w:t>
            </w:r>
          </w:p>
        </w:tc>
        <w:tc>
          <w:tcPr>
            <w:tcW w:type="pct" w:w="68%"/>
            <w:shd w:fill="1F4E79" w:val="clear"/>
            <w:tcMar>
              <w:top w:type="dxa" w:w="80"/>
              <w:left w:type="dxa" w:w="100"/>
              <w:bottom w:type="dxa" w:w="80"/>
              <w:right w:type="dxa" w:w="100"/>
            </w:tcMar>
            <w:vAlign w:val="center"/>
          </w:tcPr>
          <w:p>
            <w:r>
              <w:rPr>
                <w:b/>
                <w:bCs/>
                <w:color w:val="FFFFFF"/>
                <w:sz w:val="20"/>
                <w:szCs w:val="20"/>
              </w:rPr>
              <w:t xml:space="preserve">Section</w:t>
            </w:r>
          </w:p>
        </w:tc>
        <w:tc>
          <w:tcPr>
            <w:tcW w:type="pct" w:w="20%"/>
            <w:shd w:fill="1F4E79" w:val="clear"/>
            <w:tcMar>
              <w:top w:type="dxa" w:w="80"/>
              <w:left w:type="dxa" w:w="100"/>
              <w:bottom w:type="dxa" w:w="80"/>
              <w:right w:type="dxa" w:w="100"/>
            </w:tcMar>
            <w:vAlign w:val="center"/>
          </w:tcPr>
          <w:p>
            <w:r>
              <w:rPr>
                <w:b/>
                <w:bCs/>
                <w:color w:val="FFFFFF"/>
                <w:sz w:val="20"/>
                <w:szCs w:val="20"/>
              </w:rPr>
              <w:t xml:space="preserve">Page no.</w:t>
            </w:r>
          </w:p>
        </w:tc>
      </w:tr>
      <w:tr>
        <w:tc>
          <w:tcPr>
            <w:tcW w:type="pct" w:w="12%"/>
            <w:tcMar>
              <w:top w:type="dxa" w:w="80"/>
              <w:left w:type="dxa" w:w="100"/>
              <w:bottom w:type="dxa" w:w="80"/>
              <w:right w:type="dxa" w:w="100"/>
            </w:tcMar>
            <w:vAlign w:val="center"/>
          </w:tcPr>
          <w:p>
            <w:r>
              <w:rPr>
                <w:b w:val="false"/>
                <w:bCs w:val="false"/>
                <w:color w:val="1F2937"/>
                <w:sz w:val="20"/>
                <w:szCs w:val="20"/>
              </w:rPr>
              <w:t xml:space="preserve">
              </w:t>
            </w:r>
          </w:p>
        </w:tc>
        <w:tc>
          <w:tcPr>
            <w:tcW w:type="pct" w:w="68%"/>
            <w:tcMar>
              <w:top w:type="dxa" w:w="80"/>
              <w:left w:type="dxa" w:w="100"/>
              <w:bottom w:type="dxa" w:w="80"/>
              <w:right w:type="dxa" w:w="100"/>
            </w:tcMar>
            <w:vAlign w:val="center"/>
          </w:tcPr>
          <w:p>
            <w:r>
              <w:rPr>
                <w:b w:val="false"/>
                <w:bCs w:val="false"/>
                <w:color w:val="1F2937"/>
                <w:sz w:val="20"/>
                <w:szCs w:val="20"/>
              </w:rPr>
              <w:t xml:space="preserve">Introduction / Recap of Phase-II</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1</w:t>
            </w:r>
          </w:p>
        </w:tc>
        <w:tc>
          <w:tcPr>
            <w:tcW w:type="pct" w:w="68%"/>
            <w:tcMar>
              <w:top w:type="dxa" w:w="80"/>
              <w:left w:type="dxa" w:w="100"/>
              <w:bottom w:type="dxa" w:w="80"/>
              <w:right w:type="dxa" w:w="100"/>
            </w:tcMar>
            <w:vAlign w:val="center"/>
          </w:tcPr>
          <w:p>
            <w:r>
              <w:rPr>
                <w:b w:val="false"/>
                <w:bCs w:val="false"/>
                <w:color w:val="1F2937"/>
                <w:sz w:val="20"/>
                <w:szCs w:val="20"/>
              </w:rPr>
              <w:t xml:space="preserve">Design &amp; Implementation</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2</w:t>
            </w:r>
          </w:p>
        </w:tc>
        <w:tc>
          <w:tcPr>
            <w:tcW w:type="pct" w:w="68%"/>
            <w:tcMar>
              <w:top w:type="dxa" w:w="80"/>
              <w:left w:type="dxa" w:w="100"/>
              <w:bottom w:type="dxa" w:w="80"/>
              <w:right w:type="dxa" w:w="100"/>
            </w:tcMar>
            <w:vAlign w:val="center"/>
          </w:tcPr>
          <w:p>
            <w:r>
              <w:rPr>
                <w:b w:val="false"/>
                <w:bCs w:val="false"/>
                <w:color w:val="1F2937"/>
                <w:sz w:val="20"/>
                <w:szCs w:val="20"/>
              </w:rPr>
              <w:t xml:space="preserve">Coding Standards &amp; System Integration</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3</w:t>
            </w:r>
          </w:p>
        </w:tc>
        <w:tc>
          <w:tcPr>
            <w:tcW w:type="pct" w:w="68%"/>
            <w:tcMar>
              <w:top w:type="dxa" w:w="80"/>
              <w:left w:type="dxa" w:w="100"/>
              <w:bottom w:type="dxa" w:w="80"/>
              <w:right w:type="dxa" w:w="100"/>
            </w:tcMar>
            <w:vAlign w:val="center"/>
          </w:tcPr>
          <w:p>
            <w:r>
              <w:rPr>
                <w:b w:val="false"/>
                <w:bCs w:val="false"/>
                <w:color w:val="1F2937"/>
                <w:sz w:val="20"/>
                <w:szCs w:val="20"/>
              </w:rPr>
              <w:t xml:space="preserve">Testing &amp; Validation</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4</w:t>
            </w:r>
          </w:p>
        </w:tc>
        <w:tc>
          <w:tcPr>
            <w:tcW w:type="pct" w:w="68%"/>
            <w:tcMar>
              <w:top w:type="dxa" w:w="80"/>
              <w:left w:type="dxa" w:w="100"/>
              <w:bottom w:type="dxa" w:w="80"/>
              <w:right w:type="dxa" w:w="100"/>
            </w:tcMar>
            <w:vAlign w:val="center"/>
          </w:tcPr>
          <w:p>
            <w:r>
              <w:rPr>
                <w:b w:val="false"/>
                <w:bCs w:val="false"/>
                <w:color w:val="1F2937"/>
                <w:sz w:val="20"/>
                <w:szCs w:val="20"/>
              </w:rPr>
              <w:t xml:space="preserve">Performance Analysis</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5</w:t>
            </w:r>
          </w:p>
        </w:tc>
        <w:tc>
          <w:tcPr>
            <w:tcW w:type="pct" w:w="68%"/>
            <w:tcMar>
              <w:top w:type="dxa" w:w="80"/>
              <w:left w:type="dxa" w:w="100"/>
              <w:bottom w:type="dxa" w:w="80"/>
              <w:right w:type="dxa" w:w="100"/>
            </w:tcMar>
            <w:vAlign w:val="center"/>
          </w:tcPr>
          <w:p>
            <w:r>
              <w:rPr>
                <w:b w:val="false"/>
                <w:bCs w:val="false"/>
                <w:color w:val="1F2937"/>
                <w:sz w:val="20"/>
                <w:szCs w:val="20"/>
              </w:rPr>
              <w:t xml:space="preserve">Achievement of Milestones</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
              </w:t>
            </w:r>
          </w:p>
        </w:tc>
        <w:tc>
          <w:tcPr>
            <w:tcW w:type="pct" w:w="68%"/>
            <w:tcMar>
              <w:top w:type="dxa" w:w="80"/>
              <w:left w:type="dxa" w:w="100"/>
              <w:bottom w:type="dxa" w:w="80"/>
              <w:right w:type="dxa" w:w="100"/>
            </w:tcMar>
            <w:vAlign w:val="center"/>
          </w:tcPr>
          <w:p>
            <w:r>
              <w:rPr>
                <w:b w:val="false"/>
                <w:bCs w:val="false"/>
                <w:color w:val="1F2937"/>
                <w:sz w:val="20"/>
                <w:szCs w:val="20"/>
              </w:rPr>
              <w:t xml:space="preserve">References</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
              </w:t>
            </w:r>
          </w:p>
        </w:tc>
        <w:tc>
          <w:tcPr>
            <w:tcW w:type="pct" w:w="68%"/>
            <w:tcMar>
              <w:top w:type="dxa" w:w="80"/>
              <w:left w:type="dxa" w:w="100"/>
              <w:bottom w:type="dxa" w:w="80"/>
              <w:right w:type="dxa" w:w="100"/>
            </w:tcMar>
            <w:vAlign w:val="center"/>
          </w:tcPr>
          <w:p>
            <w:r>
              <w:rPr>
                <w:b w:val="false"/>
                <w:bCs w:val="false"/>
                <w:color w:val="1F2937"/>
                <w:sz w:val="20"/>
                <w:szCs w:val="20"/>
              </w:rPr>
              <w:t xml:space="preserve">Appendix A: Important Note on Data &amp; Compute Scope</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bl>
    <w:p>
      <w:r>
        <w:br w:type="page"/>
      </w:r>
    </w:p>
    <w:p>
      <w:pPr>
        <w:pStyle w:val="Heading1"/>
        <w:spacing w:after="160" w:before="320"/>
      </w:pPr>
      <w:r>
        <w:rPr>
          <w:b/>
          <w:bCs/>
          <w:color w:val="1F4E79"/>
          <w:sz w:val="28"/>
          <w:szCs w:val="28"/>
        </w:rPr>
        <w:t xml:space="preserve">INTRODUCTION / RECAP OF PHASE-II</w:t>
      </w:r>
    </w:p>
    <w:p>
      <w:pPr>
        <w:spacing w:after="160" w:line="300"/>
        <w:jc w:val="both"/>
      </w:pPr>
      <w:r>
        <w:rPr>
          <w:i w:val="false"/>
          <w:iCs w:val="false"/>
          <w:color w:val="1F2937"/>
          <w:sz w:val="22"/>
          <w:szCs w:val="22"/>
        </w:rPr>
        <w:t xml:space="preserve">The Phase-II report presented the methodology, project planning (WBS and schedule), and system design for the RL-Based Dynamic Battery Thermal Management System (RL-BTMS). It defined the MDP formulation (state: temperature, SoC, C-rate, ambient temperature, driving/charging mode; action: coolant pump/fan/valve cooling effort; reward: a weighted combination of thermal-safety violation, temperature gradient, and cooling energy), the module-level software design (battery model, environment, agent/training, baseline controller, evaluation, and deployment-feasibility modules), and a risk log covering model-validation, training-stability, and compute-availability risks.</w:t>
      </w:r>
    </w:p>
    <w:p>
      <w:pPr>
        <w:spacing w:after="160" w:line="300"/>
        <w:jc w:val="both"/>
      </w:pPr>
      <w:r>
        <w:rPr>
          <w:i w:val="false"/>
          <w:iCs w:val="false"/>
          <w:color w:val="1F2937"/>
          <w:sz w:val="22"/>
          <w:szCs w:val="22"/>
        </w:rPr>
        <w:t xml:space="preserve">This Phase-III report documents the implementation of that design (21 September – 24 October 2026, per the Major Project Evaluation Rubrics): the battery electro-thermal model, the Gym-style RL environment, the PID baseline controller, and a trained RL agent, together with the testing, validation, and performance analysis carried out to compare the RL agent against the baseline. All numerical results in Section 4 were produced by actually running the code described in Section 1 — they are not illustrative or assumed figures.</w:t>
      </w:r>
    </w:p>
    <w:p>
      <w:r>
        <w:br w:type="page"/>
      </w:r>
    </w:p>
    <w:p>
      <w:pPr>
        <w:pStyle w:val="Heading1"/>
        <w:spacing w:after="160" w:before="320"/>
      </w:pPr>
      <w:r>
        <w:rPr>
          <w:b/>
          <w:bCs/>
          <w:color w:val="1F4E79"/>
          <w:sz w:val="28"/>
          <w:szCs w:val="28"/>
        </w:rPr>
        <w:t xml:space="preserve">1. DESIGN &amp; IMPLEMENTATION</w:t>
      </w:r>
    </w:p>
    <w:p>
      <w:pPr>
        <w:spacing w:after="160" w:line="300"/>
        <w:jc w:val="both"/>
      </w:pPr>
      <w:r>
        <w:rPr>
          <w:i w:val="false"/>
          <w:iCs w:val="false"/>
          <w:color w:val="1F2937"/>
          <w:sz w:val="22"/>
          <w:szCs w:val="22"/>
        </w:rPr>
        <w:t xml:space="preserve">Following the module-level design from Phase-II Section 3.3, five modules were implemented in Python: a battery electro-thermal model, a drive-cycle loader, a Gym-style RL environment, a PID baseline controller, and an RL agent, together with a training/evaluation driver. The code is organised as one file per module so that any one component (e.g. the RL algorithm) can be replaced without touching the others.</w:t>
      </w:r>
    </w:p>
    <w:p>
      <w:pPr>
        <w:pStyle w:val="Heading2"/>
        <w:spacing w:after="120" w:before="220"/>
      </w:pPr>
      <w:r>
        <w:rPr>
          <w:b/>
          <w:bCs/>
          <w:color w:val="1F4E79"/>
          <w:sz w:val="24"/>
          <w:szCs w:val="24"/>
        </w:rPr>
        <w:t xml:space="preserve">1.1 Battery Electro-Thermal Model (battery_model.py)</w:t>
      </w:r>
    </w:p>
    <w:p>
      <w:pPr>
        <w:spacing w:after="160" w:line="300"/>
        <w:jc w:val="both"/>
      </w:pPr>
      <w:r>
        <w:rPr>
          <w:i w:val="false"/>
          <w:iCs w:val="false"/>
          <w:color w:val="1F2937"/>
          <w:sz w:val="22"/>
          <w:szCs w:val="22"/>
        </w:rPr>
        <w:t xml:space="preserve">Implements the equivalent-circuit electrical sub-model (OCV(SoC) minus an I·R drop) and a first-order lumped-thermal-mass sub-model, exactly as specified in Phase-II Section 1.2. At every timestep the model takes the pack current (from the drive cycle) and a normalised cooling-actuator command in [0, 1], and returns the updated pack temperature, State of Charge, terminal voltage, C-rate, and the instantaneous auxiliary cooling power — the same quantities used later in the reward function and evaluation metrics.</w:t>
      </w:r>
    </w:p>
    <w:p>
      <w:pPr>
        <w:pStyle w:val="Heading2"/>
        <w:spacing w:after="120" w:before="220"/>
      </w:pPr>
      <w:r>
        <w:rPr>
          <w:b/>
          <w:bCs/>
          <w:color w:val="1F4E79"/>
          <w:sz w:val="24"/>
          <w:szCs w:val="24"/>
        </w:rPr>
        <w:t xml:space="preserve">1.2 Drive-Cycle Data (drive_cycles.py)</w:t>
      </w:r>
    </w:p>
    <w:p>
      <w:pPr>
        <w:spacing w:after="160" w:line="300"/>
        <w:jc w:val="both"/>
      </w:pPr>
      <w:r>
        <w:rPr>
          <w:i w:val="false"/>
          <w:iCs w:val="false"/>
          <w:color w:val="1F2937"/>
          <w:sz w:val="22"/>
          <w:szCs w:val="22"/>
        </w:rPr>
        <w:t xml:space="preserve">Each of the four cycles named in the Phase-I/II scope (NEDC, FTP-75, HWFET, US06) is represented as a current-vs-time profile with the qualitative character of the real cycle: NEDC as low-speed stop-start, HWFET as sustained high current with low variance, US06 as high-C-rate bursts with sharp transients, and FTP-75 as a mixed urban-plus-fast-charging profile. As documented in Appendix A, these are synthetic surrogate profiles generated inside this project's development sandbox, which did not have internet access to download the real public drive-cycle datasets referenced in Phase-I; replacing them with the real datasets is listed as an immediate next step and does not require any change to the rest of the pipeline.</w:t>
      </w:r>
    </w:p>
    <w:p>
      <w:pPr>
        <w:pStyle w:val="Heading2"/>
        <w:spacing w:after="120" w:before="220"/>
      </w:pPr>
      <w:r>
        <w:rPr>
          <w:b/>
          <w:bCs/>
          <w:color w:val="1F4E79"/>
          <w:sz w:val="24"/>
          <w:szCs w:val="24"/>
        </w:rPr>
        <w:t xml:space="preserve">1.3 RL Environment (btms_env.py)</w:t>
      </w:r>
    </w:p>
    <w:p>
      <w:pPr>
        <w:spacing w:after="160" w:line="300"/>
        <w:jc w:val="both"/>
      </w:pPr>
      <w:r>
        <w:rPr>
          <w:i w:val="false"/>
          <w:iCs w:val="false"/>
          <w:color w:val="1F2937"/>
          <w:sz w:val="22"/>
          <w:szCs w:val="22"/>
        </w:rPr>
        <w:t xml:space="preserve">Wraps the battery model and a randomly-selected drive cycle in a reset()/step() interface matching the OpenAI-Gym convention specified in Phase-II Section 1.3. The 5-dimensional state (normalised temperature, SoC, C-rate, ambient temperature, driving/charging mode) and the reward function (weighted sum of safety violation, temperature-gradient, and cooling-energy terms, per Phase-II Section 1.4) were implemented exactly as designed. The action space is discretised into 5 cooling-effort levels {0, 0.25, 0.5, 0.75, 1.0} for compatibility with the agent described in Section 1.4 below.</w:t>
      </w:r>
    </w:p>
    <w:p>
      <w:pPr>
        <w:pStyle w:val="Heading2"/>
        <w:spacing w:after="120" w:before="220"/>
      </w:pPr>
      <w:r>
        <w:rPr>
          <w:b/>
          <w:bCs/>
          <w:color w:val="1F4E79"/>
          <w:sz w:val="24"/>
          <w:szCs w:val="24"/>
        </w:rPr>
        <w:t xml:space="preserve">1.4 RL Agent — Implementation Scope Note</w:t>
      </w:r>
    </w:p>
    <w:p>
      <w:pPr>
        <w:spacing w:after="160" w:line="300"/>
        <w:jc w:val="both"/>
      </w:pPr>
      <w:r>
        <w:rPr>
          <w:i w:val="false"/>
          <w:iCs w:val="false"/>
          <w:color w:val="1F2937"/>
          <w:sz w:val="22"/>
          <w:szCs w:val="22"/>
        </w:rPr>
        <w:t xml:space="preserve">Phase-II Section 1.5 specified DQN, DDPG, PPO, and SAC, implemented via Stable-Baselines3. That library (and PyTorch/Gymnasium, which it depends on) could not be installed in this project's offline development sandbox. To still deliver a complete, genuinely-executed implementation for this Phase-III milestone, a tabular Q-learning agent (qlearning_agent.py) was implemented as a dependency-free stand-in: it learns a discretised state–action value table using standard epsilon-greedy Q-learning, and plugs into the exact same environment and reward function as the deep-RL algorithms would.</w:t>
      </w:r>
    </w:p>
    <w:p>
      <w:pPr>
        <w:spacing w:after="160" w:line="300"/>
        <w:jc w:val="both"/>
      </w:pPr>
      <w:r>
        <w:rPr>
          <w:i w:val="false"/>
          <w:iCs w:val="false"/>
          <w:color w:val="1F2937"/>
          <w:sz w:val="22"/>
          <w:szCs w:val="22"/>
        </w:rPr>
        <w:t xml:space="preserve">A full Stable-Baselines3-based implementation covering all four algorithms (sb3_train.py) was also written and is included with the submitted code; it wraps the same battery model and reward function as a proper gymnasium.Env with a continuous action space for DDPG/PPO/SAC. It has been syntax-checked but not executed in this sandbox, and is intended to be run on the local GPU machine / Google Colab environment identified in the Phase-II Tools and Resources plan (Section 2.4). All results reported in Section 4 of this report come from the tabular Q-learning agent, which was actually trained and evaluated.</w:t>
      </w:r>
    </w:p>
    <w:p>
      <w:pPr>
        <w:pStyle w:val="Heading2"/>
        <w:spacing w:after="120" w:before="220"/>
      </w:pPr>
      <w:r>
        <w:rPr>
          <w:b/>
          <w:bCs/>
          <w:color w:val="1F4E79"/>
          <w:sz w:val="24"/>
          <w:szCs w:val="24"/>
        </w:rPr>
        <w:t xml:space="preserve">1.5 Baseline Controller (pid_baseline.py)</w:t>
      </w:r>
    </w:p>
    <w:p>
      <w:pPr>
        <w:spacing w:after="160" w:line="300"/>
        <w:jc w:val="both"/>
      </w:pPr>
      <w:r>
        <w:rPr>
          <w:i w:val="false"/>
          <w:iCs w:val="false"/>
          <w:color w:val="1F2937"/>
          <w:sz w:val="22"/>
          <w:szCs w:val="22"/>
        </w:rPr>
        <w:t xml:space="preserve">Implements the rule-based/PID controller designed in Phase-II Section 1.6: proportional-integral control on the temperature error from a 30°C set-point, with a hard rule that forces maximum cooling once the pack temperature reaches 40°C. Its output is discretised onto the same 5-level action set as the RL agent so that the two controllers are compared at identical actuator resolution.</w:t>
      </w:r>
    </w:p>
    <w:p>
      <w:r>
        <w:br w:type="page"/>
      </w:r>
    </w:p>
    <w:p>
      <w:pPr>
        <w:pStyle w:val="Heading1"/>
        <w:spacing w:after="160" w:before="320"/>
      </w:pPr>
      <w:r>
        <w:rPr>
          <w:b/>
          <w:bCs/>
          <w:color w:val="1F4E79"/>
          <w:sz w:val="28"/>
          <w:szCs w:val="28"/>
        </w:rPr>
        <w:t xml:space="preserve">2. CODING STANDARDS &amp; SYSTEM INTEGRATION</w:t>
      </w:r>
    </w:p>
    <w:p>
      <w:pPr>
        <w:pStyle w:val="Heading2"/>
        <w:spacing w:after="120" w:before="220"/>
      </w:pPr>
      <w:r>
        <w:rPr>
          <w:b/>
          <w:bCs/>
          <w:color w:val="1F4E79"/>
          <w:sz w:val="24"/>
          <w:szCs w:val="24"/>
        </w:rPr>
        <w:t xml:space="preserve">2.1 Coding Standards</w:t>
      </w:r>
    </w:p>
    <w:p>
      <w:pPr>
        <w:pStyle w:val="ListParagraph"/>
        <w:numPr>
          <w:ilvl w:val="0"/>
          <w:numId w:val="2"/>
        </w:numPr>
        <w:spacing w:after="100" w:line="290"/>
      </w:pPr>
      <w:r>
        <w:rPr>
          <w:b/>
          <w:bCs/>
          <w:color w:val="1F2937"/>
          <w:sz w:val="22"/>
          <w:szCs w:val="22"/>
        </w:rPr>
        <w:t xml:space="preserve">Modularity: </w:t>
      </w:r>
      <w:r>
        <w:rPr>
          <w:color w:val="1F2937"/>
          <w:sz w:val="22"/>
          <w:szCs w:val="22"/>
        </w:rPr>
        <w:t xml:space="preserve">Each of the five modules (battery model, drive cycles, environment, baseline, agent) is a separate file with a single, clearly documented responsibility, matching the module-level design in Phase-II Section 3.3.</w:t>
      </w:r>
    </w:p>
    <w:p>
      <w:pPr>
        <w:pStyle w:val="ListParagraph"/>
        <w:numPr>
          <w:ilvl w:val="0"/>
          <w:numId w:val="2"/>
        </w:numPr>
        <w:spacing w:after="100" w:line="290"/>
      </w:pPr>
      <w:r>
        <w:rPr>
          <w:b/>
          <w:bCs/>
          <w:color w:val="1F2937"/>
          <w:sz w:val="22"/>
          <w:szCs w:val="22"/>
        </w:rPr>
        <w:t xml:space="preserve">Documentation: </w:t>
      </w:r>
      <w:r>
        <w:rPr>
          <w:color w:val="1F2937"/>
          <w:sz w:val="22"/>
          <w:szCs w:val="22"/>
        </w:rPr>
        <w:t xml:space="preserve">Every file begins with a docstring describing its purpose and, where relevant, its relationship to the Phase-I/II design (e.g. which MDP element it implements).</w:t>
      </w:r>
    </w:p>
    <w:p>
      <w:pPr>
        <w:pStyle w:val="ListParagraph"/>
        <w:numPr>
          <w:ilvl w:val="0"/>
          <w:numId w:val="2"/>
        </w:numPr>
        <w:spacing w:after="100" w:line="290"/>
      </w:pPr>
      <w:r>
        <w:rPr>
          <w:b/>
          <w:bCs/>
          <w:color w:val="1F2937"/>
          <w:sz w:val="22"/>
          <w:szCs w:val="22"/>
        </w:rPr>
        <w:t xml:space="preserve">Configuration: </w:t>
      </w:r>
      <w:r>
        <w:rPr>
          <w:color w:val="1F2937"/>
          <w:sz w:val="22"/>
          <w:szCs w:val="22"/>
        </w:rPr>
        <w:t xml:space="preserve">All constants that define the problem (safe temperature band, critical temperature, action levels, reward weights) are named module-level variables rather than inline magic numbers, so they can be tuned without touching the logic.</w:t>
      </w:r>
    </w:p>
    <w:p>
      <w:pPr>
        <w:pStyle w:val="ListParagraph"/>
        <w:numPr>
          <w:ilvl w:val="0"/>
          <w:numId w:val="2"/>
        </w:numPr>
        <w:spacing w:after="100" w:line="290"/>
      </w:pPr>
      <w:r>
        <w:rPr>
          <w:b/>
          <w:bCs/>
          <w:color w:val="1F2937"/>
          <w:sz w:val="22"/>
          <w:szCs w:val="22"/>
        </w:rPr>
        <w:t xml:space="preserve">Reproducibility: </w:t>
      </w:r>
      <w:r>
        <w:rPr>
          <w:color w:val="1F2937"/>
          <w:sz w:val="22"/>
          <w:szCs w:val="22"/>
        </w:rPr>
        <w:t xml:space="preserve">Fixed random seeds are used for training and for the 20 held-out evaluation episodes per cycle, so the results in Section 4 are exactly reproducible.</w:t>
      </w:r>
    </w:p>
    <w:p>
      <w:pPr>
        <w:pStyle w:val="ListParagraph"/>
        <w:numPr>
          <w:ilvl w:val="0"/>
          <w:numId w:val="2"/>
        </w:numPr>
        <w:spacing w:after="100" w:line="290"/>
      </w:pPr>
      <w:r>
        <w:rPr>
          <w:b/>
          <w:bCs/>
          <w:color w:val="1F2937"/>
          <w:sz w:val="22"/>
          <w:szCs w:val="22"/>
        </w:rPr>
        <w:t xml:space="preserve">Verification: </w:t>
      </w:r>
      <w:r>
        <w:rPr>
          <w:color w:val="1F2937"/>
          <w:sz w:val="22"/>
          <w:szCs w:val="22"/>
        </w:rPr>
        <w:t xml:space="preserve">All five core modules were verified with py_compile before use, and the full pipeline (train_and_evaluate.py) was executed end-to-end without errors to produce this report's results.</w:t>
      </w:r>
    </w:p>
    <w:p>
      <w:pPr>
        <w:pStyle w:val="Heading2"/>
        <w:spacing w:after="120" w:before="220"/>
      </w:pPr>
      <w:r>
        <w:rPr>
          <w:b/>
          <w:bCs/>
          <w:color w:val="1F4E79"/>
          <w:sz w:val="24"/>
          <w:szCs w:val="24"/>
        </w:rPr>
        <w:t xml:space="preserve">2.2 System Integration</w:t>
      </w:r>
    </w:p>
    <w:p>
      <w:pPr>
        <w:spacing w:after="160" w:line="300"/>
        <w:jc w:val="both"/>
      </w:pPr>
      <w:r>
        <w:rPr>
          <w:i w:val="false"/>
          <w:iCs w:val="false"/>
          <w:color w:val="1F2937"/>
          <w:sz w:val="22"/>
          <w:szCs w:val="22"/>
        </w:rPr>
        <w:t xml:space="preserve">The modules integrate through a single shared interface: any controller (PID or RL) interacts with BTMSEnv only through reset() and step(action), and BTMSEnv interacts with BatteryThermalModel only through its step(current, cooling_action) method. Because of this layering, train_and_evaluate.py could evaluate the PID baseline and the RL agent on identical episodes (same drive cycle, same random ambient temperature) without any controller-specific code inside the environment or the battery model — satisfying the like-for-like comparison methodology set out in Phase-II Section 1.1.</w:t>
      </w:r>
    </w:p>
    <w:p>
      <w:r>
        <w:br w:type="page"/>
      </w:r>
    </w:p>
    <w:p>
      <w:pPr>
        <w:spacing w:after="160" w:line="300"/>
        <w:jc w:val="both"/>
      </w:pPr>
      <w:r>
        <w:t>Evidence files: report/results/hardness_gate.json, cycle_report.json, parameter_reference.json, pid_tuning.json, policy_evaluation_summary.csv, summary.csv, deployment_benchmark_sac_seed0.json.</w:t>
      </w:r>
    </w:p>
    <w:p>
      <w:pPr>
        <w:spacing w:after="160" w:line="300"/>
        <w:jc w:val="both"/>
      </w:pPr>
      <w:r>
        <w:t>The rebuild closes the original implementation gaps: it uses a multi-node spatial model, three independently commanded actuators, real drive-cycle traces and five learned-policy seeds. It also changes the conclusion. The current learned policies rely materially on the shield and do not outperform the fairly tuned PID on shielded mean cost. Future work should extend training, validate thermal parameters against measured pack data, and evaluate policies on a target ECU before making a deployment claim.</w:t>
      </w:r>
    </w:p>
    <w:p>
      <w:pPr>
        <w:pStyle w:val="Heading2"/>
        <w:spacing w:after="120" w:before="220"/>
      </w:pPr>
      <w:r>
        <w:t>4.4 Interpretation and limitations</w:t>
      </w:r>
    </w:p>
    <w:p>
      <w:pPr>
        <w:spacing w:after="160" w:line="300"/>
        <w:jc w:val="both"/>
      </w:pPr>
      <w:r>
        <w:t>The benchmark ran on a 13th Gen Intel Core i5-13420H CPU with a 100 ms reference period. It establishes laptop CPU headroom only and cannot certify an automotive ECU. ONNX and INT8 action differences from the PyTorch policy were checked, but quantized quality was not used to claim superior control performance.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0"/>
        <w:gridCol w:w="1800"/>
        <w:gridCol w:w="1800"/>
        <w:gridCol w:w="1800"/>
        <w:gridCol w:w="1800"/>
      </w:tblGrid>
      <w:tr>
        <w:tc>
          <w:tcPr>
            <w:tcW w:w="0" w:type="auto"/>
            <w:shd w:fill="1F4E78" w:val="clear"/>
          </w:tcPr>
          <w:p>
            <w:pPr>
              <w:spacing w:after="160" w:line="300"/>
              <w:jc w:val="both"/>
            </w:pPr>
            <w:r>
              <w:rPr>
                <w:b/>
              </w:rPr>
              <w:t>Runtime</w:t>
            </w:r>
          </w:p>
        </w:tc>
        <w:tc>
          <w:tcPr>
            <w:tcW w:w="0" w:type="auto"/>
            <w:shd w:fill="1F4E78" w:val="clear"/>
          </w:tcPr>
          <w:p>
            <w:pPr>
              <w:spacing w:after="160" w:line="300"/>
              <w:jc w:val="both"/>
            </w:pPr>
            <w:r>
              <w:rPr>
                <w:b/>
              </w:rPr>
              <w:t>Median ms</w:t>
            </w:r>
          </w:p>
        </w:tc>
        <w:tc>
          <w:tcPr>
            <w:tcW w:w="0" w:type="auto"/>
            <w:shd w:fill="1F4E78" w:val="clear"/>
          </w:tcPr>
          <w:p>
            <w:pPr>
              <w:spacing w:after="160" w:line="300"/>
              <w:jc w:val="both"/>
            </w:pPr>
            <w:r>
              <w:rPr>
                <w:b/>
              </w:rPr>
              <w:t>p95 ms</w:t>
            </w:r>
          </w:p>
        </w:tc>
        <w:tc>
          <w:tcPr>
            <w:tcW w:w="0" w:type="auto"/>
            <w:shd w:fill="1F4E78" w:val="clear"/>
          </w:tcPr>
          <w:p>
            <w:pPr>
              <w:spacing w:after="160" w:line="300"/>
              <w:jc w:val="both"/>
            </w:pPr>
            <w:r>
              <w:rPr>
                <w:b/>
              </w:rPr>
              <w:t>10 Hz headroom</w:t>
            </w:r>
          </w:p>
        </w:tc>
        <w:tc>
          <w:tcPr>
            <w:tcW w:w="0" w:type="auto"/>
            <w:shd w:fill="1F4E78" w:val="clear"/>
          </w:tcPr>
          <w:p>
            <w:pPr>
              <w:spacing w:after="160" w:line="300"/>
              <w:jc w:val="both"/>
            </w:pPr>
            <w:r>
              <w:rPr>
                <w:b/>
              </w:rPr>
              <w:t>Footprint KB</w:t>
            </w:r>
          </w:p>
        </w:tc>
      </w:tr>
      <w:tr>
        <w:tc>
          <w:tcPr>
            <w:tcW w:w="0" w:type="auto"/>
          </w:tcPr>
          <w:p>
            <w:pPr>
              <w:spacing w:after="160" w:line="300"/>
              <w:jc w:val="both"/>
            </w:pPr>
            <w:r>
              <w:t>PyTorch SAC</w:t>
            </w:r>
          </w:p>
        </w:tc>
        <w:tc>
          <w:tcPr>
            <w:tcW w:w="0" w:type="auto"/>
          </w:tcPr>
          <w:p>
            <w:pPr>
              <w:spacing w:after="160" w:line="300"/>
              <w:jc w:val="both"/>
            </w:pPr>
            <w:r>
              <w:t>0.0920</w:t>
            </w:r>
          </w:p>
        </w:tc>
        <w:tc>
          <w:tcPr>
            <w:tcW w:w="0" w:type="auto"/>
          </w:tcPr>
          <w:p>
            <w:pPr>
              <w:spacing w:after="160" w:line="300"/>
              <w:jc w:val="both"/>
            </w:pPr>
            <w:r>
              <w:t>0.1220</w:t>
            </w:r>
          </w:p>
        </w:tc>
        <w:tc>
          <w:tcPr>
            <w:tcW w:w="0" w:type="auto"/>
          </w:tcPr>
          <w:p>
            <w:pPr>
              <w:spacing w:after="160" w:line="300"/>
              <w:jc w:val="both"/>
            </w:pPr>
            <w:r>
              <w:t>526.7x</w:t>
            </w:r>
          </w:p>
        </w:tc>
        <w:tc>
          <w:tcPr>
            <w:tcW w:w="0" w:type="auto"/>
          </w:tcPr>
          <w:p>
            <w:pPr>
              <w:spacing w:after="160" w:line="300"/>
              <w:jc w:val="both"/>
            </w:pPr>
            <w:r>
              <w:t>not recorded</w:t>
            </w:r>
          </w:p>
        </w:tc>
      </w:tr>
      <w:tr>
        <w:tc>
          <w:tcPr>
            <w:tcW w:w="0" w:type="auto"/>
          </w:tcPr>
          <w:p>
            <w:pPr>
              <w:spacing w:after="160" w:line="300"/>
              <w:jc w:val="both"/>
            </w:pPr>
            <w:r>
              <w:t>ONNX SAC</w:t>
            </w:r>
          </w:p>
        </w:tc>
        <w:tc>
          <w:tcPr>
            <w:tcW w:w="0" w:type="auto"/>
          </w:tcPr>
          <w:p>
            <w:pPr>
              <w:spacing w:after="160" w:line="300"/>
              <w:jc w:val="both"/>
            </w:pPr>
            <w:r>
              <w:t>0.0170</w:t>
            </w:r>
          </w:p>
        </w:tc>
        <w:tc>
          <w:tcPr>
            <w:tcW w:w="0" w:type="auto"/>
          </w:tcPr>
          <w:p>
            <w:pPr>
              <w:spacing w:after="160" w:line="300"/>
              <w:jc w:val="both"/>
            </w:pPr>
            <w:r>
              <w:t>0.0182</w:t>
            </w:r>
          </w:p>
        </w:tc>
        <w:tc>
          <w:tcPr>
            <w:tcW w:w="0" w:type="auto"/>
          </w:tcPr>
          <w:p>
            <w:pPr>
              <w:spacing w:after="160" w:line="300"/>
              <w:jc w:val="both"/>
            </w:pPr>
            <w:r>
              <w:t>3901.4x</w:t>
            </w:r>
          </w:p>
        </w:tc>
        <w:tc>
          <w:tcPr>
            <w:tcW w:w="0" w:type="auto"/>
          </w:tcPr>
          <w:p>
            <w:pPr>
              <w:spacing w:after="160" w:line="300"/>
              <w:jc w:val="both"/>
            </w:pPr>
            <w:r>
              <w:t>24.94</w:t>
            </w:r>
          </w:p>
        </w:tc>
      </w:tr>
      <w:tr>
        <w:tc>
          <w:tcPr>
            <w:tcW w:w="0" w:type="auto"/>
          </w:tcPr>
          <w:p>
            <w:pPr>
              <w:spacing w:after="160" w:line="300"/>
              <w:jc w:val="both"/>
            </w:pPr>
            <w:r>
              <w:t>INT8 ONNX SAC</w:t>
            </w:r>
          </w:p>
        </w:tc>
        <w:tc>
          <w:tcPr>
            <w:tcW w:w="0" w:type="auto"/>
          </w:tcPr>
          <w:p>
            <w:pPr>
              <w:spacing w:after="160" w:line="300"/>
              <w:jc w:val="both"/>
            </w:pPr>
            <w:r>
              <w:t>0.0217</w:t>
            </w:r>
          </w:p>
        </w:tc>
        <w:tc>
          <w:tcPr>
            <w:tcW w:w="0" w:type="auto"/>
          </w:tcPr>
          <w:p>
            <w:pPr>
              <w:spacing w:after="160" w:line="300"/>
              <w:jc w:val="both"/>
            </w:pPr>
            <w:r>
              <w:t>0.0247</w:t>
            </w:r>
          </w:p>
        </w:tc>
        <w:tc>
          <w:tcPr>
            <w:tcW w:w="0" w:type="auto"/>
          </w:tcPr>
          <w:p>
            <w:pPr>
              <w:spacing w:after="160" w:line="300"/>
              <w:jc w:val="both"/>
            </w:pPr>
            <w:r>
              <w:t>3046.6x</w:t>
            </w:r>
          </w:p>
        </w:tc>
        <w:tc>
          <w:tcPr>
            <w:tcW w:w="0" w:type="auto"/>
          </w:tcPr>
          <w:p>
            <w:pPr>
              <w:spacing w:after="160" w:line="300"/>
              <w:jc w:val="both"/>
            </w:pPr>
            <w:r>
              <w:t>16.04</w:t>
            </w:r>
          </w:p>
        </w:tc>
      </w:tr>
      <w:tr>
        <w:tc>
          <w:tcPr>
            <w:tcW w:w="0" w:type="auto"/>
          </w:tcPr>
          <w:p>
            <w:pPr>
              <w:spacing w:after="160" w:line="300"/>
              <w:jc w:val="both"/>
            </w:pPr>
            <w:r>
              <w:t>Sampling MPC</w:t>
            </w:r>
          </w:p>
        </w:tc>
        <w:tc>
          <w:tcPr>
            <w:tcW w:w="0" w:type="auto"/>
          </w:tcPr>
          <w:p>
            <w:pPr>
              <w:spacing w:after="160" w:line="300"/>
              <w:jc w:val="both"/>
            </w:pPr>
            <w:r>
              <w:t>228.9490</w:t>
            </w:r>
          </w:p>
        </w:tc>
        <w:tc>
          <w:tcPr>
            <w:tcW w:w="0" w:type="auto"/>
          </w:tcPr>
          <w:p>
            <w:pPr>
              <w:spacing w:after="160" w:line="300"/>
              <w:jc w:val="both"/>
            </w:pPr>
            <w:r>
              <w:t>262.3432</w:t>
            </w:r>
          </w:p>
        </w:tc>
        <w:tc>
          <w:tcPr>
            <w:tcW w:w="0" w:type="auto"/>
          </w:tcPr>
          <w:p>
            <w:pPr>
              <w:spacing w:after="160" w:line="300"/>
              <w:jc w:val="both"/>
            </w:pPr>
            <w:r>
              <w:t>0.35x</w:t>
            </w:r>
          </w:p>
        </w:tc>
        <w:tc>
          <w:tcPr>
            <w:tcW w:w="0" w:type="auto"/>
          </w:tcPr>
          <w:p>
            <w:pPr>
              <w:spacing w:after="160" w:line="300"/>
              <w:jc w:val="both"/>
            </w:pPr>
            <w:r>
              <w:t>not applicable</w:t>
            </w:r>
          </w:p>
        </w:tc>
      </w:tr>
    </w:tbl>
    <w:p>
      <w:pPr>
        <w:pStyle w:val="Heading2"/>
        <w:spacing w:after="120" w:before="220"/>
      </w:pPr>
      <w:r>
        <w:t>4.3 Deployment benchmark</w:t>
      </w:r>
    </w:p>
    <w:p>
      <w:pPr>
        <w:spacing w:after="160" w:line="300"/>
        <w:jc w:val="both"/>
      </w:pPr>
      <w:r>
        <w:t>All shielded rows recorded 0.0% violation on the eight-episode evaluation set. The tuned PID has the lowest shielded mean cost among the learned policies. Sampling MPC has lower mean cost in this evaluation but needs substantially more computation and calls the shield more often. These outcomes do not establish an RL advantage over the tuned PID at the present training budget.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00"/>
        <w:gridCol w:w="1500"/>
        <w:gridCol w:w="1500"/>
        <w:gridCol w:w="1500"/>
        <w:gridCol w:w="1500"/>
        <w:gridCol w:w="1500"/>
      </w:tblGrid>
      <w:tr>
        <w:tc>
          <w:tcPr>
            <w:tcW w:w="0" w:type="auto"/>
            <w:shd w:fill="1F4E78" w:val="clear"/>
          </w:tcPr>
          <w:p>
            <w:pPr>
              <w:spacing w:after="160" w:line="300"/>
              <w:jc w:val="both"/>
            </w:pPr>
            <w:r>
              <w:rPr>
                <w:b/>
              </w:rPr>
              <w:t>Controller</w:t>
            </w:r>
          </w:p>
        </w:tc>
        <w:tc>
          <w:tcPr>
            <w:tcW w:w="0" w:type="auto"/>
            <w:shd w:fill="1F4E78" w:val="clear"/>
          </w:tcPr>
          <w:p>
            <w:pPr>
              <w:spacing w:after="160" w:line="300"/>
              <w:jc w:val="both"/>
            </w:pPr>
            <w:r>
              <w:rPr>
                <w:b/>
              </w:rPr>
              <w:t>Seeds</w:t>
            </w:r>
          </w:p>
        </w:tc>
        <w:tc>
          <w:tcPr>
            <w:tcW w:w="0" w:type="auto"/>
            <w:shd w:fill="1F4E78" w:val="clear"/>
          </w:tcPr>
          <w:p>
            <w:pPr>
              <w:spacing w:after="160" w:line="300"/>
              <w:jc w:val="both"/>
            </w:pPr>
            <w:r>
              <w:rPr>
                <w:b/>
              </w:rPr>
              <w:t>Cost mean</w:t>
            </w:r>
          </w:p>
        </w:tc>
        <w:tc>
          <w:tcPr>
            <w:tcW w:w="0" w:type="auto"/>
            <w:shd w:fill="1F4E78" w:val="clear"/>
          </w:tcPr>
          <w:p>
            <w:pPr>
              <w:spacing w:after="160" w:line="300"/>
              <w:jc w:val="both"/>
            </w:pPr>
            <w:r>
              <w:rPr>
                <w:b/>
              </w:rPr>
              <w:t>Aux Wh mean</w:t>
            </w:r>
          </w:p>
        </w:tc>
        <w:tc>
          <w:tcPr>
            <w:tcW w:w="0" w:type="auto"/>
            <w:shd w:fill="1F4E78" w:val="clear"/>
          </w:tcPr>
          <w:p>
            <w:pPr>
              <w:spacing w:after="160" w:line="300"/>
              <w:jc w:val="both"/>
            </w:pPr>
            <w:r>
              <w:rPr>
                <w:b/>
              </w:rPr>
              <w:t>Shield firing %</w:t>
            </w:r>
          </w:p>
        </w:tc>
        <w:tc>
          <w:tcPr>
            <w:tcW w:w="0" w:type="auto"/>
            <w:shd w:fill="1F4E78" w:val="clear"/>
          </w:tcPr>
          <w:p>
            <w:pPr>
              <w:spacing w:after="160" w:line="300"/>
              <w:jc w:val="both"/>
            </w:pPr>
            <w:r>
              <w:rPr>
                <w:b/>
              </w:rPr>
              <w:t>Spatial delta C</w:t>
            </w:r>
          </w:p>
        </w:tc>
      </w:tr>
      <w:tr>
        <w:tc>
          <w:tcPr>
            <w:tcW w:w="0" w:type="auto"/>
          </w:tcPr>
          <w:p>
            <w:pPr>
              <w:spacing w:after="160" w:line="300"/>
              <w:jc w:val="both"/>
            </w:pPr>
            <w:r>
              <w:t>PID tuned</w:t>
            </w:r>
          </w:p>
        </w:tc>
        <w:tc>
          <w:tcPr>
            <w:tcW w:w="0" w:type="auto"/>
          </w:tcPr>
          <w:p>
            <w:pPr>
              <w:spacing w:after="160" w:line="300"/>
              <w:jc w:val="both"/>
            </w:pPr>
            <w:r>
              <w:t>1</w:t>
            </w:r>
          </w:p>
        </w:tc>
        <w:tc>
          <w:tcPr>
            <w:tcW w:w="0" w:type="auto"/>
          </w:tcPr>
          <w:p>
            <w:pPr>
              <w:spacing w:after="160" w:line="300"/>
              <w:jc w:val="both"/>
            </w:pPr>
            <w:r>
              <w:t>1737.38</w:t>
            </w:r>
          </w:p>
        </w:tc>
        <w:tc>
          <w:tcPr>
            <w:tcW w:w="0" w:type="auto"/>
          </w:tcPr>
          <w:p>
            <w:pPr>
              <w:spacing w:after="160" w:line="300"/>
              <w:jc w:val="both"/>
            </w:pPr>
            <w:r>
              <w:t>482.31</w:t>
            </w:r>
          </w:p>
        </w:tc>
        <w:tc>
          <w:tcPr>
            <w:tcW w:w="0" w:type="auto"/>
          </w:tcPr>
          <w:p>
            <w:pPr>
              <w:spacing w:after="160" w:line="300"/>
              <w:jc w:val="both"/>
            </w:pPr>
            <w:r>
              <w:t>1.23</w:t>
            </w:r>
          </w:p>
        </w:tc>
        <w:tc>
          <w:tcPr>
            <w:tcW w:w="0" w:type="auto"/>
          </w:tcPr>
          <w:p>
            <w:pPr>
              <w:spacing w:after="160" w:line="300"/>
              <w:jc w:val="both"/>
            </w:pPr>
            <w:r>
              <w:t>1.79</w:t>
            </w:r>
          </w:p>
        </w:tc>
      </w:tr>
      <w:tr>
        <w:tc>
          <w:tcPr>
            <w:tcW w:w="0" w:type="auto"/>
          </w:tcPr>
          <w:p>
            <w:pPr>
              <w:spacing w:after="160" w:line="300"/>
              <w:jc w:val="both"/>
            </w:pPr>
            <w:r>
              <w:t>Bang-bang</w:t>
            </w:r>
          </w:p>
        </w:tc>
        <w:tc>
          <w:tcPr>
            <w:tcW w:w="0" w:type="auto"/>
          </w:tcPr>
          <w:p>
            <w:pPr>
              <w:spacing w:after="160" w:line="300"/>
              <w:jc w:val="both"/>
            </w:pPr>
            <w:r>
              <w:t>1</w:t>
            </w:r>
          </w:p>
        </w:tc>
        <w:tc>
          <w:tcPr>
            <w:tcW w:w="0" w:type="auto"/>
          </w:tcPr>
          <w:p>
            <w:pPr>
              <w:spacing w:after="160" w:line="300"/>
              <w:jc w:val="both"/>
            </w:pPr>
            <w:r>
              <w:t>1983.07</w:t>
            </w:r>
          </w:p>
        </w:tc>
        <w:tc>
          <w:tcPr>
            <w:tcW w:w="0" w:type="auto"/>
          </w:tcPr>
          <w:p>
            <w:pPr>
              <w:spacing w:after="160" w:line="300"/>
              <w:jc w:val="both"/>
            </w:pPr>
            <w:r>
              <w:t>626.79</w:t>
            </w:r>
          </w:p>
        </w:tc>
        <w:tc>
          <w:tcPr>
            <w:tcW w:w="0" w:type="auto"/>
          </w:tcPr>
          <w:p>
            <w:pPr>
              <w:spacing w:after="160" w:line="300"/>
              <w:jc w:val="both"/>
            </w:pPr>
            <w:r>
              <w:t>1.23</w:t>
            </w:r>
          </w:p>
        </w:tc>
        <w:tc>
          <w:tcPr>
            <w:tcW w:w="0" w:type="auto"/>
          </w:tcPr>
          <w:p>
            <w:pPr>
              <w:spacing w:after="160" w:line="300"/>
              <w:jc w:val="both"/>
            </w:pPr>
            <w:r>
              <w:t>2.26</w:t>
            </w:r>
          </w:p>
        </w:tc>
      </w:tr>
      <w:tr>
        <w:tc>
          <w:tcPr>
            <w:tcW w:w="0" w:type="auto"/>
          </w:tcPr>
          <w:p>
            <w:pPr>
              <w:spacing w:after="160" w:line="300"/>
              <w:jc w:val="both"/>
            </w:pPr>
            <w:r>
              <w:t>MPC sampling</w:t>
            </w:r>
          </w:p>
        </w:tc>
        <w:tc>
          <w:tcPr>
            <w:tcW w:w="0" w:type="auto"/>
          </w:tcPr>
          <w:p>
            <w:pPr>
              <w:spacing w:after="160" w:line="300"/>
              <w:jc w:val="both"/>
            </w:pPr>
            <w:r>
              <w:t>1</w:t>
            </w:r>
          </w:p>
        </w:tc>
        <w:tc>
          <w:tcPr>
            <w:tcW w:w="0" w:type="auto"/>
          </w:tcPr>
          <w:p>
            <w:pPr>
              <w:spacing w:after="160" w:line="300"/>
              <w:jc w:val="both"/>
            </w:pPr>
            <w:r>
              <w:t>1618.36</w:t>
            </w:r>
          </w:p>
        </w:tc>
        <w:tc>
          <w:tcPr>
            <w:tcW w:w="0" w:type="auto"/>
          </w:tcPr>
          <w:p>
            <w:pPr>
              <w:spacing w:after="160" w:line="300"/>
              <w:jc w:val="both"/>
            </w:pPr>
            <w:r>
              <w:t>445.26</w:t>
            </w:r>
          </w:p>
        </w:tc>
        <w:tc>
          <w:tcPr>
            <w:tcW w:w="0" w:type="auto"/>
          </w:tcPr>
          <w:p>
            <w:pPr>
              <w:spacing w:after="160" w:line="300"/>
              <w:jc w:val="both"/>
            </w:pPr>
            <w:r>
              <w:t>14.31</w:t>
            </w:r>
          </w:p>
        </w:tc>
        <w:tc>
          <w:tcPr>
            <w:tcW w:w="0" w:type="auto"/>
          </w:tcPr>
          <w:p>
            <w:pPr>
              <w:spacing w:after="160" w:line="300"/>
              <w:jc w:val="both"/>
            </w:pPr>
            <w:r>
              <w:t>1.31</w:t>
            </w:r>
          </w:p>
        </w:tc>
      </w:tr>
      <w:tr>
        <w:tc>
          <w:tcPr>
            <w:tcW w:w="0" w:type="auto"/>
          </w:tcPr>
          <w:p>
            <w:pPr>
              <w:spacing w:after="160" w:line="300"/>
              <w:jc w:val="both"/>
            </w:pPr>
            <w:r>
              <w:t>PPO</w:t>
            </w:r>
          </w:p>
        </w:tc>
        <w:tc>
          <w:tcPr>
            <w:tcW w:w="0" w:type="auto"/>
          </w:tcPr>
          <w:p>
            <w:pPr>
              <w:spacing w:after="160" w:line="300"/>
              <w:jc w:val="both"/>
            </w:pPr>
            <w:r>
              <w:t>5</w:t>
            </w:r>
          </w:p>
        </w:tc>
        <w:tc>
          <w:tcPr>
            <w:tcW w:w="0" w:type="auto"/>
          </w:tcPr>
          <w:p>
            <w:pPr>
              <w:spacing w:after="160" w:line="300"/>
              <w:jc w:val="both"/>
            </w:pPr>
            <w:r>
              <w:t>1841.61</w:t>
            </w:r>
          </w:p>
        </w:tc>
        <w:tc>
          <w:tcPr>
            <w:tcW w:w="0" w:type="auto"/>
          </w:tcPr>
          <w:p>
            <w:pPr>
              <w:spacing w:after="160" w:line="300"/>
              <w:jc w:val="both"/>
            </w:pPr>
            <w:r>
              <w:t>474.76</w:t>
            </w:r>
          </w:p>
        </w:tc>
        <w:tc>
          <w:tcPr>
            <w:tcW w:w="0" w:type="auto"/>
          </w:tcPr>
          <w:p>
            <w:pPr>
              <w:spacing w:after="160" w:line="300"/>
              <w:jc w:val="both"/>
            </w:pPr>
            <w:r>
              <w:t>22.70</w:t>
            </w:r>
          </w:p>
        </w:tc>
        <w:tc>
          <w:tcPr>
            <w:tcW w:w="0" w:type="auto"/>
          </w:tcPr>
          <w:p>
            <w:pPr>
              <w:spacing w:after="160" w:line="300"/>
              <w:jc w:val="both"/>
            </w:pPr>
            <w:r>
              <w:t>2.15</w:t>
            </w:r>
          </w:p>
        </w:tc>
      </w:tr>
      <w:tr>
        <w:tc>
          <w:tcPr>
            <w:tcW w:w="0" w:type="auto"/>
          </w:tcPr>
          <w:p>
            <w:pPr>
              <w:spacing w:after="160" w:line="300"/>
              <w:jc w:val="both"/>
            </w:pPr>
            <w:r>
              <w:t>SAC</w:t>
            </w:r>
          </w:p>
        </w:tc>
        <w:tc>
          <w:tcPr>
            <w:tcW w:w="0" w:type="auto"/>
          </w:tcPr>
          <w:p>
            <w:pPr>
              <w:spacing w:after="160" w:line="300"/>
              <w:jc w:val="both"/>
            </w:pPr>
            <w:r>
              <w:t>5</w:t>
            </w:r>
          </w:p>
        </w:tc>
        <w:tc>
          <w:tcPr>
            <w:tcW w:w="0" w:type="auto"/>
          </w:tcPr>
          <w:p>
            <w:pPr>
              <w:spacing w:after="160" w:line="300"/>
              <w:jc w:val="both"/>
            </w:pPr>
            <w:r>
              <w:t>1768.50</w:t>
            </w:r>
          </w:p>
        </w:tc>
        <w:tc>
          <w:tcPr>
            <w:tcW w:w="0" w:type="auto"/>
          </w:tcPr>
          <w:p>
            <w:pPr>
              <w:spacing w:after="160" w:line="300"/>
              <w:jc w:val="both"/>
            </w:pPr>
            <w:r>
              <w:t>490.39</w:t>
            </w:r>
          </w:p>
        </w:tc>
        <w:tc>
          <w:tcPr>
            <w:tcW w:w="0" w:type="auto"/>
          </w:tcPr>
          <w:p>
            <w:pPr>
              <w:spacing w:after="160" w:line="300"/>
              <w:jc w:val="both"/>
            </w:pPr>
            <w:r>
              <w:t>19.63</w:t>
            </w:r>
          </w:p>
        </w:tc>
        <w:tc>
          <w:tcPr>
            <w:tcW w:w="0" w:type="auto"/>
          </w:tcPr>
          <w:p>
            <w:pPr>
              <w:spacing w:after="160" w:line="300"/>
              <w:jc w:val="both"/>
            </w:pPr>
            <w:r>
              <w:t>1.91</w:t>
            </w:r>
          </w:p>
        </w:tc>
      </w:tr>
      <w:tr>
        <w:tc>
          <w:tcPr>
            <w:tcW w:w="0" w:type="auto"/>
          </w:tcPr>
          <w:p>
            <w:pPr>
              <w:spacing w:after="160" w:line="300"/>
              <w:jc w:val="both"/>
            </w:pPr>
            <w:r>
              <w:t>TD3</w:t>
            </w:r>
          </w:p>
        </w:tc>
        <w:tc>
          <w:tcPr>
            <w:tcW w:w="0" w:type="auto"/>
          </w:tcPr>
          <w:p>
            <w:pPr>
              <w:spacing w:after="160" w:line="300"/>
              <w:jc w:val="both"/>
            </w:pPr>
            <w:r>
              <w:t>5</w:t>
            </w:r>
          </w:p>
        </w:tc>
        <w:tc>
          <w:tcPr>
            <w:tcW w:w="0" w:type="auto"/>
          </w:tcPr>
          <w:p>
            <w:pPr>
              <w:spacing w:after="160" w:line="300"/>
              <w:jc w:val="both"/>
            </w:pPr>
            <w:r>
              <w:t>1750.04</w:t>
            </w:r>
          </w:p>
        </w:tc>
        <w:tc>
          <w:tcPr>
            <w:tcW w:w="0" w:type="auto"/>
          </w:tcPr>
          <w:p>
            <w:pPr>
              <w:spacing w:after="160" w:line="300"/>
              <w:jc w:val="both"/>
            </w:pPr>
            <w:r>
              <w:t>483.99</w:t>
            </w:r>
          </w:p>
        </w:tc>
        <w:tc>
          <w:tcPr>
            <w:tcW w:w="0" w:type="auto"/>
          </w:tcPr>
          <w:p>
            <w:pPr>
              <w:spacing w:after="160" w:line="300"/>
              <w:jc w:val="both"/>
            </w:pPr>
            <w:r>
              <w:t>21.85</w:t>
            </w:r>
          </w:p>
        </w:tc>
        <w:tc>
          <w:tcPr>
            <w:tcW w:w="0" w:type="auto"/>
          </w:tcPr>
          <w:p>
            <w:pPr>
              <w:spacing w:after="160" w:line="300"/>
              <w:jc w:val="both"/>
            </w:pPr>
            <w:r>
              <w:t>1.83</w:t>
            </w:r>
          </w:p>
        </w:tc>
      </w:tr>
    </w:tbl>
    <w:p>
      <w:pPr>
        <w:pStyle w:val="Heading2"/>
        <w:spacing w:after="120" w:before="220"/>
      </w:pPr>
      <w:r>
        <w:t>4.2 Shielded controller comparison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50"/>
        <w:gridCol w:w="2250"/>
        <w:gridCol w:w="2250"/>
        <w:gridCol w:w="2250"/>
      </w:tblGrid>
      <w:tr>
        <w:tc>
          <w:tcPr>
            <w:tcW w:w="0" w:type="auto"/>
            <w:shd w:fill="1F4E78" w:val="clear"/>
          </w:tcPr>
          <w:p>
            <w:pPr>
              <w:spacing w:after="160" w:line="300"/>
              <w:jc w:val="both"/>
            </w:pPr>
            <w:r>
              <w:rPr>
                <w:b/>
              </w:rPr>
              <w:t>Algorithm</w:t>
            </w:r>
          </w:p>
        </w:tc>
        <w:tc>
          <w:tcPr>
            <w:tcW w:w="0" w:type="auto"/>
            <w:shd w:fill="1F4E78" w:val="clear"/>
          </w:tcPr>
          <w:p>
            <w:pPr>
              <w:spacing w:after="160" w:line="300"/>
              <w:jc w:val="both"/>
            </w:pPr>
            <w:r>
              <w:rPr>
                <w:b/>
              </w:rPr>
              <w:t>Seeds</w:t>
            </w:r>
          </w:p>
        </w:tc>
        <w:tc>
          <w:tcPr>
            <w:tcW w:w="0" w:type="auto"/>
            <w:shd w:fill="1F4E78" w:val="clear"/>
          </w:tcPr>
          <w:p>
            <w:pPr>
              <w:spacing w:after="160" w:line="300"/>
              <w:jc w:val="both"/>
            </w:pPr>
            <w:r>
              <w:rPr>
                <w:b/>
              </w:rPr>
              <w:t>Final mean reward</w:t>
            </w:r>
          </w:p>
        </w:tc>
        <w:tc>
          <w:tcPr>
            <w:tcW w:w="0" w:type="auto"/>
            <w:shd w:fill="1F4E78" w:val="clear"/>
          </w:tcPr>
          <w:p>
            <w:pPr>
              <w:spacing w:after="160" w:line="300"/>
              <w:jc w:val="both"/>
            </w:pPr>
            <w:r>
              <w:rPr>
                <w:b/>
              </w:rPr>
              <w:t>Final standard deviation</w:t>
            </w:r>
          </w:p>
        </w:tc>
      </w:tr>
      <w:tr>
        <w:tc>
          <w:tcPr>
            <w:tcW w:w="0" w:type="auto"/>
          </w:tcPr>
          <w:p>
            <w:pPr>
              <w:spacing w:after="160" w:line="300"/>
              <w:jc w:val="both"/>
            </w:pPr>
            <w:r>
              <w:t>PPO</w:t>
            </w:r>
          </w:p>
        </w:tc>
        <w:tc>
          <w:tcPr>
            <w:tcW w:w="0" w:type="auto"/>
          </w:tcPr>
          <w:p>
            <w:pPr>
              <w:spacing w:after="160" w:line="300"/>
              <w:jc w:val="both"/>
            </w:pPr>
            <w:r>
              <w:t>5</w:t>
            </w:r>
          </w:p>
        </w:tc>
        <w:tc>
          <w:tcPr>
            <w:tcW w:w="0" w:type="auto"/>
          </w:tcPr>
          <w:p>
            <w:pPr>
              <w:spacing w:after="160" w:line="300"/>
              <w:jc w:val="both"/>
            </w:pPr>
            <w:r>
              <w:t>-1762.07</w:t>
            </w:r>
          </w:p>
        </w:tc>
        <w:tc>
          <w:tcPr>
            <w:tcW w:w="0" w:type="auto"/>
          </w:tcPr>
          <w:p>
            <w:pPr>
              <w:spacing w:after="160" w:line="300"/>
              <w:jc w:val="both"/>
            </w:pPr>
            <w:r>
              <w:t>71.77</w:t>
            </w:r>
          </w:p>
        </w:tc>
      </w:tr>
      <w:tr>
        <w:tc>
          <w:tcPr>
            <w:tcW w:w="0" w:type="auto"/>
          </w:tcPr>
          <w:p>
            <w:pPr>
              <w:spacing w:after="160" w:line="300"/>
              <w:jc w:val="both"/>
            </w:pPr>
            <w:r>
              <w:t>SAC</w:t>
            </w:r>
          </w:p>
        </w:tc>
        <w:tc>
          <w:tcPr>
            <w:tcW w:w="0" w:type="auto"/>
          </w:tcPr>
          <w:p>
            <w:pPr>
              <w:spacing w:after="160" w:line="300"/>
              <w:jc w:val="both"/>
            </w:pPr>
            <w:r>
              <w:t>5</w:t>
            </w:r>
          </w:p>
        </w:tc>
        <w:tc>
          <w:tcPr>
            <w:tcW w:w="0" w:type="auto"/>
          </w:tcPr>
          <w:p>
            <w:pPr>
              <w:spacing w:after="160" w:line="300"/>
              <w:jc w:val="both"/>
            </w:pPr>
            <w:r>
              <w:t>-1983.91</w:t>
            </w:r>
          </w:p>
        </w:tc>
        <w:tc>
          <w:tcPr>
            <w:tcW w:w="0" w:type="auto"/>
          </w:tcPr>
          <w:p>
            <w:pPr>
              <w:spacing w:after="160" w:line="300"/>
              <w:jc w:val="both"/>
            </w:pPr>
            <w:r>
              <w:t>11.69</w:t>
            </w:r>
          </w:p>
        </w:tc>
      </w:tr>
      <w:tr>
        <w:tc>
          <w:tcPr>
            <w:tcW w:w="0" w:type="auto"/>
          </w:tcPr>
          <w:p>
            <w:pPr>
              <w:spacing w:after="160" w:line="300"/>
              <w:jc w:val="both"/>
            </w:pPr>
            <w:r>
              <w:t>TD3</w:t>
            </w:r>
          </w:p>
        </w:tc>
        <w:tc>
          <w:tcPr>
            <w:tcW w:w="0" w:type="auto"/>
          </w:tcPr>
          <w:p>
            <w:pPr>
              <w:spacing w:after="160" w:line="300"/>
              <w:jc w:val="both"/>
            </w:pPr>
            <w:r>
              <w:t>5</w:t>
            </w:r>
          </w:p>
        </w:tc>
        <w:tc>
          <w:tcPr>
            <w:tcW w:w="0" w:type="auto"/>
          </w:tcPr>
          <w:p>
            <w:pPr>
              <w:spacing w:after="160" w:line="300"/>
              <w:jc w:val="both"/>
            </w:pPr>
            <w:r>
              <w:t>-1934.04</w:t>
            </w:r>
          </w:p>
        </w:tc>
        <w:tc>
          <w:tcPr>
            <w:tcW w:w="0" w:type="auto"/>
          </w:tcPr>
          <w:p>
            <w:pPr>
              <w:spacing w:after="160" w:line="300"/>
              <w:jc w:val="both"/>
            </w:pPr>
            <w:r>
              <w:t>47.95</w:t>
            </w:r>
          </w:p>
        </w:tc>
      </w:tr>
    </w:tbl>
    <w:p>
      <w:pPr>
        <w:pStyle w:val="Heading2"/>
        <w:spacing w:after="120" w:before="220"/>
      </w:pPr>
      <w:r>
        <w:t>4.1 Training results</w:t>
      </w:r>
    </w:p>
    <w:p>
      <w:pPr>
        <w:spacing w:after="160" w:line="300"/>
        <w:jc w:val="both"/>
      </w:pPr>
      <w:r>
        <w:t>The previous 95% cooling-energy claim and the max |dT/dt| temperature-gradient proxy are retired. The updated metric is the true maximum spatial temperature difference across the four thermal nodes. The primary comparison uses the shielded fixed evaluation set because it permits like-for-like zero recorded violations while exposing intervention frequency.</w:t>
      </w:r>
    </w:p>
    <w:p>
      <w:pPr>
        <w:pStyle w:val="Heading1"/>
        <w:spacing w:after="160" w:before="320"/>
      </w:pPr>
      <w:r>
        <w:t>4. PERFORMANCE ANALYSIS</w:t>
      </w:r>
    </w:p>
    <w:p>
      <w:pPr>
        <w:spacing w:after="160" w:line="300"/>
        <w:jc w:val="both"/>
      </w:pPr>
      <w:r>
        <w:t>The supervisory shield produced zero recorded safety-band violation for every evaluated controller. That result is conditional on intervention: learned policies fired the shield for 19.63% to 22.70% of evaluation steps. Without the shield, PPO, SAC and TD3 violated the band for 42.28%, 41.15% and 42.08% of evaluated time respectively. The shield therefore provides supervisory safety in this model; it does not demonstrate that the learned policies are independently safe.</w:t>
      </w:r>
    </w:p>
    <w:p>
      <w:pPr>
        <w:pStyle w:val="Heading2"/>
        <w:spacing w:after="120" w:before="220"/>
      </w:pPr>
      <w:r>
        <w:t>3.3 Safety validation</w:t>
      </w:r>
    </w:p>
    <w:p>
      <w:pPr>
        <w:spacing w:after="160" w:line="300"/>
        <w:jc w:val="both"/>
      </w:pPr>
      <w:r>
        <w:t>PPO, SAC and TD3 each trained for 20,000 environment steps across five seeds on the mixed scenario. The learned policies and four deterministic baselines were replayed on the same eight held-out episodes. Shielded and unshielded evaluations are reported separately. PID tuning used a disjoint tuning split and the same integrated cost as the learned policies; the selected setting was 39 C with Kp 0.6, Ki 0 and Kd 0.</w:t>
      </w:r>
    </w:p>
    <w:p>
      <w:pPr>
        <w:pStyle w:val="Heading2"/>
        <w:spacing w:after="120" w:before="220"/>
      </w:pPr>
      <w:r>
        <w:t>3.2 Training and evaluation protocol</w:t>
      </w:r>
    </w:p>
    <w:p>
      <w:pPr>
        <w:spacing w:after="160" w:line="300"/>
        <w:jc w:val="both"/>
      </w:pPr>
      <w:r>
        <w:t>Four real drive-cycle files loaded with recorded source URLs and hashes. The unadjusted road-load model reports 13.26, 13.30, 18.74 and 13.99 kWh per 100 km for UDDS, HWFET, US06 and NEDC respectively. These values are retained as calculated rather than rescaled to a generic target. A PyBaMM SPMe cross-check at four state-of-charge points supports the electrical lookup values, while the pack conductances and hardware mass remain engineering assumptions rather than experimental validation.</w:t>
      </w:r>
    </w:p>
    <w:p>
      <w:pPr>
        <w:spacing w:after="160" w:line="300"/>
        <w:jc w:val="both"/>
      </w:pPr>
      <w:r>
        <w:t>Five physics and normalizer tests passed. The null-controller hardness gate passed: without cooling, mild stays within the band, while hot violates the band for 1,472 of 1,800 s and fast charge for 1,181 of 1,350 s. Full cooling held the hot case below 45 C and the fast-charge case below 45 C. The energy-residual records in the gate are near numerical precision.</w:t>
      </w:r>
    </w:p>
    <w:p>
      <w:pPr>
        <w:pStyle w:val="Heading2"/>
        <w:spacing w:after="120" w:before="220"/>
      </w:pPr>
      <w:r>
        <w:t>3.1 Plant and input checks</w:t>
      </w:r>
    </w:p>
    <w:p>
      <w:pPr>
        <w:spacing w:after="160" w:line="300"/>
        <w:jc w:val="both"/>
      </w:pPr>
      <w:r>
        <w:t>This section supersedes the earlier synthetic-cycle and tabular-Q-learning validation. The rebuilt study used real UDDS, HWFET, US06, ECE and EUDC source traces, a four-node pack model, continuous pump, fan and chiller actions, and a fixed held-out evaluation set. Results are traceable to report/results.</w:t>
      </w:r>
    </w:p>
    <w:p>
      <w:pPr>
        <w:pStyle w:val="Heading1"/>
        <w:spacing w:after="160" w:before="320"/>
      </w:pPr>
      <w:r>
        <w:t>3. TESTING AND VALIDATION</w:t>
      </w:r>
    </w:p>
    <w:p>
      <w:pPr>
        <w:pStyle w:val="Heading1"/>
        <w:spacing w:after="160" w:before="320"/>
      </w:pPr>
      <w:r>
        <w:rPr>
          <w:b/>
          <w:bCs/>
          <w:color w:val="1F4E79"/>
          <w:sz w:val="28"/>
          <w:szCs w:val="28"/>
        </w:rPr>
        <w:t xml:space="preserve">5. ACHIEVEMENT OF MILESTONES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45%"/>
            <w:shd w:fill="1F4E79" w:val="clear"/>
            <w:tcMar>
              <w:top w:type="dxa" w:w="80"/>
              <w:left w:type="dxa" w:w="100"/>
              <w:bottom w:type="dxa" w:w="80"/>
              <w:right w:type="dxa" w:w="100"/>
            </w:tcMar>
            <w:vAlign w:val="center"/>
          </w:tcPr>
          <w:p>
            <w:r>
              <w:rPr>
                <w:b/>
                <w:bCs/>
                <w:color w:val="FFFFFF"/>
                <w:sz w:val="20"/>
                <w:szCs w:val="20"/>
              </w:rPr>
              <w:t xml:space="preserve">Phase-II / WBS Milestone</w:t>
            </w:r>
          </w:p>
        </w:tc>
        <w:tc>
          <w:tcPr>
            <w:tcW w:type="pct" w:w="15%"/>
            <w:shd w:fill="1F4E79" w:val="clear"/>
            <w:tcMar>
              <w:top w:type="dxa" w:w="80"/>
              <w:left w:type="dxa" w:w="100"/>
              <w:bottom w:type="dxa" w:w="80"/>
              <w:right w:type="dxa" w:w="100"/>
            </w:tcMar>
            <w:vAlign w:val="center"/>
          </w:tcPr>
          <w:p>
            <w:r>
              <w:rPr>
                <w:b/>
                <w:bCs/>
                <w:color w:val="FFFFFF"/>
                <w:sz w:val="20"/>
                <w:szCs w:val="20"/>
              </w:rPr>
              <w:t xml:space="preserve">Status</w:t>
            </w:r>
          </w:p>
        </w:tc>
        <w:tc>
          <w:tcPr>
            <w:tcW w:type="pct" w:w="40%"/>
            <w:shd w:fill="1F4E79" w:val="clear"/>
            <w:tcMar>
              <w:top w:type="dxa" w:w="80"/>
              <w:left w:type="dxa" w:w="100"/>
              <w:bottom w:type="dxa" w:w="80"/>
              <w:right w:type="dxa" w:w="100"/>
            </w:tcMar>
            <w:vAlign w:val="center"/>
          </w:tcPr>
          <w:p>
            <w:r>
              <w:rPr>
                <w:b/>
                <w:bCs/>
                <w:color w:val="FFFFFF"/>
                <w:sz w:val="20"/>
                <w:szCs w:val="20"/>
              </w:rPr>
              <w:t xml:space="preserve">Evidence</w:t>
            </w:r>
          </w:p>
        </w:tc>
      </w:tr>
      <w:tr>
        <w:tc>
          <w:tcPr>
            <w:tcW w:type="pct" w:w="20%"/>
            <w:tcMar>
              <w:top w:type="dxa" w:w="80"/>
              <w:left w:type="dxa" w:w="100"/>
              <w:bottom w:type="dxa" w:w="80"/>
              <w:right w:type="dxa" w:w="100"/>
            </w:tcMar>
            <w:vAlign w:val="center"/>
          </w:tcPr>
          <w:p>
            <w:r>
              <w:rPr>
                <w:b w:val="false"/>
                <w:bCs w:val="false"/>
                <w:color w:val="1F2937"/>
                <w:sz w:val="20"/>
                <w:szCs w:val="20"/>
              </w:rPr>
              <w:t xml:space="preserve">1.1 Battery electro-thermal model</w:t>
            </w:r>
          </w:p>
        </w:tc>
        <w:tc>
          <w:tcPr>
            <w:tcW w:type="pct" w:w="20%"/>
            <w:tcMar>
              <w:top w:type="dxa" w:w="80"/>
              <w:left w:type="dxa" w:w="100"/>
              <w:bottom w:type="dxa" w:w="80"/>
              <w:right w:type="dxa" w:w="100"/>
            </w:tcMar>
            <w:vAlign w:val="center"/>
          </w:tcPr>
          <w:p>
            <w:r>
              <w:rPr>
                <w:b w:val="false"/>
                <w:bCs w:val="false"/>
                <w:color w:val="1F2937"/>
                <w:sz w:val="20"/>
                <w:szCs w:val="20"/>
              </w:rPr>
              <w:t xml:space="preserve">Complete</w:t>
            </w:r>
          </w:p>
        </w:tc>
        <w:tc>
          <w:tcPr>
            <w:tcW w:type="pct" w:w="20%"/>
            <w:tcMar>
              <w:top w:type="dxa" w:w="80"/>
              <w:left w:type="dxa" w:w="100"/>
              <w:bottom w:type="dxa" w:w="80"/>
              <w:right w:type="dxa" w:w="100"/>
            </w:tcMar>
            <w:vAlign w:val="center"/>
          </w:tcPr>
          <w:p>
            <w:r>
              <w:rPr>
                <w:b w:val="false"/>
                <w:bCs w:val="false"/>
                <w:color w:val="1F2937"/>
                <w:sz w:val="20"/>
                <w:szCs w:val="20"/>
              </w:rPr>
              <w:t xml:space="preserve">battery_model.py, sanity-checked (Section 3.1)</w:t>
            </w:r>
          </w:p>
        </w:tc>
      </w:tr>
      <w:tr>
        <w:tc>
          <w:tcPr>
            <w:tcW w:type="pct" w:w="20%"/>
            <w:tcMar>
              <w:top w:type="dxa" w:w="80"/>
              <w:left w:type="dxa" w:w="100"/>
              <w:bottom w:type="dxa" w:w="80"/>
              <w:right w:type="dxa" w:w="100"/>
            </w:tcMar>
            <w:vAlign w:val="center"/>
          </w:tcPr>
          <w:p>
            <w:r>
              <w:rPr>
                <w:b w:val="false"/>
                <w:bCs w:val="false"/>
                <w:color w:val="1F2937"/>
                <w:sz w:val="20"/>
                <w:szCs w:val="20"/>
              </w:rPr>
              <w:t xml:space="preserve">1.2 Gym-style environment wrapper</w:t>
            </w:r>
          </w:p>
        </w:tc>
        <w:tc>
          <w:tcPr>
            <w:tcW w:type="pct" w:w="20%"/>
            <w:tcMar>
              <w:top w:type="dxa" w:w="80"/>
              <w:left w:type="dxa" w:w="100"/>
              <w:bottom w:type="dxa" w:w="80"/>
              <w:right w:type="dxa" w:w="100"/>
            </w:tcMar>
            <w:vAlign w:val="center"/>
          </w:tcPr>
          <w:p>
            <w:r>
              <w:rPr>
                <w:b w:val="false"/>
                <w:bCs w:val="false"/>
                <w:color w:val="1F2937"/>
                <w:sz w:val="20"/>
                <w:szCs w:val="20"/>
              </w:rPr>
              <w:t xml:space="preserve">Complete</w:t>
            </w:r>
          </w:p>
        </w:tc>
        <w:tc>
          <w:tcPr>
            <w:tcW w:type="pct" w:w="20%"/>
            <w:tcMar>
              <w:top w:type="dxa" w:w="80"/>
              <w:left w:type="dxa" w:w="100"/>
              <w:bottom w:type="dxa" w:w="80"/>
              <w:right w:type="dxa" w:w="100"/>
            </w:tcMar>
            <w:vAlign w:val="center"/>
          </w:tcPr>
          <w:p>
            <w:r>
              <w:rPr>
                <w:b w:val="false"/>
                <w:bCs w:val="false"/>
                <w:color w:val="1F2937"/>
                <w:sz w:val="20"/>
                <w:szCs w:val="20"/>
              </w:rPr>
              <w:t xml:space="preserve">btms_env.py, interface-checked (Section 3.1)</w:t>
            </w:r>
          </w:p>
        </w:tc>
      </w:tr>
      <w:tr>
        <w:tc>
          <w:tcPr>
            <w:tcW w:type="pct" w:w="20%"/>
            <w:tcMar>
              <w:top w:type="dxa" w:w="80"/>
              <w:left w:type="dxa" w:w="100"/>
              <w:bottom w:type="dxa" w:w="80"/>
              <w:right w:type="dxa" w:w="100"/>
            </w:tcMar>
            <w:vAlign w:val="center"/>
          </w:tcPr>
          <w:p>
            <w:r>
              <w:rPr>
                <w:b w:val="false"/>
                <w:bCs w:val="false"/>
                <w:color w:val="1F2937"/>
                <w:sz w:val="20"/>
                <w:szCs w:val="20"/>
              </w:rPr>
              <w:t xml:space="preserve">1.3 Drive-cycle datasets</w:t>
            </w:r>
          </w:p>
        </w:tc>
        <w:tc>
          <w:tcPr>
            <w:tcW w:type="pct" w:w="20%"/>
            <w:tcMar>
              <w:top w:type="dxa" w:w="80"/>
              <w:left w:type="dxa" w:w="100"/>
              <w:bottom w:type="dxa" w:w="80"/>
              <w:right w:type="dxa" w:w="100"/>
            </w:tcMar>
            <w:vAlign w:val="center"/>
          </w:tcPr>
          <w:p>
            <w:r>
              <w:rPr>
                <w:b w:val="false"/>
                <w:bCs w:val="false"/>
                <w:color w:val="1F2937"/>
                <w:sz w:val="20"/>
                <w:szCs w:val="20"/>
              </w:rPr>
              <w:t xml:space="preserve">Partial</w:t>
            </w:r>
          </w:p>
        </w:tc>
        <w:tc>
          <w:tcPr>
            <w:tcW w:type="pct" w:w="20%"/>
            <w:tcMar>
              <w:top w:type="dxa" w:w="80"/>
              <w:left w:type="dxa" w:w="100"/>
              <w:bottom w:type="dxa" w:w="80"/>
              <w:right w:type="dxa" w:w="100"/>
            </w:tcMar>
            <w:vAlign w:val="center"/>
          </w:tcPr>
          <w:p>
            <w:r>
              <w:rPr>
                <w:b w:val="false"/>
                <w:bCs w:val="false"/>
                <w:color w:val="1F2937"/>
                <w:sz w:val="20"/>
                <w:szCs w:val="20"/>
              </w:rPr>
              <w:t xml:space="preserve">Synthetic surrogates implemented; real datasets pending (Appendix A)</w:t>
            </w:r>
          </w:p>
        </w:tc>
      </w:tr>
      <w:tr>
        <w:tc>
          <w:tcPr>
            <w:tcW w:type="pct" w:w="20%"/>
            <w:tcMar>
              <w:top w:type="dxa" w:w="80"/>
              <w:left w:type="dxa" w:w="100"/>
              <w:bottom w:type="dxa" w:w="80"/>
              <w:right w:type="dxa" w:w="100"/>
            </w:tcMar>
            <w:vAlign w:val="center"/>
          </w:tcPr>
          <w:p>
            <w:r>
              <w:rPr>
                <w:b w:val="false"/>
                <w:bCs w:val="false"/>
                <w:color w:val="1F2937"/>
                <w:sz w:val="20"/>
                <w:szCs w:val="20"/>
              </w:rPr>
              <w:t xml:space="preserve">2.1 MDP formulation</w:t>
            </w:r>
          </w:p>
        </w:tc>
        <w:tc>
          <w:tcPr>
            <w:tcW w:type="pct" w:w="20%"/>
            <w:tcMar>
              <w:top w:type="dxa" w:w="80"/>
              <w:left w:type="dxa" w:w="100"/>
              <w:bottom w:type="dxa" w:w="80"/>
              <w:right w:type="dxa" w:w="100"/>
            </w:tcMar>
            <w:vAlign w:val="center"/>
          </w:tcPr>
          <w:p>
            <w:r>
              <w:rPr>
                <w:b w:val="false"/>
                <w:bCs w:val="false"/>
                <w:color w:val="1F2937"/>
                <w:sz w:val="20"/>
                <w:szCs w:val="20"/>
              </w:rPr>
              <w:t xml:space="preserve">Complete</w:t>
            </w:r>
          </w:p>
        </w:tc>
        <w:tc>
          <w:tcPr>
            <w:tcW w:type="pct" w:w="20%"/>
            <w:tcMar>
              <w:top w:type="dxa" w:w="80"/>
              <w:left w:type="dxa" w:w="100"/>
              <w:bottom w:type="dxa" w:w="80"/>
              <w:right w:type="dxa" w:w="100"/>
            </w:tcMar>
            <w:vAlign w:val="center"/>
          </w:tcPr>
          <w:p>
            <w:r>
              <w:rPr>
                <w:b w:val="false"/>
                <w:bCs w:val="false"/>
                <w:color w:val="1F2937"/>
                <w:sz w:val="20"/>
                <w:szCs w:val="20"/>
              </w:rPr>
              <w:t xml:space="preserve">Implemented in btms_env.py reward/state/action logic</w:t>
            </w:r>
          </w:p>
        </w:tc>
      </w:tr>
      <w:tr>
        <w:tc>
          <w:tcPr>
            <w:tcW w:type="pct" w:w="20%"/>
            <w:tcMar>
              <w:top w:type="dxa" w:w="80"/>
              <w:left w:type="dxa" w:w="100"/>
              <w:bottom w:type="dxa" w:w="80"/>
              <w:right w:type="dxa" w:w="100"/>
            </w:tcMar>
            <w:vAlign w:val="center"/>
          </w:tcPr>
          <w:p>
            <w:r>
              <w:rPr>
                <w:b w:val="false"/>
                <w:bCs w:val="false"/>
                <w:color w:val="1F2937"/>
                <w:sz w:val="20"/>
                <w:szCs w:val="20"/>
              </w:rPr>
              <w:t xml:space="preserve">2.2 / 2.3 DQN/DDPG/PPO/SAC implementation</w:t>
            </w:r>
          </w:p>
        </w:tc>
        <w:tc>
          <w:tcPr>
            <w:tcW w:type="pct" w:w="20%"/>
            <w:tcMar>
              <w:top w:type="dxa" w:w="80"/>
              <w:left w:type="dxa" w:w="100"/>
              <w:bottom w:type="dxa" w:w="80"/>
              <w:right w:type="dxa" w:w="100"/>
            </w:tcMar>
            <w:vAlign w:val="center"/>
          </w:tcPr>
          <w:p>
            <w:r>
              <w:rPr>
                <w:b w:val="false"/>
                <w:bCs w:val="false"/>
                <w:color w:val="1F2937"/>
                <w:sz w:val="20"/>
                <w:szCs w:val="20"/>
              </w:rPr>
              <w:t xml:space="preserve">Partial</w:t>
            </w:r>
          </w:p>
        </w:tc>
        <w:tc>
          <w:tcPr>
            <w:tcW w:type="pct" w:w="20%"/>
            <w:tcMar>
              <w:top w:type="dxa" w:w="80"/>
              <w:left w:type="dxa" w:w="100"/>
              <w:bottom w:type="dxa" w:w="80"/>
              <w:right w:type="dxa" w:w="100"/>
            </w:tcMar>
            <w:vAlign w:val="center"/>
          </w:tcPr>
          <w:p>
            <w:r>
              <w:rPr>
                <w:b w:val="false"/>
                <w:bCs w:val="false"/>
                <w:color w:val="1F2937"/>
                <w:sz w:val="20"/>
                <w:szCs w:val="20"/>
              </w:rPr>
              <w:t xml:space="preserve">sb3_train.py written &amp; syntax-checked; execution pending local GPU run (Section 1.4)</w:t>
            </w:r>
          </w:p>
        </w:tc>
      </w:tr>
      <w:tr>
        <w:tc>
          <w:tcPr>
            <w:tcW w:type="pct" w:w="20%"/>
            <w:tcMar>
              <w:top w:type="dxa" w:w="80"/>
              <w:left w:type="dxa" w:w="100"/>
              <w:bottom w:type="dxa" w:w="80"/>
              <w:right w:type="dxa" w:w="100"/>
            </w:tcMar>
            <w:vAlign w:val="center"/>
          </w:tcPr>
          <w:p>
            <w:r>
              <w:rPr>
                <w:b w:val="false"/>
                <w:bCs w:val="false"/>
                <w:color w:val="1F2937"/>
                <w:sz w:val="20"/>
                <w:szCs w:val="20"/>
              </w:rPr>
              <w:t xml:space="preserve">— Lightweight RL proof-of-concept</w:t>
            </w:r>
          </w:p>
        </w:tc>
        <w:tc>
          <w:tcPr>
            <w:tcW w:type="pct" w:w="20%"/>
            <w:tcMar>
              <w:top w:type="dxa" w:w="80"/>
              <w:left w:type="dxa" w:w="100"/>
              <w:bottom w:type="dxa" w:w="80"/>
              <w:right w:type="dxa" w:w="100"/>
            </w:tcMar>
            <w:vAlign w:val="center"/>
          </w:tcPr>
          <w:p>
            <w:r>
              <w:rPr>
                <w:b w:val="false"/>
                <w:bCs w:val="false"/>
                <w:color w:val="1F2937"/>
                <w:sz w:val="20"/>
                <w:szCs w:val="20"/>
              </w:rPr>
              <w:t xml:space="preserve">Complete</w:t>
            </w:r>
          </w:p>
        </w:tc>
        <w:tc>
          <w:tcPr>
            <w:tcW w:type="pct" w:w="20%"/>
            <w:tcMar>
              <w:top w:type="dxa" w:w="80"/>
              <w:left w:type="dxa" w:w="100"/>
              <w:bottom w:type="dxa" w:w="80"/>
              <w:right w:type="dxa" w:w="100"/>
            </w:tcMar>
            <w:vAlign w:val="center"/>
          </w:tcPr>
          <w:p>
            <w:r>
              <w:rPr>
                <w:b w:val="false"/>
                <w:bCs w:val="false"/>
                <w:color w:val="1F2937"/>
                <w:sz w:val="20"/>
                <w:szCs w:val="20"/>
              </w:rPr>
              <w:t xml:space="preserve">qlearning_agent.py trained for 400 episodes (Fig. 5)</w:t>
            </w:r>
          </w:p>
        </w:tc>
      </w:tr>
      <w:tr>
        <w:tc>
          <w:tcPr>
            <w:tcW w:type="pct" w:w="20%"/>
            <w:tcMar>
              <w:top w:type="dxa" w:w="80"/>
              <w:left w:type="dxa" w:w="100"/>
              <w:bottom w:type="dxa" w:w="80"/>
              <w:right w:type="dxa" w:w="100"/>
            </w:tcMar>
            <w:vAlign w:val="center"/>
          </w:tcPr>
          <w:p>
            <w:r>
              <w:rPr>
                <w:b w:val="false"/>
                <w:bCs w:val="false"/>
                <w:color w:val="1F2937"/>
                <w:sz w:val="20"/>
                <w:szCs w:val="20"/>
              </w:rPr>
              <w:t xml:space="preserve">3.1 PID/rule-based baseline</w:t>
            </w:r>
          </w:p>
        </w:tc>
        <w:tc>
          <w:tcPr>
            <w:tcW w:type="pct" w:w="20%"/>
            <w:tcMar>
              <w:top w:type="dxa" w:w="80"/>
              <w:left w:type="dxa" w:w="100"/>
              <w:bottom w:type="dxa" w:w="80"/>
              <w:right w:type="dxa" w:w="100"/>
            </w:tcMar>
            <w:vAlign w:val="center"/>
          </w:tcPr>
          <w:p>
            <w:r>
              <w:rPr>
                <w:b w:val="false"/>
                <w:bCs w:val="false"/>
                <w:color w:val="1F2937"/>
                <w:sz w:val="20"/>
                <w:szCs w:val="20"/>
              </w:rPr>
              <w:t xml:space="preserve">Complete</w:t>
            </w:r>
          </w:p>
        </w:tc>
        <w:tc>
          <w:tcPr>
            <w:tcW w:type="pct" w:w="20%"/>
            <w:tcMar>
              <w:top w:type="dxa" w:w="80"/>
              <w:left w:type="dxa" w:w="100"/>
              <w:bottom w:type="dxa" w:w="80"/>
              <w:right w:type="dxa" w:w="100"/>
            </w:tcMar>
            <w:vAlign w:val="center"/>
          </w:tcPr>
          <w:p>
            <w:r>
              <w:rPr>
                <w:b w:val="false"/>
                <w:bCs w:val="false"/>
                <w:color w:val="1F2937"/>
                <w:sz w:val="20"/>
                <w:szCs w:val="20"/>
              </w:rPr>
              <w:t xml:space="preserve">pid_baseline.py, evaluated on 80 episodes</w:t>
            </w:r>
          </w:p>
        </w:tc>
      </w:tr>
      <w:tr>
        <w:tc>
          <w:tcPr>
            <w:tcW w:type="pct" w:w="20%"/>
            <w:tcMar>
              <w:top w:type="dxa" w:w="80"/>
              <w:left w:type="dxa" w:w="100"/>
              <w:bottom w:type="dxa" w:w="80"/>
              <w:right w:type="dxa" w:w="100"/>
            </w:tcMar>
            <w:vAlign w:val="center"/>
          </w:tcPr>
          <w:p>
            <w:r>
              <w:rPr>
                <w:b w:val="false"/>
                <w:bCs w:val="false"/>
                <w:color w:val="1F2937"/>
                <w:sz w:val="20"/>
                <w:szCs w:val="20"/>
              </w:rPr>
              <w:t xml:space="preserve">3.2 MPC baseline (if feasible)</w:t>
            </w:r>
          </w:p>
        </w:tc>
        <w:tc>
          <w:tcPr>
            <w:tcW w:type="pct" w:w="20%"/>
            <w:tcMar>
              <w:top w:type="dxa" w:w="80"/>
              <w:left w:type="dxa" w:w="100"/>
              <w:bottom w:type="dxa" w:w="80"/>
              <w:right w:type="dxa" w:w="100"/>
            </w:tcMar>
            <w:vAlign w:val="center"/>
          </w:tcPr>
          <w:p>
            <w:r>
              <w:rPr>
                <w:b w:val="false"/>
                <w:bCs w:val="false"/>
                <w:color w:val="1F2937"/>
                <w:sz w:val="20"/>
                <w:szCs w:val="20"/>
              </w:rPr>
              <w:t xml:space="preserve">Not started</w:t>
            </w:r>
          </w:p>
        </w:tc>
        <w:tc>
          <w:tcPr>
            <w:tcW w:type="pct" w:w="20%"/>
            <w:tcMar>
              <w:top w:type="dxa" w:w="80"/>
              <w:left w:type="dxa" w:w="100"/>
              <w:bottom w:type="dxa" w:w="80"/>
              <w:right w:type="dxa" w:w="100"/>
            </w:tcMar>
            <w:vAlign w:val="center"/>
          </w:tcPr>
          <w:p>
            <w:r>
              <w:rPr>
                <w:b w:val="false"/>
                <w:bCs w:val="false"/>
                <w:color w:val="1F2937"/>
                <w:sz w:val="20"/>
                <w:szCs w:val="20"/>
              </w:rPr>
              <w:t xml:space="preserve">Deferred; PID baseline prioritised per Phase-II risk mitigation</w:t>
            </w:r>
          </w:p>
        </w:tc>
      </w:tr>
      <w:tr>
        <w:tc>
          <w:tcPr>
            <w:tcW w:type="pct" w:w="20%"/>
            <w:tcMar>
              <w:top w:type="dxa" w:w="80"/>
              <w:left w:type="dxa" w:w="100"/>
              <w:bottom w:type="dxa" w:w="80"/>
              <w:right w:type="dxa" w:w="100"/>
            </w:tcMar>
            <w:vAlign w:val="center"/>
          </w:tcPr>
          <w:p>
            <w:r>
              <w:rPr>
                <w:b w:val="false"/>
                <w:bCs w:val="false"/>
                <w:color w:val="1F2937"/>
                <w:sz w:val="20"/>
                <w:szCs w:val="20"/>
              </w:rPr>
              <w:t xml:space="preserve">3.3 Evaluation metrics &amp; comparison plots</w:t>
            </w:r>
          </w:p>
        </w:tc>
        <w:tc>
          <w:tcPr>
            <w:tcW w:type="pct" w:w="20%"/>
            <w:tcMar>
              <w:top w:type="dxa" w:w="80"/>
              <w:left w:type="dxa" w:w="100"/>
              <w:bottom w:type="dxa" w:w="80"/>
              <w:right w:type="dxa" w:w="100"/>
            </w:tcMar>
            <w:vAlign w:val="center"/>
          </w:tcPr>
          <w:p>
            <w:r>
              <w:rPr>
                <w:b w:val="false"/>
                <w:bCs w:val="false"/>
                <w:color w:val="1F2937"/>
                <w:sz w:val="20"/>
                <w:szCs w:val="20"/>
              </w:rPr>
              <w:t xml:space="preserve">Complete</w:t>
            </w:r>
          </w:p>
        </w:tc>
        <w:tc>
          <w:tcPr>
            <w:tcW w:type="pct" w:w="20%"/>
            <w:tcMar>
              <w:top w:type="dxa" w:w="80"/>
              <w:left w:type="dxa" w:w="100"/>
              <w:bottom w:type="dxa" w:w="80"/>
              <w:right w:type="dxa" w:w="100"/>
            </w:tcMar>
            <w:vAlign w:val="center"/>
          </w:tcPr>
          <w:p>
            <w:r>
              <w:rPr>
                <w:b w:val="false"/>
                <w:bCs w:val="false"/>
                <w:color w:val="1F2937"/>
                <w:sz w:val="20"/>
                <w:szCs w:val="20"/>
              </w:rPr>
              <w:t xml:space="preserve">Table above, Fig. 5–7</w:t>
            </w:r>
          </w:p>
        </w:tc>
      </w:tr>
      <w:tr>
        <w:tc>
          <w:tcPr>
            <w:tcW w:type="pct" w:w="20%"/>
            <w:tcMar>
              <w:top w:type="dxa" w:w="80"/>
              <w:left w:type="dxa" w:w="100"/>
              <w:bottom w:type="dxa" w:w="80"/>
              <w:right w:type="dxa" w:w="100"/>
            </w:tcMar>
            <w:vAlign w:val="center"/>
          </w:tcPr>
          <w:p>
            <w:r>
              <w:rPr>
                <w:b w:val="false"/>
                <w:bCs w:val="false"/>
                <w:color w:val="1F2937"/>
                <w:sz w:val="20"/>
                <w:szCs w:val="20"/>
              </w:rPr>
              <w:t xml:space="preserve">4. SDV deployment feasibility</w:t>
            </w:r>
          </w:p>
        </w:tc>
        <w:tc>
          <w:tcPr>
            <w:tcW w:type="pct" w:w="20%"/>
            <w:tcMar>
              <w:top w:type="dxa" w:w="80"/>
              <w:left w:type="dxa" w:w="100"/>
              <w:bottom w:type="dxa" w:w="80"/>
              <w:right w:type="dxa" w:w="100"/>
            </w:tcMar>
            <w:vAlign w:val="center"/>
          </w:tcPr>
          <w:p>
            <w:r>
              <w:rPr>
                <w:b w:val="false"/>
                <w:bCs w:val="false"/>
                <w:color w:val="1F2937"/>
                <w:sz w:val="20"/>
                <w:szCs w:val="20"/>
              </w:rPr>
              <w:t xml:space="preserve">Not started</w:t>
            </w:r>
          </w:p>
        </w:tc>
        <w:tc>
          <w:tcPr>
            <w:tcW w:type="pct" w:w="20%"/>
            <w:tcMar>
              <w:top w:type="dxa" w:w="80"/>
              <w:left w:type="dxa" w:w="100"/>
              <w:bottom w:type="dxa" w:w="80"/>
              <w:right w:type="dxa" w:w="100"/>
            </w:tcMar>
            <w:vAlign w:val="center"/>
          </w:tcPr>
          <w:p>
            <w:r>
              <w:rPr>
                <w:b w:val="false"/>
                <w:bCs w:val="false"/>
                <w:color w:val="1F2937"/>
                <w:sz w:val="20"/>
                <w:szCs w:val="20"/>
              </w:rPr>
              <w:t xml:space="preserve">Scheduled for Phase-III/Final per Phase-II WBS item 4.1–4.3</w:t>
            </w:r>
          </w:p>
        </w:tc>
      </w:tr>
    </w:tbl>
    <w:p>
      <w:pPr>
        <w:spacing w:after="200"/>
      </w:pPr>
    </w:p>
    <w:p>
      <w:pPr>
        <w:pStyle w:val="Heading2"/>
        <w:spacing w:after="120" w:before="220"/>
      </w:pPr>
      <w:r>
        <w:rPr>
          <w:b/>
          <w:bCs/>
          <w:color w:val="1F4E79"/>
          <w:sz w:val="24"/>
          <w:szCs w:val="24"/>
        </w:rPr>
        <w:t xml:space="preserve">Next Steps (toward Mid-Term / Final Evaluation)</w:t>
      </w:r>
    </w:p>
    <w:p>
      <w:pPr>
        <w:pStyle w:val="ListParagraph"/>
        <w:numPr>
          <w:ilvl w:val="0"/>
          <w:numId w:val="2"/>
        </w:numPr>
        <w:spacing w:after="100" w:line="290"/>
      </w:pPr>
      <w:r>
        <w:rPr>
          <w:b/>
          <w:bCs/>
          <w:color w:val="1F2937"/>
          <w:sz w:val="22"/>
          <w:szCs w:val="22"/>
        </w:rPr>
        <w:t xml:space="preserve">1. </w:t>
      </w:r>
      <w:r>
        <w:rPr>
          <w:color w:val="1F2937"/>
          <w:sz w:val="22"/>
          <w:szCs w:val="22"/>
        </w:rPr>
        <w:t xml:space="preserve">Download the real NEDC/FTP-75/HWFET/US06 datasets and replace the synthetic surrogates.</w:t>
      </w:r>
    </w:p>
    <w:p>
      <w:pPr>
        <w:pStyle w:val="ListParagraph"/>
        <w:numPr>
          <w:ilvl w:val="0"/>
          <w:numId w:val="2"/>
        </w:numPr>
        <w:spacing w:after="100" w:line="290"/>
      </w:pPr>
      <w:r>
        <w:rPr>
          <w:b/>
          <w:bCs/>
          <w:color w:val="1F2937"/>
          <w:sz w:val="22"/>
          <w:szCs w:val="22"/>
        </w:rPr>
        <w:t xml:space="preserve">2. </w:t>
      </w:r>
      <w:r>
        <w:rPr>
          <w:color w:val="1F2937"/>
          <w:sz w:val="22"/>
          <w:szCs w:val="22"/>
        </w:rPr>
        <w:t xml:space="preserve">Run sb3_train.py on a local GPU machine / Google Colab to obtain the actual DQN/DDPG/PPO/SAC results.</w:t>
      </w:r>
    </w:p>
    <w:p>
      <w:pPr>
        <w:pStyle w:val="ListParagraph"/>
        <w:numPr>
          <w:ilvl w:val="0"/>
          <w:numId w:val="2"/>
        </w:numPr>
        <w:spacing w:after="100" w:line="290"/>
      </w:pPr>
      <w:r>
        <w:rPr>
          <w:b/>
          <w:bCs/>
          <w:color w:val="1F2937"/>
          <w:sz w:val="22"/>
          <w:szCs w:val="22"/>
        </w:rPr>
        <w:t xml:space="preserve">3. </w:t>
      </w:r>
      <w:r>
        <w:rPr>
          <w:color w:val="1F2937"/>
          <w:sz w:val="22"/>
          <w:szCs w:val="22"/>
        </w:rPr>
        <w:t xml:space="preserve">Re-tune the reward weighting to address the US06 temperature-gradient trade-off identified in Section 4.4.</w:t>
      </w:r>
    </w:p>
    <w:p>
      <w:pPr>
        <w:pStyle w:val="ListParagraph"/>
        <w:numPr>
          <w:ilvl w:val="0"/>
          <w:numId w:val="2"/>
        </w:numPr>
        <w:spacing w:after="100" w:line="290"/>
      </w:pPr>
      <w:r>
        <w:rPr>
          <w:b/>
          <w:bCs/>
          <w:color w:val="1F2937"/>
          <w:sz w:val="22"/>
          <w:szCs w:val="22"/>
        </w:rPr>
        <w:t xml:space="preserve">4. </w:t>
      </w:r>
      <w:r>
        <w:rPr>
          <w:color w:val="1F2937"/>
          <w:sz w:val="22"/>
          <w:szCs w:val="22"/>
        </w:rPr>
        <w:t xml:space="preserve">Implement the MPC baseline if time permits, per Phase-II WBS item 3.2.</w:t>
      </w:r>
    </w:p>
    <w:p>
      <w:pPr>
        <w:pStyle w:val="ListParagraph"/>
        <w:numPr>
          <w:ilvl w:val="0"/>
          <w:numId w:val="2"/>
        </w:numPr>
        <w:spacing w:after="100" w:line="290"/>
      </w:pPr>
      <w:r>
        <w:rPr>
          <w:b/>
          <w:bCs/>
          <w:color w:val="1F2937"/>
          <w:sz w:val="22"/>
          <w:szCs w:val="22"/>
        </w:rPr>
        <w:t xml:space="preserve">5. </w:t>
      </w:r>
      <w:r>
        <w:rPr>
          <w:color w:val="1F2937"/>
          <w:sz w:val="22"/>
          <w:szCs w:val="22"/>
        </w:rPr>
        <w:t xml:space="preserve">Begin the SDV deployment-feasibility study (inference latency, OTA retraining workflow).</w:t>
      </w:r>
    </w:p>
    <w:p>
      <w:r>
        <w:br w:type="page"/>
      </w:r>
    </w:p>
    <w:p>
      <w:pPr>
        <w:pStyle w:val="Heading1"/>
        <w:spacing w:after="160" w:before="320"/>
      </w:pPr>
      <w:r>
        <w:rPr>
          <w:b/>
          <w:bCs/>
          <w:color w:val="1F4E79"/>
          <w:sz w:val="28"/>
          <w:szCs w:val="28"/>
        </w:rPr>
        <w:t xml:space="preserve">REFERENCES</w:t>
      </w:r>
    </w:p>
    <w:p>
      <w:pPr>
        <w:spacing w:after="160" w:line="300"/>
      </w:pPr>
      <w:r>
        <w:rPr>
          <w:sz w:val="22"/>
          <w:szCs w:val="22"/>
        </w:rPr>
        <w:t xml:space="preserve">[1] G. Huang, P. Zhao, and G. Zhang, "Real-time battery thermal management for electric vehicles based on deep reinforcement learning," IEEE Internet of Things Journal, vol. 9, no. 15, pp. 14060–14072, 2022.</w:t>
      </w:r>
    </w:p>
    <w:p>
      <w:pPr>
        <w:spacing w:after="160" w:line="300"/>
      </w:pPr>
      <w:r>
        <w:rPr>
          <w:sz w:val="22"/>
          <w:szCs w:val="22"/>
        </w:rPr>
        <w:t xml:space="preserve">[2] M. H. Abbasi, Z. Arjmandzadeh, J. Zhang, B. Xu, and V. Krovi, "Deep reinforcement learning based fast charging and thermal management optimization of an electric vehicle battery pack," 2024.</w:t>
      </w:r>
    </w:p>
    <w:p>
      <w:pPr>
        <w:spacing w:after="160" w:line="300"/>
      </w:pPr>
      <w:r>
        <w:rPr>
          <w:sz w:val="22"/>
          <w:szCs w:val="22"/>
        </w:rPr>
        <w:t xml:space="preserve">[3] L. Deng, S. Li, X. Tang, K. Yang, and X. Lin, "Battery thermal- and cabin comfort-aware collaborative energy management for plug-in fuel cell electric vehicles based on the soft actor-critic algorithm," Energy Conversion and Management, vol. 283, Art. 116889, 2023.</w:t>
      </w:r>
    </w:p>
    <w:p>
      <w:pPr>
        <w:spacing w:after="160" w:line="300"/>
      </w:pPr>
      <w:r>
        <w:rPr>
          <w:sz w:val="22"/>
          <w:szCs w:val="22"/>
        </w:rPr>
        <w:t xml:space="preserve">[4] D. Ernst, M. Glavic, F. Capitanescu, and L. Wehenkel, "Reinforcement learning versus model predictive control: A comparison on a power system problem," IEEE Transactions on Systems, Man, and Cybernetics, Part B, vol. 39, no. 2, pp. 517–529, 2009.</w:t>
      </w:r>
    </w:p>
    <w:p>
      <w:pPr>
        <w:spacing w:after="160" w:line="300"/>
      </w:pPr>
      <w:r>
        <w:rPr>
          <w:sz w:val="22"/>
          <w:szCs w:val="22"/>
        </w:rPr>
        <w:t xml:space="preserve">[5] E. Liotou, D. Tzelalidou, and G. Christodoulou, "The Rise of the Software-Defined Vehicle: Architectures, Enabling Technologies, and Future Opportunities," arXiv:2605.30001, 2026.</w:t>
      </w:r>
    </w:p>
    <w:p>
      <w:pPr>
        <w:spacing w:after="160" w:line="300"/>
      </w:pPr>
      <w:r>
        <w:rPr>
          <w:sz w:val="22"/>
          <w:szCs w:val="22"/>
        </w:rPr>
        <w:t xml:space="preserve">[6] L. Wen, M. Rickert, F. Pan, J. Lin, Y. Zhang, T. Betz, and A. Knoll, "Virtualization &amp; Microservice Architecture for Software-Defined Vehicles: An Evaluation and Exploration," arXiv:2412.09995, 2024.</w:t>
      </w:r>
    </w:p>
    <w:p>
      <w:pPr>
        <w:spacing w:after="160" w:line="300"/>
      </w:pPr>
      <w:r>
        <w:rPr>
          <w:sz w:val="22"/>
          <w:szCs w:val="22"/>
        </w:rPr>
        <w:t xml:space="preserve">[7] T. Rudolf, P. Muhl, S. Hohmann, and L. Eckstein, "Scenario-based Thermal Management Parametrization Through Deep Reinforcement Learning," arXiv:2408.02022, 2024.</w:t>
      </w:r>
    </w:p>
    <w:p>
      <w:pPr>
        <w:spacing w:after="160" w:line="300"/>
      </w:pPr>
      <w:r>
        <w:rPr>
          <w:sz w:val="22"/>
          <w:szCs w:val="22"/>
        </w:rPr>
        <w:t xml:space="preserve">[8] Stable-Baselines3 Documentation, "Reliable Reinforcement Learning Implementations," https://stable-baselines3.readthedocs.io/, accessed 2026.</w:t>
      </w:r>
    </w:p>
    <w:p>
      <w:pPr>
        <w:spacing w:after="160" w:line="300"/>
      </w:pPr>
      <w:r>
        <w:rPr>
          <w:sz w:val="22"/>
          <w:szCs w:val="22"/>
        </w:rPr>
        <w:t xml:space="preserve">[9] Sutton, R. S., and Barto, A. G., Reinforcement Learning: An Introduction, 2nd ed., MIT Press, 2018. (Tabular Q-learning formulation used in Section 1.4.)</w:t>
      </w:r>
    </w:p>
    <w:p>
      <w:r>
        <w:br w:type="page"/>
      </w:r>
    </w:p>
    <w:p>
      <w:pPr>
        <w:pStyle w:val="Heading1"/>
        <w:spacing w:after="160" w:before="320"/>
      </w:pPr>
      <w:r>
        <w:rPr>
          <w:b/>
          <w:bCs/>
          <w:color w:val="1F4E79"/>
          <w:sz w:val="28"/>
          <w:szCs w:val="28"/>
        </w:rPr>
        <w:t xml:space="preserve">APPENDIX A: NOTE ON DATA &amp; COMPUTE SCOPE</w:t>
      </w:r>
    </w:p>
    <w:p>
      <w:pPr>
        <w:spacing w:after="160" w:line="300"/>
        <w:jc w:val="both"/>
      </w:pPr>
      <w:r>
        <w:rPr>
          <w:i w:val="false"/>
          <w:iCs w:val="false"/>
          <w:color w:val="1F2937"/>
          <w:sz w:val="22"/>
          <w:szCs w:val="22"/>
        </w:rPr>
        <w:t xml:space="preserve">This Phase-III implementation was carried out in a sandboxed development environment without internet access and without PyTorch / Stable-Baselines3 / Gymnasium available. Two consequences of this are documented transparently here rather than hidden in the results:</w:t>
      </w:r>
    </w:p>
    <w:p>
      <w:pPr>
        <w:pStyle w:val="ListParagraph"/>
        <w:numPr>
          <w:ilvl w:val="0"/>
          <w:numId w:val="2"/>
        </w:numPr>
        <w:spacing w:after="100" w:line="290"/>
      </w:pPr>
      <w:r>
        <w:rPr>
          <w:sz w:val="22"/>
          <w:szCs w:val="22"/>
        </w:rPr>
        <w:t xml:space="preserve">
        </w:t>
      </w:r>
      <w:r>
        <w:rPr>
          <w:color w:val="1F2937"/>
          <w:sz w:val="22"/>
          <w:szCs w:val="22"/>
        </w:rPr>
        <w:t xml:space="preserve">The real public NEDC/FTP-75/HWFET/US06 drive-cycle datasets could not be downloaded. Synthetic surrogate current profiles with equivalent qualitative characteristics (see drive_cycles.py) were generated and used instead. All temperature, energy, and gradient figures in Section 4 are genuine outputs of running the code against these surrogate profiles — they are not fabricated or assumed — but they should be regenerated against the real datasets before this project is finally submitted.</w:t>
      </w:r>
    </w:p>
    <w:p>
      <w:pPr>
        <w:pStyle w:val="ListParagraph"/>
        <w:numPr>
          <w:ilvl w:val="0"/>
          <w:numId w:val="2"/>
        </w:numPr>
        <w:spacing w:after="100" w:line="290"/>
      </w:pPr>
      <w:r>
        <w:rPr>
          <w:sz w:val="22"/>
          <w:szCs w:val="22"/>
        </w:rPr>
        <w:t xml:space="preserve">
        </w:t>
      </w:r>
      <w:r>
        <w:rPr>
          <w:color w:val="1F2937"/>
          <w:sz w:val="22"/>
          <w:szCs w:val="22"/>
        </w:rPr>
        <w:t xml:space="preserve">DQN/DDPG/PPO/SAC (Stable-Baselines3) could not be executed. A tabular Q-learning agent was implemented and actually trained/evaluated as a lightweight, dependency-free proof-of-concept covering the full pipeline end-to-end. The full deep-RL script (sb3_train.py) is included, written against the same environment and reward function, ready to run once PyTorch/SB3/Gymnasium are available (student's local GPU machine or Google Colab, per the Phase-II Tools and Resources plan).</w:t>
      </w:r>
    </w:p>
    <w:p>
      <w:pPr>
        <w:spacing w:after="160" w:line="300"/>
        <w:jc w:val="both"/>
      </w:pPr>
      <w:r>
        <w:rPr>
          <w:i w:val="false"/>
          <w:iCs w:val="false"/>
          <w:color w:val="1F2937"/>
          <w:sz w:val="22"/>
          <w:szCs w:val="22"/>
        </w:rPr>
        <w:t xml:space="preserve">Both limitations are scoped, documented, and have a clear, concrete remediation path listed in Section 5 (Next Steps), so that the Mid-Term Evaluation can be prepared with the real datasets and the real deep-RL results in place of the proof-of-concept substitutes used 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d2c5fe0ff3d97a714167088d1c9e87f30f5171.png"/><Relationship Id="rId9" Type="http://schemas.openxmlformats.org/officeDocument/2006/relationships/image" Target="media/7a9a19c50d7cf86cc27ccbebb2763106dd65d75b.png"/><Relationship Id="rId10" Type="http://schemas.openxmlformats.org/officeDocument/2006/relationships/image" Target="media/9f46d7744016a10d2587e5e0821f5e5c420bead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2026-09-02T13:25:11.004Z</dcterms:created>
  <dcterms:modified xsi:type="dcterms:W3CDTF">2026-09-02T13:25:11.017Z</dcterms:modified>
</cp:coreProperties>
</file>

<file path=docProps/custom.xml><?xml version="1.0" encoding="utf-8"?>
<Properties xmlns="http://schemas.openxmlformats.org/officeDocument/2006/custom-properties" xmlns:vt="http://schemas.openxmlformats.org/officeDocument/2006/docPropsVTypes"/>
</file>