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1CBE1" w14:textId="77777777" w:rsidR="00456E02" w:rsidRPr="00456E02" w:rsidRDefault="00456E02" w:rsidP="00456E02">
      <w:pPr>
        <w:rPr>
          <w:b/>
          <w:bCs/>
        </w:rPr>
      </w:pPr>
      <w:r w:rsidRPr="00456E02">
        <w:rPr>
          <w:rFonts w:ascii="Segoe UI Emoji" w:hAnsi="Segoe UI Emoji" w:cs="Segoe UI Emoji"/>
          <w:b/>
          <w:bCs/>
        </w:rPr>
        <w:t>🔐</w:t>
      </w:r>
      <w:r w:rsidRPr="00456E02">
        <w:rPr>
          <w:b/>
          <w:bCs/>
        </w:rPr>
        <w:t xml:space="preserve"> CONFIDENTIAL – MATERIAL NON-PUBLIC INFORMATION </w:t>
      </w:r>
      <w:r w:rsidRPr="00456E02">
        <w:rPr>
          <w:rFonts w:ascii="Segoe UI Emoji" w:hAnsi="Segoe UI Emoji" w:cs="Segoe UI Emoji"/>
          <w:b/>
          <w:bCs/>
        </w:rPr>
        <w:t>🔐</w:t>
      </w:r>
    </w:p>
    <w:p w14:paraId="3BF725F2" w14:textId="77777777" w:rsidR="00456E02" w:rsidRPr="00456E02" w:rsidRDefault="00456E02" w:rsidP="00456E02">
      <w:pPr>
        <w:rPr>
          <w:b/>
          <w:bCs/>
        </w:rPr>
      </w:pPr>
      <w:r w:rsidRPr="00456E02">
        <w:rPr>
          <w:b/>
          <w:bCs/>
        </w:rPr>
        <w:t>INTERNAL MEMORANDUM</w:t>
      </w:r>
    </w:p>
    <w:p w14:paraId="13777907" w14:textId="77777777" w:rsidR="00456E02" w:rsidRPr="00456E02" w:rsidRDefault="00456E02" w:rsidP="00456E02">
      <w:r w:rsidRPr="00456E02">
        <w:t>Distribution: Project Titan Executive Committee &amp; Legal Counsel Only</w:t>
      </w:r>
    </w:p>
    <w:p w14:paraId="696AB94A" w14:textId="77777777" w:rsidR="00456E02" w:rsidRPr="00456E02" w:rsidRDefault="00456E02" w:rsidP="00456E02">
      <w:r w:rsidRPr="00456E02">
        <w:t>Date: December 9, 2025</w:t>
      </w:r>
    </w:p>
    <w:p w14:paraId="3E532B1E" w14:textId="77777777" w:rsidR="00456E02" w:rsidRPr="00456E02" w:rsidRDefault="00456E02" w:rsidP="00456E02">
      <w:r w:rsidRPr="00456E02">
        <w:t>Subject: Project Titan: Q4 Projections, M&amp;A Update, and Executive Restructuring</w:t>
      </w:r>
    </w:p>
    <w:p w14:paraId="17A9F292" w14:textId="77777777" w:rsidR="00456E02" w:rsidRPr="00456E02" w:rsidRDefault="00456E02" w:rsidP="00456E02">
      <w:r w:rsidRPr="00456E02">
        <w:t>Classification: Level 4: Strictly Confidential – Price Sensitive</w:t>
      </w:r>
    </w:p>
    <w:p w14:paraId="6DCB8841" w14:textId="77777777" w:rsidR="00456E02" w:rsidRPr="00456E02" w:rsidRDefault="00456E02" w:rsidP="00456E02">
      <w:pPr>
        <w:rPr>
          <w:b/>
          <w:bCs/>
        </w:rPr>
      </w:pPr>
      <w:r w:rsidRPr="00456E02">
        <w:rPr>
          <w:b/>
          <w:bCs/>
        </w:rPr>
        <w:t>1. Executive Summary: Critical Q4 Financial Revisions</w:t>
      </w:r>
    </w:p>
    <w:p w14:paraId="34370ED0" w14:textId="77777777" w:rsidR="00456E02" w:rsidRPr="00456E02" w:rsidRDefault="00456E02" w:rsidP="00456E02">
      <w:r w:rsidRPr="00456E02">
        <w:t xml:space="preserve">The purpose of this memorandum is to provide the designated Executive Committee with a comprehensive update on </w:t>
      </w:r>
      <w:r w:rsidRPr="00456E02">
        <w:rPr>
          <w:b/>
          <w:bCs/>
        </w:rPr>
        <w:t>Project Titan</w:t>
      </w:r>
      <w:r w:rsidRPr="00456E02">
        <w:t xml:space="preserve">—the code name for the acquisition of 'Vortex Solutions'—and to disclose revised, unaudited financial projections for the fourth quarter of Fiscal Year 2025 (FY25). This information is </w:t>
      </w:r>
      <w:r w:rsidRPr="00456E02">
        <w:rPr>
          <w:b/>
          <w:bCs/>
        </w:rPr>
        <w:t>Material Non-Public Information (MNPI)</w:t>
      </w:r>
      <w:r w:rsidRPr="00456E02">
        <w:t xml:space="preserve"> and must be handled with the utmost confidentiality. Any misuse or unauthorized disclosure constitutes a severe breach of company policy and federal securities laws.</w:t>
      </w:r>
    </w:p>
    <w:p w14:paraId="3F401C4D" w14:textId="77777777" w:rsidR="00456E02" w:rsidRPr="00456E02" w:rsidRDefault="00456E02" w:rsidP="00456E02">
      <w:r w:rsidRPr="00456E02">
        <w:t xml:space="preserve">The original Q4 revenue forecast of $\$1.85$ Billion is no longer achievable. The new, internal projection indicates that Q4 revenue will fall within the range of </w:t>
      </w:r>
      <w:r w:rsidRPr="00456E02">
        <w:rPr>
          <w:b/>
          <w:bCs/>
        </w:rPr>
        <w:t>$\$1.68$ Billion to $\$1.72$ Billion</w:t>
      </w:r>
      <w:r w:rsidRPr="00456E02">
        <w:t>, representing a miss of approximately 7% at the midpoint. This shortfall is primarily attributable to a temporary but significant slowdown in enterprise hardware procurement, particularly within the APAC region, as well as higher-than-expected component costs for the "Aether Core" product line.</w:t>
      </w:r>
    </w:p>
    <w:p w14:paraId="198A8E8A" w14:textId="77777777" w:rsidR="00456E02" w:rsidRPr="00456E02" w:rsidRDefault="00456E02" w:rsidP="00456E02">
      <w:r w:rsidRPr="00456E02">
        <w:t xml:space="preserve">Crucially, preliminary unaudited </w:t>
      </w:r>
      <w:r w:rsidRPr="00456E02">
        <w:rPr>
          <w:b/>
          <w:bCs/>
        </w:rPr>
        <w:t>Earnings Per Share (EPS)</w:t>
      </w:r>
      <w:r w:rsidRPr="00456E02">
        <w:t xml:space="preserve"> for Q4 FY25 are projected to be between </w:t>
      </w:r>
      <w:r w:rsidRPr="00456E02">
        <w:rPr>
          <w:b/>
          <w:bCs/>
        </w:rPr>
        <w:t>$\$0.92$ and $\$0.95$</w:t>
      </w:r>
      <w:r w:rsidRPr="00456E02">
        <w:t xml:space="preserve">, significantly below the consensus analyst estimate of $\$1.10$. This 14-16% EPS miss is a </w:t>
      </w:r>
      <w:r w:rsidRPr="00456E02">
        <w:rPr>
          <w:b/>
          <w:bCs/>
        </w:rPr>
        <w:t>highly material</w:t>
      </w:r>
      <w:r w:rsidRPr="00456E02">
        <w:t xml:space="preserve"> piece of non-public financial information that will almost certainly impact Aether Dynamics Corp.'s stock price upon official release. The official earnings release is currently scheduled for January 28, 2026.</w:t>
      </w:r>
    </w:p>
    <w:p w14:paraId="738B126E" w14:textId="77777777" w:rsidR="00456E02" w:rsidRPr="00456E02" w:rsidRDefault="00456E02" w:rsidP="00456E02">
      <w:r w:rsidRPr="00456E02">
        <w:pict w14:anchorId="7C4F2FAE">
          <v:rect id="_x0000_i1098" style="width:0;height:1.5pt" o:hralign="center" o:hrstd="t" o:hrnoshade="t" o:hr="t" fillcolor="gray" stroked="f"/>
        </w:pict>
      </w:r>
    </w:p>
    <w:p w14:paraId="394EFF0C" w14:textId="77777777" w:rsidR="00456E02" w:rsidRPr="00456E02" w:rsidRDefault="00456E02" w:rsidP="00456E02">
      <w:pPr>
        <w:rPr>
          <w:b/>
          <w:bCs/>
        </w:rPr>
      </w:pPr>
      <w:r w:rsidRPr="00456E02">
        <w:rPr>
          <w:b/>
          <w:bCs/>
        </w:rPr>
        <w:t>2. Project Titan: Status and Definitive Agreement Update</w:t>
      </w:r>
    </w:p>
    <w:p w14:paraId="269B3738" w14:textId="77777777" w:rsidR="00456E02" w:rsidRPr="00456E02" w:rsidRDefault="00456E02" w:rsidP="00456E02">
      <w:r w:rsidRPr="00456E02">
        <w:t xml:space="preserve">Project Titan, the planned </w:t>
      </w:r>
      <w:r w:rsidRPr="00456E02">
        <w:rPr>
          <w:b/>
          <w:bCs/>
        </w:rPr>
        <w:t>acquisition of Vortex Solutions Inc.</w:t>
      </w:r>
      <w:r w:rsidRPr="00456E02">
        <w:t>, a leader in quantum-resistant encryption software, has progressed rapidly. The due diligence phase concluded successfully on December 6, 2025.</w:t>
      </w:r>
    </w:p>
    <w:p w14:paraId="2BA21A3D" w14:textId="77777777" w:rsidR="00456E02" w:rsidRPr="00456E02" w:rsidRDefault="00456E02" w:rsidP="00456E02">
      <w:pPr>
        <w:rPr>
          <w:b/>
          <w:bCs/>
        </w:rPr>
      </w:pPr>
      <w:r w:rsidRPr="00456E02">
        <w:rPr>
          <w:b/>
          <w:bCs/>
        </w:rPr>
        <w:t>2.1. Key Terms of the Merger</w:t>
      </w:r>
    </w:p>
    <w:p w14:paraId="04D56729" w14:textId="77777777" w:rsidR="00456E02" w:rsidRPr="00456E02" w:rsidRDefault="00456E02" w:rsidP="00456E02">
      <w:pPr>
        <w:numPr>
          <w:ilvl w:val="0"/>
          <w:numId w:val="3"/>
        </w:numPr>
      </w:pPr>
      <w:r w:rsidRPr="00456E02">
        <w:rPr>
          <w:b/>
          <w:bCs/>
        </w:rPr>
        <w:t>Valuation:</w:t>
      </w:r>
      <w:r w:rsidRPr="00456E02">
        <w:t xml:space="preserve"> The agreed-upon valuation for Vortex Solutions is </w:t>
      </w:r>
      <w:r w:rsidRPr="00456E02">
        <w:rPr>
          <w:b/>
          <w:bCs/>
        </w:rPr>
        <w:t>$\$7.5$ Billion</w:t>
      </w:r>
      <w:r w:rsidRPr="00456E02">
        <w:t>, structured as a 70% stock and 30% cash transaction. This represents a significant premium of 35% over Vortex’s closing market capitalization as of December 8, 2025.</w:t>
      </w:r>
    </w:p>
    <w:p w14:paraId="09E350F0" w14:textId="77777777" w:rsidR="00456E02" w:rsidRPr="00456E02" w:rsidRDefault="00456E02" w:rsidP="00456E02">
      <w:pPr>
        <w:numPr>
          <w:ilvl w:val="0"/>
          <w:numId w:val="3"/>
        </w:numPr>
      </w:pPr>
      <w:r w:rsidRPr="00456E02">
        <w:rPr>
          <w:b/>
          <w:bCs/>
        </w:rPr>
        <w:lastRenderedPageBreak/>
        <w:t>Target Announcement:</w:t>
      </w:r>
      <w:r w:rsidRPr="00456E02">
        <w:t xml:space="preserve"> The Definitive Merger Agreement (DMA) is set to be signed on </w:t>
      </w:r>
      <w:r w:rsidRPr="00456E02">
        <w:rPr>
          <w:b/>
          <w:bCs/>
        </w:rPr>
        <w:t>January 5, 2026</w:t>
      </w:r>
      <w:r w:rsidRPr="00456E02">
        <w:t>. The public press release announcing the acquisition will be issued concurrently at 7:00 AM EST on January 6, 2026, prior to market open.</w:t>
      </w:r>
    </w:p>
    <w:p w14:paraId="70A4ADC6" w14:textId="77777777" w:rsidR="00456E02" w:rsidRPr="00456E02" w:rsidRDefault="00456E02" w:rsidP="00456E02">
      <w:pPr>
        <w:numPr>
          <w:ilvl w:val="0"/>
          <w:numId w:val="3"/>
        </w:numPr>
      </w:pPr>
      <w:r w:rsidRPr="00456E02">
        <w:rPr>
          <w:b/>
          <w:bCs/>
        </w:rPr>
        <w:t>Strategic Rationale:</w:t>
      </w:r>
      <w:r w:rsidRPr="00456E02">
        <w:t xml:space="preserve"> This acquisition will immediately position Aether Dynamics as a market leader in post-quantum cryptography, opening up an estimated $\$500$ Million in new recurring revenue opportunities by FY27. Furthermore, we anticipate </w:t>
      </w:r>
      <w:r w:rsidRPr="00456E02">
        <w:rPr>
          <w:b/>
          <w:bCs/>
        </w:rPr>
        <w:t>synergy savings</w:t>
      </w:r>
      <w:r w:rsidRPr="00456E02">
        <w:t xml:space="preserve"> of approximately </w:t>
      </w:r>
      <w:r w:rsidRPr="00456E02">
        <w:rPr>
          <w:b/>
          <w:bCs/>
        </w:rPr>
        <w:t>$\$90$ Million</w:t>
      </w:r>
      <w:r w:rsidRPr="00456E02">
        <w:t xml:space="preserve"> over the first two years, primarily from integrating redundant administrative functions.</w:t>
      </w:r>
    </w:p>
    <w:p w14:paraId="78AB73AC" w14:textId="77777777" w:rsidR="00456E02" w:rsidRPr="00456E02" w:rsidRDefault="00456E02" w:rsidP="00456E02">
      <w:r w:rsidRPr="00456E02">
        <w:rPr>
          <w:b/>
          <w:bCs/>
        </w:rPr>
        <w:t>Note:</w:t>
      </w:r>
      <w:r w:rsidRPr="00456E02">
        <w:t xml:space="preserve"> The name "Vortex Solutions Inc." and the acquisition terms are </w:t>
      </w:r>
      <w:r w:rsidRPr="00456E02">
        <w:rPr>
          <w:b/>
          <w:bCs/>
        </w:rPr>
        <w:t>highly sensitive MNPI</w:t>
      </w:r>
      <w:r w:rsidRPr="00456E02">
        <w:t xml:space="preserve">. All internal documentation related to this transaction must continue to be referred to solely by its code name, </w:t>
      </w:r>
      <w:r w:rsidRPr="00456E02">
        <w:rPr>
          <w:b/>
          <w:bCs/>
        </w:rPr>
        <w:t>"Project Titan,"</w:t>
      </w:r>
      <w:r w:rsidRPr="00456E02">
        <w:t xml:space="preserve"> until the public announcement is made. Legal is currently preparing the necessary regulatory filings, including the Form 8-K, which will contain the full details.</w:t>
      </w:r>
    </w:p>
    <w:p w14:paraId="6481794E" w14:textId="77777777" w:rsidR="00456E02" w:rsidRPr="00456E02" w:rsidRDefault="00456E02" w:rsidP="00456E02">
      <w:r w:rsidRPr="00456E02">
        <w:pict w14:anchorId="04E523B8">
          <v:rect id="_x0000_i1099" style="width:0;height:1.5pt" o:hralign="center" o:hrstd="t" o:hrnoshade="t" o:hr="t" fillcolor="gray" stroked="f"/>
        </w:pict>
      </w:r>
    </w:p>
    <w:p w14:paraId="56178DDC" w14:textId="77777777" w:rsidR="00456E02" w:rsidRPr="00456E02" w:rsidRDefault="00456E02" w:rsidP="00456E02">
      <w:pPr>
        <w:rPr>
          <w:b/>
          <w:bCs/>
        </w:rPr>
      </w:pPr>
      <w:r w:rsidRPr="00456E02">
        <w:rPr>
          <w:b/>
          <w:bCs/>
        </w:rPr>
        <w:t>3. Management and Personnel Restructuring</w:t>
      </w:r>
    </w:p>
    <w:p w14:paraId="60AA19AC" w14:textId="77777777" w:rsidR="00456E02" w:rsidRPr="00456E02" w:rsidRDefault="00456E02" w:rsidP="00456E02">
      <w:r w:rsidRPr="00456E02">
        <w:t xml:space="preserve">A major </w:t>
      </w:r>
      <w:r w:rsidRPr="00456E02">
        <w:rPr>
          <w:b/>
          <w:bCs/>
        </w:rPr>
        <w:t>executive leadership change</w:t>
      </w:r>
      <w:r w:rsidRPr="00456E02">
        <w:t xml:space="preserve"> is also planned, contingent upon the completion of the Project Titan acquisition.</w:t>
      </w:r>
    </w:p>
    <w:p w14:paraId="78A7B2C6" w14:textId="77777777" w:rsidR="00456E02" w:rsidRPr="00456E02" w:rsidRDefault="00456E02" w:rsidP="00456E02">
      <w:pPr>
        <w:rPr>
          <w:b/>
          <w:bCs/>
        </w:rPr>
      </w:pPr>
      <w:r w:rsidRPr="00456E02">
        <w:rPr>
          <w:b/>
          <w:bCs/>
        </w:rPr>
        <w:t>3.1. Chief Financial Officer Transition</w:t>
      </w:r>
    </w:p>
    <w:p w14:paraId="54824738" w14:textId="77777777" w:rsidR="00456E02" w:rsidRPr="00456E02" w:rsidRDefault="00456E02" w:rsidP="00456E02">
      <w:r w:rsidRPr="00456E02">
        <w:rPr>
          <w:b/>
          <w:bCs/>
        </w:rPr>
        <w:t>Ms. Elara Vance</w:t>
      </w:r>
      <w:r w:rsidRPr="00456E02">
        <w:t xml:space="preserve">, our current Chief Financial Officer, will be resigning effective February 15, 2026, to pursue a non-competing opportunity. This is a voluntary resignation, and the separation terms are currently being finalized by Legal and HR. </w:t>
      </w:r>
      <w:r w:rsidRPr="00456E02">
        <w:rPr>
          <w:b/>
          <w:bCs/>
        </w:rPr>
        <w:t>Mr. Julian Thorne</w:t>
      </w:r>
      <w:r w:rsidRPr="00456E02">
        <w:t>, currently the Deputy CFO, has been selected by the Board as the successor, effective February 16, 2026.</w:t>
      </w:r>
    </w:p>
    <w:p w14:paraId="24F321C3" w14:textId="77777777" w:rsidR="00456E02" w:rsidRPr="00456E02" w:rsidRDefault="00456E02" w:rsidP="00456E02">
      <w:pPr>
        <w:rPr>
          <w:b/>
          <w:bCs/>
        </w:rPr>
      </w:pPr>
      <w:r w:rsidRPr="00456E02">
        <w:rPr>
          <w:b/>
          <w:bCs/>
        </w:rPr>
        <w:t>3.2. Strategic Business Unit Reorganization</w:t>
      </w:r>
    </w:p>
    <w:p w14:paraId="1E62F754" w14:textId="77777777" w:rsidR="00456E02" w:rsidRPr="00456E02" w:rsidRDefault="00456E02" w:rsidP="00456E02">
      <w:r w:rsidRPr="00456E02">
        <w:t xml:space="preserve">To optimize integration, the Board has approved the creation of a new Strategic Business Unit (SBU), </w:t>
      </w:r>
      <w:r w:rsidRPr="00456E02">
        <w:rPr>
          <w:b/>
          <w:bCs/>
        </w:rPr>
        <w:t>"Aether Secure,"</w:t>
      </w:r>
      <w:r w:rsidRPr="00456E02">
        <w:t xml:space="preserve"> which will house the acquired Vortex Solutions technology alongside our existing cybersecurity portfolio. This restructuring will result in the elimination of approximately </w:t>
      </w:r>
      <w:r w:rsidRPr="00456E02">
        <w:rPr>
          <w:b/>
          <w:bCs/>
        </w:rPr>
        <w:t>250 mid-level management and engineering roles</w:t>
      </w:r>
      <w:r w:rsidRPr="00456E02">
        <w:t xml:space="preserve"> across the current "Cloud Infrastructure" and "Enterprise Software" divisions, expected to be completed by Q2 FY26.</w:t>
      </w:r>
    </w:p>
    <w:p w14:paraId="55B721EA" w14:textId="77777777" w:rsidR="00456E02" w:rsidRPr="00456E02" w:rsidRDefault="00456E02" w:rsidP="00456E02">
      <w:r w:rsidRPr="00456E02">
        <w:t xml:space="preserve">This personnel information, particularly the details of the CFO transition and the scale of the impending layoffs, is considered </w:t>
      </w:r>
      <w:r w:rsidRPr="00456E02">
        <w:rPr>
          <w:b/>
          <w:bCs/>
        </w:rPr>
        <w:t>Material Non-Public Information</w:t>
      </w:r>
      <w:r w:rsidRPr="00456E02">
        <w:t xml:space="preserve"> due to the potential perception of internal instability or the significant cost savings associated with the workforce reduction.</w:t>
      </w:r>
    </w:p>
    <w:p w14:paraId="6D9CE406" w14:textId="77777777" w:rsidR="00456E02" w:rsidRPr="00456E02" w:rsidRDefault="00456E02" w:rsidP="00456E02">
      <w:r w:rsidRPr="00456E02">
        <w:pict w14:anchorId="659806E9">
          <v:rect id="_x0000_i1100" style="width:0;height:1.5pt" o:hralign="center" o:hrstd="t" o:hrnoshade="t" o:hr="t" fillcolor="gray" stroked="f"/>
        </w:pict>
      </w:r>
    </w:p>
    <w:p w14:paraId="36E4A81A" w14:textId="77777777" w:rsidR="00456E02" w:rsidRPr="00456E02" w:rsidRDefault="00456E02" w:rsidP="00456E02">
      <w:pPr>
        <w:rPr>
          <w:b/>
          <w:bCs/>
        </w:rPr>
      </w:pPr>
      <w:r w:rsidRPr="00456E02">
        <w:rPr>
          <w:b/>
          <w:bCs/>
        </w:rPr>
        <w:lastRenderedPageBreak/>
        <w:t>4. Legal and Compliance Mandate</w:t>
      </w:r>
    </w:p>
    <w:p w14:paraId="7D11B2E7" w14:textId="77777777" w:rsidR="00456E02" w:rsidRPr="00456E02" w:rsidRDefault="00456E02" w:rsidP="00456E02">
      <w:r w:rsidRPr="00456E02">
        <w:t xml:space="preserve">The confluence of the significant earnings </w:t>
      </w:r>
      <w:proofErr w:type="gramStart"/>
      <w:r w:rsidRPr="00456E02">
        <w:t>miss</w:t>
      </w:r>
      <w:proofErr w:type="gramEnd"/>
      <w:r w:rsidRPr="00456E02">
        <w:t xml:space="preserve">, the </w:t>
      </w:r>
      <w:r w:rsidRPr="00456E02">
        <w:rPr>
          <w:b/>
          <w:bCs/>
        </w:rPr>
        <w:t>$\$7.5$ Billion</w:t>
      </w:r>
      <w:r w:rsidRPr="00456E02">
        <w:t xml:space="preserve"> acquisition of Vortex Solutions, and the simultaneous executive restructuring presents an elevated compliance risk.</w:t>
      </w:r>
    </w:p>
    <w:p w14:paraId="2B09305F" w14:textId="77777777" w:rsidR="00456E02" w:rsidRPr="00456E02" w:rsidRDefault="00456E02" w:rsidP="00456E02">
      <w:pPr>
        <w:numPr>
          <w:ilvl w:val="0"/>
          <w:numId w:val="4"/>
        </w:numPr>
      </w:pPr>
      <w:r w:rsidRPr="00456E02">
        <w:rPr>
          <w:b/>
          <w:bCs/>
        </w:rPr>
        <w:t>Blackout Period:</w:t>
      </w:r>
      <w:r w:rsidRPr="00456E02">
        <w:t xml:space="preserve"> The current trading </w:t>
      </w:r>
      <w:r w:rsidRPr="00456E02">
        <w:rPr>
          <w:b/>
          <w:bCs/>
        </w:rPr>
        <w:t>Blackout Period</w:t>
      </w:r>
      <w:r w:rsidRPr="00456E02">
        <w:t xml:space="preserve"> for all Aether Dynamics securities for employees with access to this MNPI is hereby extended indefinitely until 48 hours after the official Project Titan announcement (January 8, 2026) AND the Q4 Earnings Release (January 30, 2026).</w:t>
      </w:r>
    </w:p>
    <w:p w14:paraId="1A916815" w14:textId="77777777" w:rsidR="00456E02" w:rsidRPr="00456E02" w:rsidRDefault="00456E02" w:rsidP="00456E02">
      <w:pPr>
        <w:numPr>
          <w:ilvl w:val="0"/>
          <w:numId w:val="4"/>
        </w:numPr>
      </w:pPr>
      <w:r w:rsidRPr="00456E02">
        <w:rPr>
          <w:b/>
          <w:bCs/>
        </w:rPr>
        <w:t>Data Security:</w:t>
      </w:r>
      <w:r w:rsidRPr="00456E02">
        <w:t xml:space="preserve"> All digital and physical copies of this memorandum and any related documentation (including due diligence files, the </w:t>
      </w:r>
      <w:r w:rsidRPr="00456E02">
        <w:rPr>
          <w:b/>
          <w:bCs/>
        </w:rPr>
        <w:t>$1.68B - $1.72B</w:t>
      </w:r>
      <w:r w:rsidRPr="00456E02">
        <w:t xml:space="preserve"> revenue projection spreadsheet, and the unapproved </w:t>
      </w:r>
      <w:r w:rsidRPr="00456E02">
        <w:rPr>
          <w:b/>
          <w:bCs/>
        </w:rPr>
        <w:t>$\$0.92 - \$0.95$</w:t>
      </w:r>
      <w:r w:rsidRPr="00456E02">
        <w:t xml:space="preserve"> EPS figures) must be secured. Electronic files must remain in the </w:t>
      </w:r>
      <w:r w:rsidRPr="00456E02">
        <w:rPr>
          <w:b/>
          <w:bCs/>
        </w:rPr>
        <w:t>'Level 4-Titan'</w:t>
      </w:r>
      <w:r w:rsidRPr="00456E02">
        <w:t xml:space="preserve"> encrypted network drive. No copies are to be printed or disseminated via unencrypted email.</w:t>
      </w:r>
    </w:p>
    <w:p w14:paraId="5752B09D" w14:textId="77777777" w:rsidR="00456E02" w:rsidRPr="00456E02" w:rsidRDefault="00456E02" w:rsidP="00456E02">
      <w:pPr>
        <w:numPr>
          <w:ilvl w:val="0"/>
          <w:numId w:val="4"/>
        </w:numPr>
      </w:pPr>
      <w:r w:rsidRPr="00456E02">
        <w:rPr>
          <w:b/>
          <w:bCs/>
        </w:rPr>
        <w:t>Tipping Prohibition:</w:t>
      </w:r>
      <w:r w:rsidRPr="00456E02">
        <w:t xml:space="preserve"> You are strictly prohibited from 'tipping' or disclosing this </w:t>
      </w:r>
      <w:r w:rsidRPr="00456E02">
        <w:rPr>
          <w:b/>
          <w:bCs/>
        </w:rPr>
        <w:t>Material Non-Public Information</w:t>
      </w:r>
      <w:r w:rsidRPr="00456E02">
        <w:t xml:space="preserve"> to any third party, including family members, friends, or outside advisors, except as required by law or as expressly authorized by the General Counsel.</w:t>
      </w:r>
    </w:p>
    <w:p w14:paraId="1A4E5FB6" w14:textId="77777777" w:rsidR="00456E02" w:rsidRPr="00456E02" w:rsidRDefault="00456E02" w:rsidP="00456E02">
      <w:r w:rsidRPr="00456E02">
        <w:t>Failure to adhere to these mandates will result in immediate termination and referral to the appropriate regulatory authorities for investigation into potential insider trading.</w:t>
      </w:r>
    </w:p>
    <w:p w14:paraId="4BBA9971" w14:textId="77777777" w:rsidR="00456E02" w:rsidRPr="00456E02" w:rsidRDefault="00456E02" w:rsidP="00456E02">
      <w:r w:rsidRPr="00456E02">
        <w:rPr>
          <w:b/>
          <w:bCs/>
        </w:rPr>
        <w:t>END OF MEMORANDUM</w:t>
      </w:r>
    </w:p>
    <w:p w14:paraId="5C089A77" w14:textId="77777777" w:rsidR="001912BC" w:rsidRDefault="001912BC"/>
    <w:sectPr w:rsidR="001912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956F1"/>
    <w:multiLevelType w:val="multilevel"/>
    <w:tmpl w:val="2A88F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4575BB"/>
    <w:multiLevelType w:val="multilevel"/>
    <w:tmpl w:val="B3263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DB6A84"/>
    <w:multiLevelType w:val="multilevel"/>
    <w:tmpl w:val="36548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3B13FE"/>
    <w:multiLevelType w:val="multilevel"/>
    <w:tmpl w:val="35FED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6109759">
    <w:abstractNumId w:val="3"/>
  </w:num>
  <w:num w:numId="2" w16cid:durableId="891422129">
    <w:abstractNumId w:val="1"/>
  </w:num>
  <w:num w:numId="3" w16cid:durableId="868763239">
    <w:abstractNumId w:val="2"/>
  </w:num>
  <w:num w:numId="4" w16cid:durableId="56825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E02"/>
    <w:rsid w:val="001912BC"/>
    <w:rsid w:val="001D762D"/>
    <w:rsid w:val="00337611"/>
    <w:rsid w:val="00456E02"/>
    <w:rsid w:val="004D467B"/>
    <w:rsid w:val="00847CE3"/>
    <w:rsid w:val="00E81F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F060B"/>
  <w15:chartTrackingRefBased/>
  <w15:docId w15:val="{19296611-19DE-40E9-AAB2-6333ACB99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6E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6E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6E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6E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6E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6E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6E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6E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6E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E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6E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6E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6E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6E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6E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6E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6E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6E02"/>
    <w:rPr>
      <w:rFonts w:eastAsiaTheme="majorEastAsia" w:cstheme="majorBidi"/>
      <w:color w:val="272727" w:themeColor="text1" w:themeTint="D8"/>
    </w:rPr>
  </w:style>
  <w:style w:type="paragraph" w:styleId="Title">
    <w:name w:val="Title"/>
    <w:basedOn w:val="Normal"/>
    <w:next w:val="Normal"/>
    <w:link w:val="TitleChar"/>
    <w:uiPriority w:val="10"/>
    <w:qFormat/>
    <w:rsid w:val="00456E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6E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6E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6E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6E02"/>
    <w:pPr>
      <w:spacing w:before="160"/>
      <w:jc w:val="center"/>
    </w:pPr>
    <w:rPr>
      <w:i/>
      <w:iCs/>
      <w:color w:val="404040" w:themeColor="text1" w:themeTint="BF"/>
    </w:rPr>
  </w:style>
  <w:style w:type="character" w:customStyle="1" w:styleId="QuoteChar">
    <w:name w:val="Quote Char"/>
    <w:basedOn w:val="DefaultParagraphFont"/>
    <w:link w:val="Quote"/>
    <w:uiPriority w:val="29"/>
    <w:rsid w:val="00456E02"/>
    <w:rPr>
      <w:i/>
      <w:iCs/>
      <w:color w:val="404040" w:themeColor="text1" w:themeTint="BF"/>
    </w:rPr>
  </w:style>
  <w:style w:type="paragraph" w:styleId="ListParagraph">
    <w:name w:val="List Paragraph"/>
    <w:basedOn w:val="Normal"/>
    <w:uiPriority w:val="34"/>
    <w:qFormat/>
    <w:rsid w:val="00456E02"/>
    <w:pPr>
      <w:ind w:left="720"/>
      <w:contextualSpacing/>
    </w:pPr>
  </w:style>
  <w:style w:type="character" w:styleId="IntenseEmphasis">
    <w:name w:val="Intense Emphasis"/>
    <w:basedOn w:val="DefaultParagraphFont"/>
    <w:uiPriority w:val="21"/>
    <w:qFormat/>
    <w:rsid w:val="00456E02"/>
    <w:rPr>
      <w:i/>
      <w:iCs/>
      <w:color w:val="2F5496" w:themeColor="accent1" w:themeShade="BF"/>
    </w:rPr>
  </w:style>
  <w:style w:type="paragraph" w:styleId="IntenseQuote">
    <w:name w:val="Intense Quote"/>
    <w:basedOn w:val="Normal"/>
    <w:next w:val="Normal"/>
    <w:link w:val="IntenseQuoteChar"/>
    <w:uiPriority w:val="30"/>
    <w:qFormat/>
    <w:rsid w:val="00456E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6E02"/>
    <w:rPr>
      <w:i/>
      <w:iCs/>
      <w:color w:val="2F5496" w:themeColor="accent1" w:themeShade="BF"/>
    </w:rPr>
  </w:style>
  <w:style w:type="character" w:styleId="IntenseReference">
    <w:name w:val="Intense Reference"/>
    <w:basedOn w:val="DefaultParagraphFont"/>
    <w:uiPriority w:val="32"/>
    <w:qFormat/>
    <w:rsid w:val="00456E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905</Words>
  <Characters>5165</Characters>
  <Application>Microsoft Office Word</Application>
  <DocSecurity>0</DocSecurity>
  <Lines>43</Lines>
  <Paragraphs>12</Paragraphs>
  <ScaleCrop>false</ScaleCrop>
  <Company/>
  <LinksUpToDate>false</LinksUpToDate>
  <CharactersWithSpaces>6058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 Bilagi</dc:creator>
  <cp:keywords/>
  <dc:description/>
  <cp:lastModifiedBy>Harshit Bilagi</cp:lastModifiedBy>
  <cp:revision>1</cp:revision>
  <dcterms:created xsi:type="dcterms:W3CDTF">2025-12-09T10:20:00Z</dcterms:created>
  <dcterms:modified xsi:type="dcterms:W3CDTF">2025-12-09T10:24:00Z</dcterms:modified>
</cp:coreProperties>
</file>