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DB2F" w14:textId="77777777" w:rsidR="00030EDA" w:rsidRPr="00030EDA" w:rsidRDefault="00030EDA" w:rsidP="00030EDA">
      <w:r w:rsidRPr="00030EDA">
        <w:pict w14:anchorId="2A8F3B1D">
          <v:rect id="_x0000_i1084" style="width:0;height:1.5pt" o:hralign="center" o:hrstd="t" o:hrnoshade="t" o:hr="t" fillcolor="gray" stroked="f"/>
        </w:pict>
      </w:r>
    </w:p>
    <w:p w14:paraId="57249CE6" w14:textId="77777777" w:rsidR="00030EDA" w:rsidRPr="00030EDA" w:rsidRDefault="00030EDA" w:rsidP="00030EDA">
      <w:pPr>
        <w:rPr>
          <w:b/>
          <w:bCs/>
        </w:rPr>
      </w:pPr>
      <w:r w:rsidRPr="00030EDA">
        <w:rPr>
          <w:rFonts w:ascii="Segoe UI Emoji" w:hAnsi="Segoe UI Emoji" w:cs="Segoe UI Emoji"/>
          <w:b/>
          <w:bCs/>
        </w:rPr>
        <w:t>📰</w:t>
      </w:r>
      <w:r w:rsidRPr="00030EDA">
        <w:rPr>
          <w:b/>
          <w:bCs/>
        </w:rPr>
        <w:t xml:space="preserve"> PUBLICLY AVAILABLE INFORMATION </w:t>
      </w:r>
      <w:r w:rsidRPr="00030EDA">
        <w:rPr>
          <w:rFonts w:ascii="Segoe UI Emoji" w:hAnsi="Segoe UI Emoji" w:cs="Segoe UI Emoji"/>
          <w:b/>
          <w:bCs/>
        </w:rPr>
        <w:t>📰</w:t>
      </w:r>
    </w:p>
    <w:p w14:paraId="32A40317" w14:textId="77777777" w:rsidR="00030EDA" w:rsidRPr="00030EDA" w:rsidRDefault="00030EDA" w:rsidP="00030EDA">
      <w:pPr>
        <w:rPr>
          <w:b/>
          <w:bCs/>
        </w:rPr>
      </w:pPr>
      <w:r w:rsidRPr="00030EDA">
        <w:rPr>
          <w:b/>
          <w:bCs/>
        </w:rPr>
        <w:t>INTERNAL MEMORANDUM</w:t>
      </w:r>
    </w:p>
    <w:p w14:paraId="59175389" w14:textId="77777777" w:rsidR="00030EDA" w:rsidRPr="00030EDA" w:rsidRDefault="00030EDA" w:rsidP="00030EDA">
      <w:r w:rsidRPr="00030EDA">
        <w:t>Distribution: All Aether Dynamics Corp. Employees</w:t>
      </w:r>
    </w:p>
    <w:p w14:paraId="6EEC81DD" w14:textId="77777777" w:rsidR="00030EDA" w:rsidRPr="00030EDA" w:rsidRDefault="00030EDA" w:rsidP="00030EDA">
      <w:r w:rsidRPr="00030EDA">
        <w:t>Date: December 11, 2025</w:t>
      </w:r>
    </w:p>
    <w:p w14:paraId="023EE5FD" w14:textId="77777777" w:rsidR="00030EDA" w:rsidRPr="00030EDA" w:rsidRDefault="00030EDA" w:rsidP="00030EDA">
      <w:r w:rsidRPr="00030EDA">
        <w:t>Subject: Q4 Operational Review, Global Office Update, and 2026 Policy Reminders</w:t>
      </w:r>
    </w:p>
    <w:p w14:paraId="4209C133" w14:textId="77777777" w:rsidR="00030EDA" w:rsidRPr="00030EDA" w:rsidRDefault="00030EDA" w:rsidP="00030EDA">
      <w:r w:rsidRPr="00030EDA">
        <w:t>Classification: Level 1: General Distribution – Non-Sensitive</w:t>
      </w:r>
    </w:p>
    <w:p w14:paraId="0B459467" w14:textId="77777777" w:rsidR="00030EDA" w:rsidRPr="00030EDA" w:rsidRDefault="00030EDA" w:rsidP="00030EDA">
      <w:pPr>
        <w:rPr>
          <w:b/>
          <w:bCs/>
        </w:rPr>
      </w:pPr>
      <w:r w:rsidRPr="00030EDA">
        <w:rPr>
          <w:b/>
          <w:bCs/>
        </w:rPr>
        <w:t>1. Executive Summary: Q4 Operational Review</w:t>
      </w:r>
    </w:p>
    <w:p w14:paraId="075AF9DB" w14:textId="77777777" w:rsidR="00030EDA" w:rsidRPr="00030EDA" w:rsidRDefault="00030EDA" w:rsidP="00030EDA">
      <w:r w:rsidRPr="00030EDA">
        <w:t>The purpose of this memorandum is to provide a comprehensive, company-wide update on the operational status of Aether Dynamics Corp. as we conclude the fourth quarter of Fiscal Year 2025 (FY25). All information contained herein is based on publicly available data, previously released press statements, or is non-financial, standard operational information that would not be expected to impact shareholder value.</w:t>
      </w:r>
    </w:p>
    <w:p w14:paraId="482FF025" w14:textId="77777777" w:rsidR="00030EDA" w:rsidRPr="00030EDA" w:rsidRDefault="00030EDA" w:rsidP="00030EDA">
      <w:r w:rsidRPr="00030EDA">
        <w:t xml:space="preserve">Our Q4 operations have focused primarily on integrating the standard feature set of our new </w:t>
      </w:r>
      <w:r w:rsidRPr="00030EDA">
        <w:rPr>
          <w:b/>
          <w:bCs/>
        </w:rPr>
        <w:t>"Fusion OS"</w:t>
      </w:r>
      <w:r w:rsidRPr="00030EDA">
        <w:t xml:space="preserve"> operating system across all enterprise cloud packages, as announced in the public press release dated September 15, 2025. Customer adoption rates for Fusion OS are tracking in line with our publicly stated expectations. We continue to see strong engagement with our existing client base and are successfully renewing service contracts at the expected rates.</w:t>
      </w:r>
    </w:p>
    <w:p w14:paraId="721C8E02" w14:textId="77777777" w:rsidR="00030EDA" w:rsidRPr="00030EDA" w:rsidRDefault="00030EDA" w:rsidP="00030EDA">
      <w:r w:rsidRPr="00030EDA">
        <w:t xml:space="preserve">There are </w:t>
      </w:r>
      <w:r w:rsidRPr="00030EDA">
        <w:rPr>
          <w:b/>
          <w:bCs/>
        </w:rPr>
        <w:t>no revisions to the company's previously published Q4 FY25 earnings guidance.</w:t>
      </w:r>
      <w:r w:rsidRPr="00030EDA">
        <w:t xml:space="preserve"> Management reiterates the guidance released on October 25, 2025, which projects revenue between $\$1.80$ Billion and $\$1.85$ Billion, and Earnings Per Share (EPS) between $\$1.08$ and $\$1.12$. Any internal reporting that tracks ahead or behind these publicly stated goals is considered a normal part of business operations and is not deemed material until the final, audited figures are released.</w:t>
      </w:r>
    </w:p>
    <w:p w14:paraId="4C80E95F" w14:textId="77777777" w:rsidR="00030EDA" w:rsidRPr="00030EDA" w:rsidRDefault="00030EDA" w:rsidP="00030EDA">
      <w:r w:rsidRPr="00030EDA">
        <w:pict w14:anchorId="53DB9AC8">
          <v:rect id="_x0000_i1085" style="width:0;height:1.5pt" o:hralign="center" o:hrstd="t" o:hrnoshade="t" o:hr="t" fillcolor="gray" stroked="f"/>
        </w:pict>
      </w:r>
    </w:p>
    <w:p w14:paraId="0885CB17" w14:textId="77777777" w:rsidR="00030EDA" w:rsidRPr="00030EDA" w:rsidRDefault="00030EDA" w:rsidP="00030EDA">
      <w:pPr>
        <w:rPr>
          <w:b/>
          <w:bCs/>
        </w:rPr>
      </w:pPr>
      <w:r w:rsidRPr="00030EDA">
        <w:rPr>
          <w:b/>
          <w:bCs/>
        </w:rPr>
        <w:t>2. Global Facilities and Infrastructure Update</w:t>
      </w:r>
    </w:p>
    <w:p w14:paraId="0FCCE236" w14:textId="77777777" w:rsidR="00030EDA" w:rsidRPr="00030EDA" w:rsidRDefault="00030EDA" w:rsidP="00030EDA">
      <w:r w:rsidRPr="00030EDA">
        <w:t>We are actively progressing with general, low-cost capital improvement projects across our global footprint.</w:t>
      </w:r>
    </w:p>
    <w:p w14:paraId="420EF594" w14:textId="77777777" w:rsidR="00030EDA" w:rsidRPr="00030EDA" w:rsidRDefault="00030EDA" w:rsidP="00030EDA">
      <w:pPr>
        <w:rPr>
          <w:b/>
          <w:bCs/>
        </w:rPr>
      </w:pPr>
      <w:r w:rsidRPr="00030EDA">
        <w:rPr>
          <w:b/>
          <w:bCs/>
        </w:rPr>
        <w:t>2.1. North America Office Expansion</w:t>
      </w:r>
    </w:p>
    <w:p w14:paraId="52EFFEF0" w14:textId="77777777" w:rsidR="00030EDA" w:rsidRPr="00030EDA" w:rsidRDefault="00030EDA" w:rsidP="00030EDA">
      <w:pPr>
        <w:numPr>
          <w:ilvl w:val="0"/>
          <w:numId w:val="5"/>
        </w:numPr>
      </w:pPr>
      <w:r w:rsidRPr="00030EDA">
        <w:rPr>
          <w:b/>
          <w:bCs/>
        </w:rPr>
        <w:t>Chicago Sales Office:</w:t>
      </w:r>
      <w:r w:rsidRPr="00030EDA">
        <w:t xml:space="preserve"> Construction has officially begun on our new regional sales office in Chicago, IL. This $\$10$ million project was approved and announced during the Q2 FY25 Board meeting. This expansion is designed to accommodate the </w:t>
      </w:r>
      <w:r w:rsidRPr="00030EDA">
        <w:rPr>
          <w:b/>
          <w:bCs/>
        </w:rPr>
        <w:t xml:space="preserve">25 new </w:t>
      </w:r>
      <w:r w:rsidRPr="00030EDA">
        <w:rPr>
          <w:b/>
          <w:bCs/>
        </w:rPr>
        <w:lastRenderedPageBreak/>
        <w:t>sales associate roles</w:t>
      </w:r>
      <w:r w:rsidRPr="00030EDA">
        <w:t xml:space="preserve"> we began hiring for in July 2025, a hiring goal that has been publicly communicated.</w:t>
      </w:r>
    </w:p>
    <w:p w14:paraId="5C1424A9" w14:textId="77777777" w:rsidR="00030EDA" w:rsidRPr="00030EDA" w:rsidRDefault="00030EDA" w:rsidP="00030EDA">
      <w:pPr>
        <w:numPr>
          <w:ilvl w:val="0"/>
          <w:numId w:val="5"/>
        </w:numPr>
      </w:pPr>
      <w:r w:rsidRPr="00030EDA">
        <w:rPr>
          <w:b/>
          <w:bCs/>
        </w:rPr>
        <w:t>Sustainability Initiative:</w:t>
      </w:r>
      <w:r w:rsidRPr="00030EDA">
        <w:t xml:space="preserve"> We are installing new, high-efficiency LED lighting in all existing North American data </w:t>
      </w:r>
      <w:proofErr w:type="spellStart"/>
      <w:r w:rsidRPr="00030EDA">
        <w:t>centers</w:t>
      </w:r>
      <w:proofErr w:type="spellEnd"/>
      <w:r w:rsidRPr="00030EDA">
        <w:t xml:space="preserve"> as part of our company-wide, published goal to reduce energy consumption by 15% by FY28. This is a routine, budgeted infrastructure upgrade with no significant impact on cost of goods sold or operating expenses.</w:t>
      </w:r>
    </w:p>
    <w:p w14:paraId="0BCF61AE" w14:textId="77777777" w:rsidR="00030EDA" w:rsidRPr="00030EDA" w:rsidRDefault="00030EDA" w:rsidP="00030EDA">
      <w:pPr>
        <w:rPr>
          <w:b/>
          <w:bCs/>
        </w:rPr>
      </w:pPr>
      <w:r w:rsidRPr="00030EDA">
        <w:rPr>
          <w:b/>
          <w:bCs/>
        </w:rPr>
        <w:t>2.2. Standardized Procurement Policy</w:t>
      </w:r>
    </w:p>
    <w:p w14:paraId="2DE31479" w14:textId="77777777" w:rsidR="00030EDA" w:rsidRPr="00030EDA" w:rsidRDefault="00030EDA" w:rsidP="00030EDA">
      <w:r w:rsidRPr="00030EDA">
        <w:t xml:space="preserve">Effective January 1, 2026, we are rolling out a new standardized procurement policy for all IT hardware peripherals (keyboards, monitors, mice). This policy consolidates purchasing power to three pre-approved, public vendors (Vendor A, Vendor B, and Vendor C). The change is administrative, aimed at reducing paperwork complexity, and has </w:t>
      </w:r>
      <w:r w:rsidRPr="00030EDA">
        <w:rPr>
          <w:b/>
          <w:bCs/>
        </w:rPr>
        <w:t>no material financial effect</w:t>
      </w:r>
      <w:r w:rsidRPr="00030EDA">
        <w:t xml:space="preserve"> on the company's public contracts or supplier relationships.</w:t>
      </w:r>
    </w:p>
    <w:p w14:paraId="7B952BA3" w14:textId="77777777" w:rsidR="00030EDA" w:rsidRPr="00030EDA" w:rsidRDefault="00030EDA" w:rsidP="00030EDA">
      <w:r w:rsidRPr="00030EDA">
        <w:pict w14:anchorId="2ACDBCEE">
          <v:rect id="_x0000_i1086" style="width:0;height:1.5pt" o:hralign="center" o:hrstd="t" o:hrnoshade="t" o:hr="t" fillcolor="gray" stroked="f"/>
        </w:pict>
      </w:r>
    </w:p>
    <w:p w14:paraId="24B80992" w14:textId="77777777" w:rsidR="00030EDA" w:rsidRPr="00030EDA" w:rsidRDefault="00030EDA" w:rsidP="00030EDA">
      <w:pPr>
        <w:rPr>
          <w:b/>
          <w:bCs/>
        </w:rPr>
      </w:pPr>
      <w:r w:rsidRPr="00030EDA">
        <w:rPr>
          <w:b/>
          <w:bCs/>
        </w:rPr>
        <w:t>3. Human Resources and Compliance Reminders</w:t>
      </w:r>
    </w:p>
    <w:p w14:paraId="4353FB88" w14:textId="77777777" w:rsidR="00030EDA" w:rsidRPr="00030EDA" w:rsidRDefault="00030EDA" w:rsidP="00030EDA">
      <w:r w:rsidRPr="00030EDA">
        <w:t>The following sections review company policies that are applicable to all employees and contain no executive-level or material personnel changes.</w:t>
      </w:r>
    </w:p>
    <w:p w14:paraId="07E573EA" w14:textId="77777777" w:rsidR="00030EDA" w:rsidRPr="00030EDA" w:rsidRDefault="00030EDA" w:rsidP="00030EDA">
      <w:pPr>
        <w:rPr>
          <w:b/>
          <w:bCs/>
        </w:rPr>
      </w:pPr>
      <w:r w:rsidRPr="00030EDA">
        <w:rPr>
          <w:b/>
          <w:bCs/>
        </w:rPr>
        <w:t>3.1. Annual Employee Review Cycle</w:t>
      </w:r>
    </w:p>
    <w:p w14:paraId="089C93E1" w14:textId="77777777" w:rsidR="00030EDA" w:rsidRPr="00030EDA" w:rsidRDefault="00030EDA" w:rsidP="00030EDA">
      <w:r w:rsidRPr="00030EDA">
        <w:t xml:space="preserve">The annual performance review cycle for all non-executive employees will officially open on January 15, 2026, and close on February 28, 2026. All staff are reminded to submit their self-assessments through the standard HR portal. Compensation adjustments and promotions arising from this cycle are finalized in March and implemented in the April payroll, a process that has been standard practice for the past five years. There are no anticipated </w:t>
      </w:r>
      <w:r w:rsidRPr="00030EDA">
        <w:rPr>
          <w:b/>
          <w:bCs/>
        </w:rPr>
        <w:t>mass layoffs</w:t>
      </w:r>
      <w:r w:rsidRPr="00030EDA">
        <w:t xml:space="preserve"> or </w:t>
      </w:r>
      <w:r w:rsidRPr="00030EDA">
        <w:rPr>
          <w:b/>
          <w:bCs/>
        </w:rPr>
        <w:t>major business unit realignments</w:t>
      </w:r>
      <w:r w:rsidRPr="00030EDA">
        <w:t xml:space="preserve"> outside of our regular operational planning.</w:t>
      </w:r>
    </w:p>
    <w:p w14:paraId="79E1D73B" w14:textId="77777777" w:rsidR="00030EDA" w:rsidRPr="00030EDA" w:rsidRDefault="00030EDA" w:rsidP="00030EDA">
      <w:pPr>
        <w:rPr>
          <w:b/>
          <w:bCs/>
        </w:rPr>
      </w:pPr>
      <w:r w:rsidRPr="00030EDA">
        <w:rPr>
          <w:b/>
          <w:bCs/>
        </w:rPr>
        <w:t>3.2. Mandatory Compliance Training</w:t>
      </w:r>
    </w:p>
    <w:p w14:paraId="680AF0FC" w14:textId="77777777" w:rsidR="00030EDA" w:rsidRPr="00030EDA" w:rsidRDefault="00030EDA" w:rsidP="00030EDA">
      <w:r w:rsidRPr="00030EDA">
        <w:t xml:space="preserve">All employees are required to complete the mandatory </w:t>
      </w:r>
      <w:r w:rsidRPr="00030EDA">
        <w:rPr>
          <w:b/>
          <w:bCs/>
        </w:rPr>
        <w:t>Annual Code of Conduct and Ethics Training</w:t>
      </w:r>
      <w:r w:rsidRPr="00030EDA">
        <w:t xml:space="preserve"> module by December 31, 2025. This module includes a review of general company policies on anti-harassment, data privacy (related to customer data, not internal strategic data), and responsible use of social media.</w:t>
      </w:r>
    </w:p>
    <w:p w14:paraId="06CBEBD0" w14:textId="77777777" w:rsidR="00030EDA" w:rsidRPr="00030EDA" w:rsidRDefault="00030EDA" w:rsidP="00030EDA">
      <w:pPr>
        <w:rPr>
          <w:b/>
          <w:bCs/>
        </w:rPr>
      </w:pPr>
      <w:r w:rsidRPr="00030EDA">
        <w:rPr>
          <w:b/>
          <w:bCs/>
        </w:rPr>
        <w:t>3.3. Conflict of Interest Policy</w:t>
      </w:r>
    </w:p>
    <w:p w14:paraId="58222C21" w14:textId="77777777" w:rsidR="00030EDA" w:rsidRPr="00030EDA" w:rsidRDefault="00030EDA" w:rsidP="00030EDA">
      <w:r w:rsidRPr="00030EDA">
        <w:t>A reminder that all employees must disclose any potential conflicts of interest, such as ownership stakes in direct competitors or supplier relationships. This is a standard regulatory requirement, and the policy has been publicly available on the company intranet for over a year.</w:t>
      </w:r>
    </w:p>
    <w:p w14:paraId="3203D637" w14:textId="77777777" w:rsidR="00030EDA" w:rsidRPr="00030EDA" w:rsidRDefault="00030EDA" w:rsidP="00030EDA">
      <w:r w:rsidRPr="00030EDA">
        <w:pict w14:anchorId="31D5BADF">
          <v:rect id="_x0000_i1087" style="width:0;height:1.5pt" o:hralign="center" o:hrstd="t" o:hrnoshade="t" o:hr="t" fillcolor="gray" stroked="f"/>
        </w:pict>
      </w:r>
    </w:p>
    <w:p w14:paraId="583DC8DB" w14:textId="77777777" w:rsidR="00030EDA" w:rsidRPr="00030EDA" w:rsidRDefault="00030EDA" w:rsidP="00030EDA">
      <w:pPr>
        <w:rPr>
          <w:b/>
          <w:bCs/>
        </w:rPr>
      </w:pPr>
      <w:r w:rsidRPr="00030EDA">
        <w:rPr>
          <w:b/>
          <w:bCs/>
        </w:rPr>
        <w:lastRenderedPageBreak/>
        <w:t>4. Public Relations and Investor Relations (IR) Activities</w:t>
      </w:r>
    </w:p>
    <w:p w14:paraId="554F6155" w14:textId="77777777" w:rsidR="00030EDA" w:rsidRPr="00030EDA" w:rsidRDefault="00030EDA" w:rsidP="00030EDA">
      <w:r w:rsidRPr="00030EDA">
        <w:t>We are actively engaging with the investment community based on previously released information.</w:t>
      </w:r>
    </w:p>
    <w:p w14:paraId="6155E9AC" w14:textId="77777777" w:rsidR="00030EDA" w:rsidRPr="00030EDA" w:rsidRDefault="00030EDA" w:rsidP="00030EDA">
      <w:pPr>
        <w:numPr>
          <w:ilvl w:val="0"/>
          <w:numId w:val="6"/>
        </w:numPr>
      </w:pPr>
      <w:r w:rsidRPr="00030EDA">
        <w:rPr>
          <w:b/>
          <w:bCs/>
        </w:rPr>
        <w:t>Upcoming Conferences:</w:t>
      </w:r>
      <w:r w:rsidRPr="00030EDA">
        <w:t xml:space="preserve"> The Investor Relations team will be presenting at the "Global Tech Innovation Summit" on January 18, 2026, and the "Enterprise Cloud Futures Conference" on February 5, 2026. The slide decks for these presentations will be made public on the Investor Relations website 24 hours prior to the event. The content will be restricted to information already shared in previous earnings calls and press releases.</w:t>
      </w:r>
    </w:p>
    <w:p w14:paraId="37F245A0" w14:textId="77777777" w:rsidR="00030EDA" w:rsidRPr="00030EDA" w:rsidRDefault="00030EDA" w:rsidP="00030EDA">
      <w:pPr>
        <w:numPr>
          <w:ilvl w:val="0"/>
          <w:numId w:val="6"/>
        </w:numPr>
      </w:pPr>
      <w:r w:rsidRPr="00030EDA">
        <w:rPr>
          <w:b/>
          <w:bCs/>
        </w:rPr>
        <w:t>No Pending M&amp;A Activity:</w:t>
      </w:r>
      <w:r w:rsidRPr="00030EDA">
        <w:t xml:space="preserve"> To address recent public market speculation, Aether Dynamics Corp. </w:t>
      </w:r>
      <w:r w:rsidRPr="00030EDA">
        <w:rPr>
          <w:b/>
          <w:bCs/>
        </w:rPr>
        <w:t>has no pending or active mergers, acquisitions, or divestitures</w:t>
      </w:r>
      <w:r w:rsidRPr="00030EDA">
        <w:t xml:space="preserve"> that have not already been publicly announced. The company is currently focusing on internal growth and is not engaged in any non-public negotiations that would require an immediate market disclosure.</w:t>
      </w:r>
    </w:p>
    <w:p w14:paraId="6465D24E" w14:textId="77777777" w:rsidR="00030EDA" w:rsidRPr="00030EDA" w:rsidRDefault="00030EDA" w:rsidP="00030EDA">
      <w:r w:rsidRPr="00030EDA">
        <w:t>We thank all employees for their continued dedication and adherence to all company standards.</w:t>
      </w:r>
    </w:p>
    <w:p w14:paraId="5C089A77" w14:textId="02A9A84D" w:rsidR="001912BC" w:rsidRDefault="00030EDA">
      <w:r w:rsidRPr="00030EDA">
        <w:rPr>
          <w:b/>
          <w:bCs/>
        </w:rPr>
        <w:t>END OF MEMORANDUM</w:t>
      </w:r>
    </w:p>
    <w:sectPr w:rsidR="00191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DF8"/>
    <w:multiLevelType w:val="multilevel"/>
    <w:tmpl w:val="351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956F1"/>
    <w:multiLevelType w:val="multilevel"/>
    <w:tmpl w:val="2A88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45AD7"/>
    <w:multiLevelType w:val="multilevel"/>
    <w:tmpl w:val="74CE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575BB"/>
    <w:multiLevelType w:val="multilevel"/>
    <w:tmpl w:val="B32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B6A84"/>
    <w:multiLevelType w:val="multilevel"/>
    <w:tmpl w:val="3654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B13FE"/>
    <w:multiLevelType w:val="multilevel"/>
    <w:tmpl w:val="35FE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109759">
    <w:abstractNumId w:val="5"/>
  </w:num>
  <w:num w:numId="2" w16cid:durableId="891422129">
    <w:abstractNumId w:val="3"/>
  </w:num>
  <w:num w:numId="3" w16cid:durableId="868763239">
    <w:abstractNumId w:val="4"/>
  </w:num>
  <w:num w:numId="4" w16cid:durableId="56825159">
    <w:abstractNumId w:val="1"/>
  </w:num>
  <w:num w:numId="5" w16cid:durableId="842744596">
    <w:abstractNumId w:val="0"/>
  </w:num>
  <w:num w:numId="6" w16cid:durableId="579758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02"/>
    <w:rsid w:val="00030EDA"/>
    <w:rsid w:val="001912BC"/>
    <w:rsid w:val="001D762D"/>
    <w:rsid w:val="00337611"/>
    <w:rsid w:val="00456E02"/>
    <w:rsid w:val="004D467B"/>
    <w:rsid w:val="00720766"/>
    <w:rsid w:val="00847CE3"/>
    <w:rsid w:val="00E81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060B"/>
  <w15:chartTrackingRefBased/>
  <w15:docId w15:val="{19296611-19DE-40E9-AAB2-6333ACB99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E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E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E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E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E02"/>
    <w:rPr>
      <w:rFonts w:eastAsiaTheme="majorEastAsia" w:cstheme="majorBidi"/>
      <w:color w:val="272727" w:themeColor="text1" w:themeTint="D8"/>
    </w:rPr>
  </w:style>
  <w:style w:type="paragraph" w:styleId="Title">
    <w:name w:val="Title"/>
    <w:basedOn w:val="Normal"/>
    <w:next w:val="Normal"/>
    <w:link w:val="TitleChar"/>
    <w:uiPriority w:val="10"/>
    <w:qFormat/>
    <w:rsid w:val="00456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E02"/>
    <w:pPr>
      <w:spacing w:before="160"/>
      <w:jc w:val="center"/>
    </w:pPr>
    <w:rPr>
      <w:i/>
      <w:iCs/>
      <w:color w:val="404040" w:themeColor="text1" w:themeTint="BF"/>
    </w:rPr>
  </w:style>
  <w:style w:type="character" w:customStyle="1" w:styleId="QuoteChar">
    <w:name w:val="Quote Char"/>
    <w:basedOn w:val="DefaultParagraphFont"/>
    <w:link w:val="Quote"/>
    <w:uiPriority w:val="29"/>
    <w:rsid w:val="00456E02"/>
    <w:rPr>
      <w:i/>
      <w:iCs/>
      <w:color w:val="404040" w:themeColor="text1" w:themeTint="BF"/>
    </w:rPr>
  </w:style>
  <w:style w:type="paragraph" w:styleId="ListParagraph">
    <w:name w:val="List Paragraph"/>
    <w:basedOn w:val="Normal"/>
    <w:uiPriority w:val="34"/>
    <w:qFormat/>
    <w:rsid w:val="00456E02"/>
    <w:pPr>
      <w:ind w:left="720"/>
      <w:contextualSpacing/>
    </w:pPr>
  </w:style>
  <w:style w:type="character" w:styleId="IntenseEmphasis">
    <w:name w:val="Intense Emphasis"/>
    <w:basedOn w:val="DefaultParagraphFont"/>
    <w:uiPriority w:val="21"/>
    <w:qFormat/>
    <w:rsid w:val="00456E02"/>
    <w:rPr>
      <w:i/>
      <w:iCs/>
      <w:color w:val="2F5496" w:themeColor="accent1" w:themeShade="BF"/>
    </w:rPr>
  </w:style>
  <w:style w:type="paragraph" w:styleId="IntenseQuote">
    <w:name w:val="Intense Quote"/>
    <w:basedOn w:val="Normal"/>
    <w:next w:val="Normal"/>
    <w:link w:val="IntenseQuoteChar"/>
    <w:uiPriority w:val="30"/>
    <w:qFormat/>
    <w:rsid w:val="00456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E02"/>
    <w:rPr>
      <w:i/>
      <w:iCs/>
      <w:color w:val="2F5496" w:themeColor="accent1" w:themeShade="BF"/>
    </w:rPr>
  </w:style>
  <w:style w:type="character" w:styleId="IntenseReference">
    <w:name w:val="Intense Reference"/>
    <w:basedOn w:val="DefaultParagraphFont"/>
    <w:uiPriority w:val="32"/>
    <w:qFormat/>
    <w:rsid w:val="00456E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Bilagi</dc:creator>
  <cp:keywords/>
  <dc:description/>
  <cp:lastModifiedBy>Harshit Bilagi</cp:lastModifiedBy>
  <cp:revision>2</cp:revision>
  <dcterms:created xsi:type="dcterms:W3CDTF">2025-12-09T10:20:00Z</dcterms:created>
  <dcterms:modified xsi:type="dcterms:W3CDTF">2025-12-11T16:46:00Z</dcterms:modified>
</cp:coreProperties>
</file>