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E293B"/>
          <w:sz w:val="48"/>
        </w:rPr>
        <w:t>Business Requirement Document (BRD)</w:t>
      </w:r>
    </w:p>
    <w:p>
      <w:pPr>
        <w:spacing w:after="360"/>
      </w:pPr>
      <w:r>
        <w:rPr>
          <w:b/>
          <w:color w:val="4F46E5"/>
          <w:sz w:val="26"/>
        </w:rPr>
        <w:t>Enterprise Multilingual AI Document Translation Platform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</w:tcPr>
          <w:p>
            <w:r>
              <w:rPr>
                <w:b/>
                <w:sz w:val="19"/>
              </w:rPr>
              <w:t>Project Name: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9"/>
              </w:rPr>
              <w:t>Automated Multilingual Document Translation System (AMDTS)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b/>
                <w:sz w:val="19"/>
              </w:rPr>
              <w:t>Document Version: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9"/>
              </w:rPr>
              <w:t>Version 2.4 (Final Draft)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b/>
                <w:sz w:val="19"/>
              </w:rPr>
              <w:t>Author &amp; Team: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9"/>
              </w:rPr>
              <w:t>Product Engineering &amp; Enterprise AI Core Team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b/>
                <w:sz w:val="19"/>
              </w:rPr>
              <w:t>Date &amp; Status: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9"/>
              </w:rPr>
              <w:t>September 24, 2026 | Approved for Implementation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E293B"/>
        </w:rPr>
        <w:t>1. Executive Summary</w:t>
      </w:r>
    </w:p>
    <w:p>
      <w:r>
        <w:t>Modern global enterprises produce high volumes of documentation in English, Hindi, and Bengali. Manual translation is costly, error-prone, and causes significant delays in operational workflows. The objective of this project is to build an automated, high-precision document translation engine powered by fine-tuned IndicTrans2 neural models. The system must preserve complete document styling, table structures, bullet points, headers, footers, and font formatting without manual intervention.</w:t>
      </w:r>
    </w:p>
    <w:p>
      <w:pPr>
        <w:pStyle w:val="Heading1"/>
      </w:pPr>
      <w:r>
        <w:t>2. Project Scope and Business Objectives</w:t>
      </w:r>
    </w:p>
    <w:p>
      <w:r>
        <w:t>The project scope encompasses real-time and batched translation of Microsoft Word (.docx) documents. Key objectives include:</w:t>
      </w:r>
    </w:p>
    <w:p>
      <w:pPr>
        <w:pStyle w:val="ListBullet"/>
      </w:pPr>
      <w:r>
        <w:t>Deliver sub-minute translation turnaround for documents up to 50 pages.</w:t>
      </w:r>
    </w:p>
    <w:p>
      <w:pPr>
        <w:pStyle w:val="ListBullet"/>
      </w:pPr>
      <w:r>
        <w:t>Maintain over 95% semantic fidelity and BLEU score accuracy across English, Hindi, and Bengali.</w:t>
      </w:r>
    </w:p>
    <w:p>
      <w:pPr>
        <w:pStyle w:val="ListBullet"/>
      </w:pPr>
      <w:r>
        <w:t>Preserve 100% of formatting elements including headings, bold/italic text, tables, and lists.</w:t>
      </w:r>
    </w:p>
    <w:p>
      <w:pPr>
        <w:pStyle w:val="ListBullet"/>
      </w:pPr>
      <w:r>
        <w:t>Provide zero-leakage security with completely local, air-gapped model inference.</w:t>
      </w:r>
    </w:p>
    <w:p>
      <w:pPr>
        <w:pStyle w:val="Heading1"/>
      </w:pPr>
      <w:r>
        <w:t>3. Stakeholder Analysis and Roles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20"/>
            <w:shd w:fill="1E293B"/>
          </w:tcPr>
          <w:p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type="dxa" w:w="3120"/>
            <w:shd w:fill="1E293B"/>
          </w:tcPr>
          <w:p>
            <w:r>
              <w:rPr>
                <w:b/>
                <w:color w:val="FFFFFF"/>
                <w:sz w:val="20"/>
              </w:rPr>
              <w:t>Key Responsibilities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sz w:val="19"/>
              </w:rPr>
              <w:t>Product Manager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Enterprise AI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Defines business priorities, release milestones, and user experience requirements.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9"/>
              </w:rPr>
              <w:t>Lead ML Engineer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9"/>
              </w:rPr>
              <w:t>NLP Research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9"/>
              </w:rPr>
              <w:t>Maintains fine-tuned IndicTrans2 checkpoints and optimizes batch inference latency.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sz w:val="19"/>
              </w:rPr>
              <w:t>Security Officer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Compliance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Audits data privacy, ensuring no client document data leaves the secure on-premise boundary.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9"/>
              </w:rPr>
              <w:t>Business Operations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9"/>
              </w:rPr>
              <w:t>Global Delivery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9"/>
              </w:rPr>
              <w:t>Validates output document accuracy and operational cost savings across regional hubs.</w:t>
            </w:r>
          </w:p>
        </w:tc>
      </w:tr>
    </w:tbl>
    <w:p>
      <w:pPr>
        <w:spacing w:after="240"/>
      </w:pPr>
    </w:p>
    <w:p>
      <w:pPr>
        <w:pStyle w:val="Heading1"/>
      </w:pPr>
      <w:r>
        <w:t>4. Functional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F46E5"/>
          </w:tcPr>
          <w:p>
            <w:r>
              <w:rPr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2340"/>
            <w:shd w:fill="4F46E5"/>
          </w:tcPr>
          <w:p>
            <w:r>
              <w:rPr>
                <w:b/>
                <w:color w:val="FFFFFF"/>
                <w:sz w:val="19"/>
              </w:rPr>
              <w:t>Feature Description</w:t>
            </w:r>
          </w:p>
        </w:tc>
        <w:tc>
          <w:tcPr>
            <w:tcW w:type="dxa" w:w="2340"/>
            <w:shd w:fill="4F46E5"/>
          </w:tcPr>
          <w:p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2340"/>
            <w:shd w:fill="4F46E5"/>
          </w:tcPr>
          <w:p>
            <w:r>
              <w:rPr>
                <w:b/>
                <w:color w:val="FFFFFF"/>
                <w:sz w:val="19"/>
              </w:rPr>
              <w:t>Acceptance Criteria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sz w:val="18"/>
              </w:rPr>
              <w:t>FR-001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Automatic Script &amp; Language Detection</w:t>
            </w:r>
          </w:p>
        </w:tc>
        <w:tc>
          <w:tcPr>
            <w:tcW w:type="dxa" w:w="2340"/>
            <w:shd w:fill="F8FAFC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Accurately classify English, Hindi, and Bengali scripts with &gt;90% confidence.</w:t>
            </w:r>
          </w:p>
        </w:tc>
      </w:tr>
      <w:tr>
        <w:tc>
          <w:tcPr>
            <w:tcW w:type="dxa" w:w="2340"/>
            <w:shd w:fill="EEF2FF"/>
          </w:tcPr>
          <w:p>
            <w:r>
              <w:rPr>
                <w:sz w:val="18"/>
              </w:rPr>
              <w:t>FR-002</w:t>
            </w:r>
          </w:p>
        </w:tc>
        <w:tc>
          <w:tcPr>
            <w:tcW w:type="dxa" w:w="2340"/>
            <w:shd w:fill="EEF2FF"/>
          </w:tcPr>
          <w:p>
            <w:r>
              <w:rPr>
                <w:sz w:val="18"/>
              </w:rPr>
              <w:t>Deep Document Formatting Preservation</w:t>
            </w:r>
          </w:p>
        </w:tc>
        <w:tc>
          <w:tcPr>
            <w:tcW w:type="dxa" w:w="2340"/>
            <w:shd w:fill="EEF2FF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2340"/>
            <w:shd w:fill="EEF2FF"/>
          </w:tcPr>
          <w:p>
            <w:r>
              <w:rPr>
                <w:sz w:val="18"/>
              </w:rPr>
              <w:t>Retain all table borders, cell alignments, headers, footers, and font styles in generated DOCX.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sz w:val="18"/>
              </w:rPr>
              <w:t>FR-003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Optimized Batch Inference</w:t>
            </w:r>
          </w:p>
        </w:tc>
        <w:tc>
          <w:tcPr>
            <w:tcW w:type="dxa" w:w="2340"/>
            <w:shd w:fill="F8FAFC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Process text segments with dynamic batching (batch size = 8) and fast greedy beam search.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sz w:val="18"/>
              </w:rPr>
              <w:t>FR-004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8"/>
              </w:rPr>
              <w:t>Route Validation &amp; Restriction</w:t>
            </w:r>
          </w:p>
        </w:tc>
        <w:tc>
          <w:tcPr>
            <w:tcW w:type="dxa" w:w="2340"/>
            <w:shd w:fill="FFFFFF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8"/>
              </w:rPr>
              <w:t>Enforce English &lt;-&gt; Indic routes and provide clear user notifications for unsupported Indic &lt;-&gt; Indic routes.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sz w:val="18"/>
              </w:rPr>
              <w:t>FR-005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Interactive Web Interface</w:t>
            </w:r>
          </w:p>
        </w:tc>
        <w:tc>
          <w:tcPr>
            <w:tcW w:type="dxa" w:w="2340"/>
            <w:shd w:fill="F8FAFC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Responsive Streamlit dashboard with file drag-and-drop, progress tracking, and one-click download.</w:t>
            </w:r>
          </w:p>
        </w:tc>
      </w:tr>
    </w:tbl>
    <w:p>
      <w:pPr>
        <w:spacing w:after="240"/>
      </w:pPr>
    </w:p>
    <w:p>
      <w:pPr>
        <w:pStyle w:val="Heading1"/>
      </w:pPr>
      <w:r>
        <w:t>5. Non-Functional Requirements</w:t>
      </w:r>
    </w:p>
    <w:p>
      <w:r>
        <w:rPr>
          <w:b/>
        </w:rPr>
        <w:t xml:space="preserve">NFR-01: Performance &amp; Latency: </w:t>
      </w:r>
      <w:r>
        <w:t>The translation pipeline must process a standard 10-page document within 15 seconds on modern CPU hardware.</w:t>
      </w:r>
    </w:p>
    <w:p>
      <w:r>
        <w:rPr>
          <w:b/>
        </w:rPr>
        <w:t xml:space="preserve">NFR-02: Scalability &amp; Memory Management: </w:t>
      </w:r>
      <w:r>
        <w:t>Peak memory footprint during Seq2SeqLM generation must not exceed 4 GB RAM per instance.</w:t>
      </w:r>
    </w:p>
    <w:p>
      <w:r>
        <w:rPr>
          <w:b/>
        </w:rPr>
        <w:t xml:space="preserve">NFR-03: Security &amp; Privacy: </w:t>
      </w:r>
      <w:r>
        <w:t>All temporary document buffers must be held in-memory via BytesIO with no persistent disk caching of sensitive data.</w:t>
      </w:r>
    </w:p>
    <w:p>
      <w:r>
        <w:rPr>
          <w:b/>
        </w:rPr>
        <w:t xml:space="preserve">NFR-04: Robustness &amp; Error Handling: </w:t>
      </w:r>
      <w:r>
        <w:t>Gracefully handle corrupt Word documents, unmapped Unicode characters, and empty paragraph runs without raising unhandled exceptions.</w:t>
      </w:r>
    </w:p>
    <w:p>
      <w:pPr>
        <w:pStyle w:val="Heading1"/>
      </w:pPr>
      <w:r>
        <w:t>6. Technical Architecture and Constraints</w:t>
      </w:r>
    </w:p>
    <w:p>
      <w:r>
        <w:t>The system utilizes Python 3.11 with Hugging Face Transformers 4.32.1, PyTorch 2.0+, and python-docx. The primary AI model is IndicTrans2 (1B parameter distilled sequence-to-sequence model). Key architectural constraints include:</w:t>
      </w:r>
    </w:p>
    <w:p>
      <w:pPr>
        <w:pStyle w:val="ListBullet"/>
      </w:pPr>
      <w:r>
        <w:t>Inference runs on CPU utilizing multi-threaded PyTorch execution threads.</w:t>
      </w:r>
    </w:p>
    <w:p>
      <w:pPr>
        <w:pStyle w:val="ListBullet"/>
      </w:pPr>
      <w:r>
        <w:t>Custom tokenizer shims handle vocabulary mapping and sentence piece encodings without Cython toolchains.</w:t>
      </w:r>
    </w:p>
    <w:p>
      <w:pPr>
        <w:pStyle w:val="ListBullet"/>
      </w:pPr>
      <w:r>
        <w:t>Document parsing uses non-destructive run-level text injection to preserve OpenXML markup.</w:t>
      </w:r>
    </w:p>
    <w:p>
      <w:pPr>
        <w:pStyle w:val="Heading1"/>
      </w:pPr>
      <w:r>
        <w:t>7. Document Approval Sign-off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</w:tcPr>
          <w:p>
            <w:r>
              <w:rPr>
                <w:b/>
                <w:color w:val="FFFFFF"/>
                <w:sz w:val="19"/>
              </w:rPr>
              <w:t>Approver Name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  <w:sz w:val="19"/>
              </w:rPr>
              <w:t>Approval Status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Sarah Jenkins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VP of Engineering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Approved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2026-09-24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Dr. Rajesh Sharma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Principal AI Architect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Approved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2026-09-24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Ananya Sen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Head of Quality Assurance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Approved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2026-09-24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808080"/>
        <w:sz w:val="17"/>
      </w:rPr>
      <w:t>Dynamic Document Translator Project - BRD v2.4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7"/>
      </w:rPr>
      <w:t>CONFIDENTIAL - Dynamic Enterprise Solutions | Business Requirement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