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200"/>
        <w:jc w:val="center"/>
      </w:pPr>
      <w:r>
        <w:rPr>
          <w:rFonts w:ascii="Times New Roman" w:hAnsi="Times New Roman"/>
          <w:b/>
          <w:color w:val="0F172A"/>
          <w:sz w:val="28"/>
        </w:rPr>
        <w:t>Attack-Specific Evidence Sufficiency and Incident Reconstruction in Neuromorphic Spiking Architectures</w:t>
      </w:r>
    </w:p>
    <w:p>
      <w:pPr>
        <w:spacing w:before="0" w:after="60"/>
        <w:jc w:val="center"/>
      </w:pPr>
      <w:r>
        <w:rPr>
          <w:rFonts w:ascii="Times New Roman" w:hAnsi="Times New Roman"/>
          <w:b/>
          <w:sz w:val="21"/>
        </w:rPr>
        <w:t>K. S. Harshitaa</w:t>
      </w:r>
    </w:p>
    <w:p>
      <w:pPr>
        <w:spacing w:before="0" w:after="240"/>
        <w:jc w:val="center"/>
      </w:pPr>
      <w:r>
        <w:rPr>
          <w:rFonts w:ascii="Times New Roman" w:hAnsi="Times New Roman"/>
          <w:i/>
          <w:color w:val="464646"/>
          <w:sz w:val="18"/>
        </w:rPr>
        <w:t>Department of Computer Science &amp; Cybersecurity Engineering</w:t>
        <w:br/>
        <w:t>NeuroForensics Research Initiative, Bangalore, Karnataka, India</w:t>
        <w:br/>
        <w:t>Email: harshitaa.cs.research@gmail.com</w:t>
        <w:br/>
        <w:t>Repository: https://github.com/HarshitaaWantsToCode/DF_IRTI_Neuromorphic</w:t>
      </w:r>
    </w:p>
    <w:p>
      <w:pPr>
        <w:spacing w:before="120" w:after="80" w:line="264" w:lineRule="auto"/>
        <w:ind w:left="576" w:right="576"/>
        <w:jc w:val="both"/>
      </w:pPr>
      <w:r>
        <w:rPr>
          <w:rFonts w:ascii="Times New Roman" w:hAnsi="Times New Roman"/>
          <w:b/>
          <w:sz w:val="18"/>
        </w:rPr>
        <w:t xml:space="preserve">Abstract. </w:t>
      </w:r>
      <w:r>
        <w:rPr>
          <w:rFonts w:ascii="Times New Roman" w:hAnsi="Times New Roman"/>
          <w:sz w:val="18"/>
        </w:rPr>
        <w:t>Neuromorphic computing frameworks operating on event-driven Spiking Neural Networks (SNNs) process information through asynchronous binary action potentials (spikes) distributed across networked physical cores. While delivering orders-of-magnitude energy efficiency over synchronous deep neural networks on von Neumann accelerators, their extreme sparsity and sub-millisecond asynchronous dynamics introduce a fundamental paradox for Digital Forensics and Incident Response (DFIR): traditional monolithic physical memory acquisition and exhaustive continuous telemetry either produce an unsustainable data deluge or fail to isolate subtle non-deterministic adversarial perturbations. In this paper, we propose the NeuroForensics framework to resolve the fundamental research question: Given an adversarial neuromorphic cyber attack, which observable artifact combinations are mathematically sufficient to reconstruct the incident with provable chain-of-custody? We establish an explicit seven-class neuromorphic evidence taxonomy encapsulated in sealed container archives (.nfd) protected by per-block SHA-256 digests and hierarchical Merkle verification trees. Evaluating all 127 non-empty combinatorial subsets (2^7 - 1) against strictly isolated ground truth across a calibrated multi-core Leaky Integrate-and-Fire (LIF) architecture and authentic microsecond event streams from the IBM DVS128 Gesture neuromorphic dataset, we derive the exact empirical Attack × Artifact Sufficiency Boundaries. Our results show that Synaptic Weight Poisoning (Trojan) requires solely static SYNAPTIC_STATE (cardinality 1) achieving an 83.5% baseline and up to 85.0% reconstruction score, Denial-of-Service Spike Flooding is fully localized using discrete SPIKE_EVENTS alone (cardinality 1, 89.14% uncompressed / 96.8% compressed storage reduction), whereas Temporal Desynchronization / Jitter attacks strictly mandate joint temporal acquisition {SPIKE_EVENTS, SPIKE_TIMING} (cardinality 2, 96.95% storage reduction). Crucially, continuous volatile membrane state (NEURON_STATE) is empirically demonstrated to be mathematically redundant across all attack classes, enabling up to 98.4% forensic storage savings while automating STIX 2.1 threat intelligence generation and deterministic root-cause attribution.</w:t>
      </w:r>
    </w:p>
    <w:p>
      <w:pPr>
        <w:spacing w:before="40" w:after="280"/>
        <w:ind w:left="576" w:right="576"/>
        <w:jc w:val="both"/>
      </w:pPr>
      <w:r>
        <w:rPr>
          <w:rFonts w:ascii="Times New Roman" w:hAnsi="Times New Roman"/>
          <w:b/>
          <w:sz w:val="18"/>
        </w:rPr>
        <w:t xml:space="preserve">Keywords: </w:t>
      </w:r>
      <w:r>
        <w:rPr>
          <w:rFonts w:ascii="Times New Roman" w:hAnsi="Times New Roman"/>
          <w:i/>
          <w:sz w:val="18"/>
        </w:rPr>
        <w:t>Neuromorphic Forensics, Spiking Neural Networks (SNN), Evidence Sufficiency, Address-Event Representation (AER), Combinatorial Evidence Ablation, Merkle Chain-of-Custody, Cyber Threat Intelligence, Incident Reconstruction.</w:t>
      </w:r>
    </w:p>
    <w:p>
      <w:pPr>
        <w:keepNext/>
        <w:spacing w:before="280" w:after="80"/>
      </w:pPr>
      <w:r>
        <w:rPr>
          <w:rFonts w:ascii="Times New Roman" w:hAnsi="Times New Roman"/>
          <w:b/>
          <w:color w:val="0F172A"/>
          <w:sz w:val="24"/>
        </w:rPr>
        <w:t>1  Introduction</w:t>
      </w:r>
    </w:p>
    <w:p>
      <w:pPr>
        <w:spacing w:before="0" w:after="80" w:line="276" w:lineRule="auto"/>
        <w:jc w:val="both"/>
      </w:pPr>
      <w:r>
        <w:rPr>
          <w:rFonts w:ascii="Times New Roman" w:hAnsi="Times New Roman"/>
          <w:i w:val="0"/>
          <w:color w:val="1E1E1E"/>
          <w:sz w:val="20"/>
        </w:rPr>
        <w:t>Neuromorphic computing hardware and Spiking Neural Networks (SNNs) have emerged as the premier architectural paradigm for ultra-low-power artificial intelligence, edge robotics, autonomous vehicles, and bio-inspired sensory perception [1]. Unlike conventional deep neural networks executed on von Neumann central or graphical processing units (CPUs/GPUs), neuromorphic processors emulate the sparse temporal event-driven communication of biological brains. Computation occurs exclusively when a neuron's integrated membrane potential crosses a threshold voltage, generating a discrete binary spike that propagates across Address-Event Representation (AER) communication buses [2]. Exemplified by research and commercial processors such as Intel Loihi, IBM TrueNorth, and SpiNNaker, these architectures achieve orders-of-magnitude reductions in energy consumption by exploiting massive spatial parallelism, co-located memory and compute within crossbar arrays, and extreme temporal sparsity [3].</w:t>
      </w:r>
    </w:p>
    <w:p>
      <w:pPr>
        <w:spacing w:before="0" w:after="80" w:line="276" w:lineRule="auto"/>
        <w:jc w:val="both"/>
      </w:pPr>
      <w:r>
        <w:rPr>
          <w:rFonts w:ascii="Times New Roman" w:hAnsi="Times New Roman"/>
          <w:i w:val="0"/>
          <w:color w:val="1E1E1E"/>
          <w:sz w:val="20"/>
        </w:rPr>
        <w:t>Despite these transformative advantages in power efficiency and latency, the security and forensic investigability of neuromorphic systems remain deeply problematic. In traditional enterprise computing and edge IoT infrastructure, Digital Forensics and Incident Response (DFIR) practices rely on well-established forensic abstractions: linear operating system audit logs, physical RAM memory dumps (e.g., Volatility analysis), register tracing, and network packet capture (PCAP) [4]. However, these traditional abstractions completely break down when applied to neuromorphic substrates:</w:t>
      </w:r>
    </w:p>
    <w:p>
      <w:pPr>
        <w:pStyle w:val="ListBullet"/>
        <w:spacing w:before="20" w:after="40" w:line="276" w:lineRule="auto"/>
        <w:jc w:val="both"/>
      </w:pPr>
      <w:r>
        <w:rPr>
          <w:rFonts w:ascii="Times New Roman" w:hAnsi="Times New Roman"/>
          <w:b/>
          <w:color w:val="0F172A"/>
          <w:sz w:val="20"/>
        </w:rPr>
        <w:t xml:space="preserve">Asynchronous and Non-Von Neumann Substrates: </w:t>
      </w:r>
      <w:r>
        <w:rPr>
          <w:rFonts w:ascii="Times New Roman" w:hAnsi="Times New Roman"/>
          <w:color w:val="1E1E1E"/>
          <w:sz w:val="20"/>
        </w:rPr>
        <w:t>State is physically distributed across hundreds of thousands of independent physical cores with local analog or digital synaptic crossbars. There is no centralized physical memory bus, no master clock, and no linear instruction pointer [2, 3].</w:t>
      </w:r>
    </w:p>
    <w:p>
      <w:pPr>
        <w:pStyle w:val="ListBullet"/>
        <w:spacing w:before="20" w:after="40" w:line="276" w:lineRule="auto"/>
        <w:jc w:val="both"/>
      </w:pPr>
      <w:r>
        <w:rPr>
          <w:rFonts w:ascii="Times New Roman" w:hAnsi="Times New Roman"/>
          <w:b/>
          <w:color w:val="0F172A"/>
          <w:sz w:val="20"/>
        </w:rPr>
        <w:t xml:space="preserve">The Volatile Acquisition Dilemma: </w:t>
      </w:r>
      <w:r>
        <w:rPr>
          <w:rFonts w:ascii="Times New Roman" w:hAnsi="Times New Roman"/>
          <w:color w:val="1E1E1E"/>
          <w:sz w:val="20"/>
        </w:rPr>
        <w:t>Continuously acquiring the internal sub-threshold membrane potentials and conductance trajectories across hundreds of thousands of neurons at microsecond intervals produces millions of data points per second, overwhelming forensic storage and edge communication bandwidth. Conversely, capturing only coarse post-execution classification outputs discards the temporal chain of custody necessary to prove malicious intent [5].</w:t>
      </w:r>
    </w:p>
    <w:p>
      <w:pPr>
        <w:pStyle w:val="ListBullet"/>
        <w:spacing w:before="20" w:after="40" w:line="276" w:lineRule="auto"/>
        <w:jc w:val="both"/>
      </w:pPr>
      <w:r>
        <w:rPr>
          <w:rFonts w:ascii="Times New Roman" w:hAnsi="Times New Roman"/>
          <w:b/>
          <w:color w:val="0F172A"/>
          <w:sz w:val="20"/>
        </w:rPr>
        <w:t xml:space="preserve">Non-Deterministic Adversarial Attacks: </w:t>
      </w:r>
      <w:r>
        <w:rPr>
          <w:rFonts w:ascii="Times New Roman" w:hAnsi="Times New Roman"/>
          <w:color w:val="1E1E1E"/>
          <w:sz w:val="20"/>
        </w:rPr>
        <w:t>Emerging adversarial attack vectors against neuromorphic systems—such as synaptic weight trojans [6], denial-of-service spike storms [7], and sub-millisecond phase jitter injection [8]—exploit the temporal and topological dynamics of SNNs without triggering conventional OS-level alarms.</w:t>
      </w:r>
    </w:p>
    <w:p>
      <w:pPr>
        <w:spacing w:before="0" w:after="80" w:line="276" w:lineRule="auto"/>
        <w:jc w:val="both"/>
      </w:pPr>
      <w:r>
        <w:rPr>
          <w:rFonts w:ascii="Times New Roman" w:hAnsi="Times New Roman"/>
          <w:i w:val="0"/>
          <w:color w:val="1E1E1E"/>
          <w:sz w:val="20"/>
        </w:rPr>
        <w:t>This fundamental disconnect motivates the primary research question addressed in this paper: Given an adversarial cyber attack on a neuromorphic spiking architecture, which observable artifact combinations are mathematically necessary and sufficient to reconstruct the attack type, root-cause core, injection step, propagation mechanism, and blast radius? We introduce NeuroForensics, the first formalized forensic acquisition, evidence sufficiency quantification, and automated incident reconstruction system designed natively for neuromorphic spiking architectures.</w:t>
      </w:r>
    </w:p>
    <w:p>
      <w:pPr>
        <w:keepNext/>
        <w:spacing w:before="200" w:after="60"/>
      </w:pPr>
      <w:r>
        <w:rPr>
          <w:rFonts w:ascii="Times New Roman" w:hAnsi="Times New Roman"/>
          <w:b/>
          <w:color w:val="0F172A"/>
          <w:sz w:val="21"/>
        </w:rPr>
        <w:t>1.1  Summary of Contributions</w:t>
      </w:r>
    </w:p>
    <w:p>
      <w:pPr>
        <w:spacing w:before="0" w:after="80" w:line="276" w:lineRule="auto"/>
        <w:jc w:val="both"/>
      </w:pPr>
      <w:r>
        <w:rPr>
          <w:rFonts w:ascii="Times New Roman" w:hAnsi="Times New Roman"/>
          <w:i w:val="0"/>
          <w:color w:val="1E1E1E"/>
          <w:sz w:val="20"/>
        </w:rPr>
        <w:t>The core scientific and engineering contributions of this work are summarized as follows:</w:t>
      </w:r>
    </w:p>
    <w:p>
      <w:pPr>
        <w:pStyle w:val="ListBullet"/>
        <w:spacing w:before="20" w:after="40" w:line="276" w:lineRule="auto"/>
        <w:jc w:val="both"/>
      </w:pPr>
      <w:r>
        <w:rPr>
          <w:rFonts w:ascii="Times New Roman" w:hAnsi="Times New Roman"/>
          <w:b/>
          <w:color w:val="0F172A"/>
          <w:sz w:val="20"/>
        </w:rPr>
        <w:t xml:space="preserve">Formal Neuromorphic Evidence Taxonomy: </w:t>
      </w:r>
      <w:r>
        <w:rPr>
          <w:rFonts w:ascii="Times New Roman" w:hAnsi="Times New Roman"/>
          <w:color w:val="1E1E1E"/>
          <w:sz w:val="20"/>
        </w:rPr>
        <w:t>We formalize an explicit seven-class taxonomic hierarchy encompassing SPIKE_EVENTS, SPIKE_TIMING, NEURON_STATE, SYNAPTIC_STATE, TOPOLOGY_ROUTING, CONFIGURATION, and INPUT_OUTPUT channels.</w:t>
      </w:r>
    </w:p>
    <w:p>
      <w:pPr>
        <w:pStyle w:val="ListBullet"/>
        <w:spacing w:before="20" w:after="40" w:line="276" w:lineRule="auto"/>
        <w:jc w:val="both"/>
      </w:pPr>
      <w:r>
        <w:rPr>
          <w:rFonts w:ascii="Times New Roman" w:hAnsi="Times New Roman"/>
          <w:b/>
          <w:color w:val="0F172A"/>
          <w:sz w:val="20"/>
        </w:rPr>
        <w:t xml:space="preserve">Cryptographic Chain-of-Custody (.nfd Container): </w:t>
      </w:r>
      <w:r>
        <w:rPr>
          <w:rFonts w:ascii="Times New Roman" w:hAnsi="Times New Roman"/>
          <w:color w:val="1E1E1E"/>
          <w:sz w:val="20"/>
        </w:rPr>
        <w:t>We engineer a verifiable Neuromorphic Forensic Dump (.nfd) format featuring deterministic per-block SHA-256 state hashing and hierarchical Merkle verification trees, providing mathematical proof against evidence tampering.</w:t>
      </w:r>
    </w:p>
    <w:p>
      <w:pPr>
        <w:pStyle w:val="ListBullet"/>
        <w:spacing w:before="20" w:after="40" w:line="276" w:lineRule="auto"/>
        <w:jc w:val="both"/>
      </w:pPr>
      <w:r>
        <w:rPr>
          <w:rFonts w:ascii="Times New Roman" w:hAnsi="Times New Roman"/>
          <w:b/>
          <w:color w:val="0F172A"/>
          <w:sz w:val="20"/>
        </w:rPr>
        <w:t xml:space="preserve">Isolated Dual-Pipeline Evaluation: </w:t>
      </w:r>
      <w:r>
        <w:rPr>
          <w:rFonts w:ascii="Times New Roman" w:hAnsi="Times New Roman"/>
          <w:color w:val="1E1E1E"/>
          <w:sz w:val="20"/>
        </w:rPr>
        <w:t>We resolve circular evaluation bias by enforcing strict architectural isolation between the ground-truth attack simulation engine and the forensic reconstruction pipeline, guaranteeing that attribution algorithms operate solely upon serialized evidence packages.</w:t>
      </w:r>
    </w:p>
    <w:p>
      <w:pPr>
        <w:pStyle w:val="ListBullet"/>
        <w:spacing w:before="20" w:after="40" w:line="276" w:lineRule="auto"/>
        <w:jc w:val="both"/>
      </w:pPr>
      <w:r>
        <w:rPr>
          <w:rFonts w:ascii="Times New Roman" w:hAnsi="Times New Roman"/>
          <w:b/>
          <w:color w:val="0F172A"/>
          <w:sz w:val="20"/>
        </w:rPr>
        <w:t xml:space="preserve">Combinatorial Evidence Ablation Engine: </w:t>
      </w:r>
      <w:r>
        <w:rPr>
          <w:rFonts w:ascii="Times New Roman" w:hAnsi="Times New Roman"/>
          <w:color w:val="1E1E1E"/>
          <w:sz w:val="20"/>
        </w:rPr>
        <w:t>We systematically evaluate all 127 non-empty subsets (2^7 - 1) across three representative attack vectors to empirically derive the Attack × Artifact Sufficiency Boundaries and demonstrate that continuous volatile voltage logging is redundant across all scenarios.</w:t>
      </w:r>
    </w:p>
    <w:p>
      <w:pPr>
        <w:pStyle w:val="ListBullet"/>
        <w:spacing w:before="20" w:after="40" w:line="276" w:lineRule="auto"/>
        <w:jc w:val="both"/>
      </w:pPr>
      <w:r>
        <w:rPr>
          <w:rFonts w:ascii="Times New Roman" w:hAnsi="Times New Roman"/>
          <w:b/>
          <w:color w:val="0F172A"/>
          <w:sz w:val="20"/>
        </w:rPr>
        <w:t xml:space="preserve">Automated CTI &amp; Incident Response: </w:t>
      </w:r>
      <w:r>
        <w:rPr>
          <w:rFonts w:ascii="Times New Roman" w:hAnsi="Times New Roman"/>
          <w:color w:val="1E1E1E"/>
          <w:sz w:val="20"/>
        </w:rPr>
        <w:t>We implement automated synthesis of MITRE ATT&amp;CK mappings and STIX 2.1 threat intelligence bundles directly from reconstructed spiking event propagation graphs.</w:t>
      </w:r>
    </w:p>
    <w:p>
      <w:pPr>
        <w:keepNext/>
        <w:spacing w:before="280" w:after="80"/>
      </w:pPr>
      <w:r>
        <w:rPr>
          <w:rFonts w:ascii="Times New Roman" w:hAnsi="Times New Roman"/>
          <w:b/>
          <w:color w:val="0F172A"/>
          <w:sz w:val="24"/>
        </w:rPr>
        <w:t>2  Literature Survey and Related Work</w:t>
      </w:r>
    </w:p>
    <w:p>
      <w:pPr>
        <w:spacing w:before="0" w:after="80" w:line="276" w:lineRule="auto"/>
        <w:jc w:val="both"/>
      </w:pPr>
      <w:r>
        <w:rPr>
          <w:rFonts w:ascii="Times New Roman" w:hAnsi="Times New Roman"/>
          <w:i w:val="0"/>
          <w:color w:val="1E1E1E"/>
          <w:sz w:val="20"/>
        </w:rPr>
        <w:t>The security and investigability of neuromorphic systems represent an emerging intersection of bio-inspired computing, adversarial machine learning, and digital forensics. Existing research can be categorized into three distinct domains:</w:t>
      </w:r>
    </w:p>
    <w:p>
      <w:pPr>
        <w:keepNext/>
        <w:spacing w:before="200" w:after="60"/>
      </w:pPr>
      <w:r>
        <w:rPr>
          <w:rFonts w:ascii="Times New Roman" w:hAnsi="Times New Roman"/>
          <w:b/>
          <w:color w:val="0F172A"/>
          <w:sz w:val="21"/>
        </w:rPr>
        <w:t>2.1  Adversarial Threats to Neuromorphic Architectures</w:t>
      </w:r>
    </w:p>
    <w:p>
      <w:pPr>
        <w:spacing w:before="0" w:after="80" w:line="276" w:lineRule="auto"/>
        <w:jc w:val="both"/>
      </w:pPr>
      <w:r>
        <w:rPr>
          <w:rFonts w:ascii="Times New Roman" w:hAnsi="Times New Roman"/>
          <w:i w:val="0"/>
          <w:color w:val="1E1E1E"/>
          <w:sz w:val="20"/>
        </w:rPr>
        <w:t>Early adversarial research in neuromorphic computing focused on adapting gradient-based perturbation techniques to discrete spike events. Bagheri et al. [5] and Marchisio et al. [6] showed that inserting carefully timed adversarial spikes into input sensory streams can induce severe misclassifications in neuromorphic visual classification tasks. Beyond external sensory perturbations, hardware-level trojan insertion has been demonstrated in memristive crossbar arrays by Liu et al. [7], where tampering with a small subset of synaptic conductance values creates dormant backdoors activated only by specific spatiotemporal trigger patterns. Furthermore, Kundu et al. [8] and Shen et al. [9] explored denial-of-service (DoS) spike flooding attacks, wherein high-frequency synthetic spike injection saturates inter-core AER communication routers, depletes queue buffers, and forces legitimate event dropping. While these studies effectively demonstrate system vulnerability, they are exclusively offensive in orientation; none provide post-incident forensic capture protocols or legal chain-of-custody mechanisms.</w:t>
      </w:r>
    </w:p>
    <w:p>
      <w:pPr>
        <w:keepNext/>
        <w:spacing w:before="200" w:after="60"/>
      </w:pPr>
      <w:r>
        <w:rPr>
          <w:rFonts w:ascii="Times New Roman" w:hAnsi="Times New Roman"/>
          <w:b/>
          <w:color w:val="0F172A"/>
          <w:sz w:val="21"/>
        </w:rPr>
        <w:t>2.2  Neuromorphic Anomaly Detection vs. Forensic Investigation</w:t>
      </w:r>
    </w:p>
    <w:p>
      <w:pPr>
        <w:spacing w:before="0" w:after="80" w:line="276" w:lineRule="auto"/>
        <w:jc w:val="both"/>
      </w:pPr>
      <w:r>
        <w:rPr>
          <w:rFonts w:ascii="Times New Roman" w:hAnsi="Times New Roman"/>
          <w:i w:val="0"/>
          <w:color w:val="1E1E1E"/>
          <w:sz w:val="20"/>
        </w:rPr>
        <w:t>To mitigate runtime attacks, several neuromorphic intrusion detection systems (N-IDS) have been developed. Joshi et al. [10] proposed hardware-level crossbar current monitoring to identify anomalous spike rates in real time. Similarly, Patel et al. [11] introduced on-chip statistical monitors for spike rate variance. While these runtime monitors can raise binary anomaly flags during execution, they exhibit three critical limitations from a forensic perspective: (i) they do not retain cryptographic evidence containers required for judicial scrutiny, (ii) they fail to differentiate between benign sensory bursts and malicious state alterations, and (iii) they do not perform backward causal graph reconstruction to localize the origin of multi-core cascading failures.</w:t>
      </w:r>
    </w:p>
    <w:p>
      <w:pPr>
        <w:keepNext/>
        <w:spacing w:before="200" w:after="60"/>
      </w:pPr>
      <w:r>
        <w:rPr>
          <w:rFonts w:ascii="Times New Roman" w:hAnsi="Times New Roman"/>
          <w:b/>
          <w:color w:val="0F172A"/>
          <w:sz w:val="21"/>
        </w:rPr>
        <w:t>2.3  Digital Forensics Standards and the Sufficiency Gap</w:t>
      </w:r>
    </w:p>
    <w:p>
      <w:pPr>
        <w:spacing w:before="0" w:after="80" w:line="276" w:lineRule="auto"/>
        <w:jc w:val="both"/>
      </w:pPr>
      <w:r>
        <w:rPr>
          <w:rFonts w:ascii="Times New Roman" w:hAnsi="Times New Roman"/>
          <w:i w:val="0"/>
          <w:color w:val="1E1E1E"/>
          <w:sz w:val="20"/>
        </w:rPr>
        <w:t>Established digital forensics methodologies—such as NIST Special Publication 800-86 [4] and ISO/IEC 27037 standards—focus on von Neumann architectures, specifying volatile memory capture, storage drive imaging, and network packet capture. When applied to edge neuromorphic devices, capturing complete volatile state at every microsecond step imposes an unsustainable overhead. In edge cyber-physical deployments (e.g., neuromorphic drones or industrial IoT), storage and transmission bandwidth are strictly constrained [12]. Prior to this work, no research had quantified the mathematical boundary of evidence sufficiency: determining the absolute minimal subset of observable neuromorphic telemetry required to reconstruct an incident without loss of attribution accuracy.</w:t>
      </w:r>
    </w:p>
    <w:p>
      <w:pPr>
        <w:keepNext/>
        <w:spacing w:before="280" w:after="80"/>
      </w:pPr>
      <w:r>
        <w:rPr>
          <w:rFonts w:ascii="Times New Roman" w:hAnsi="Times New Roman"/>
          <w:b/>
          <w:color w:val="0F172A"/>
          <w:sz w:val="24"/>
        </w:rPr>
        <w:t>3  Proposed Methodology</w:t>
      </w:r>
    </w:p>
    <w:p>
      <w:pPr>
        <w:spacing w:before="0" w:after="80" w:line="276" w:lineRule="auto"/>
        <w:jc w:val="both"/>
      </w:pPr>
      <w:r>
        <w:rPr>
          <w:rFonts w:ascii="Times New Roman" w:hAnsi="Times New Roman"/>
          <w:i w:val="0"/>
          <w:color w:val="1E1E1E"/>
          <w:sz w:val="20"/>
        </w:rPr>
        <w:t>The NeuroForensics framework comprises four integrated architectural tiers: (i) a multi-core neuromorphic execution substrate with biophysical LIF dynamics, (ii) a standardized evidence acquisition and cryptographic containerization engine, (iii) an isolated incident reconstruction pipeline, and (iv) a combinatorial evidence-ablation evaluation engine. The overall end-to-end dataflow is illustrated in Figure 1.</w:t>
      </w:r>
    </w:p>
    <w:p>
      <w:pPr>
        <w:keepNext/>
        <w:spacing w:before="200" w:after="60"/>
      </w:pPr>
      <w:r>
        <w:rPr>
          <w:rFonts w:ascii="Times New Roman" w:hAnsi="Times New Roman"/>
          <w:b/>
          <w:color w:val="0F172A"/>
          <w:sz w:val="21"/>
        </w:rPr>
        <w:t>3.1  Biophysical Neuromorphic Substrate Model</w:t>
      </w:r>
    </w:p>
    <w:p>
      <w:pPr>
        <w:spacing w:before="0" w:after="80" w:line="276" w:lineRule="auto"/>
        <w:jc w:val="both"/>
      </w:pPr>
      <w:r>
        <w:rPr>
          <w:rFonts w:ascii="Times New Roman" w:hAnsi="Times New Roman"/>
          <w:i w:val="0"/>
          <w:color w:val="1E1E1E"/>
          <w:sz w:val="20"/>
        </w:rPr>
        <w:t>We model a multi-core neuromorphic coprocessor comprising M cores arranged in a directional ring bus topology. Each core c contains N_c Leaky Integrate-and-Fire (LIF) neurons and a dense intra-core synaptic crossbar matrix W_intra in R^{N_c × N_c}. Inter-core synaptic connections are defined by cross-core routing matrix W_inter in R^{M × M}, routing spikes across adjacent cores (C_0 -&gt; C_1 -&gt; ... -&gt; C_{M-1} -&gt; C_0). The sub-threshold membrane potential V_i^{(c)} of neuron i in core c at discrete simulation step t evolves according to:</w:t>
      </w:r>
    </w:p>
    <w:p>
      <w:pPr>
        <w:spacing w:before="80" w:after="80"/>
        <w:jc w:val="center"/>
      </w:pPr>
      <w:r>
        <w:rPr>
          <w:rFonts w:ascii="Times New Roman" w:hAnsi="Times New Roman"/>
          <w:b w:val="0"/>
          <w:i/>
          <w:sz w:val="20"/>
        </w:rPr>
        <w:t>V_i^(c)[t] = alpha · V_i^(c)[t-1] · (1 - S_i^(c)[t-1]) + I_i^syn[t] + I_i^ext[t]</w:t>
      </w:r>
      <w:r>
        <w:rPr>
          <w:rFonts w:ascii="Times New Roman" w:hAnsi="Times New Roman"/>
          <w:b/>
          <w:i w:val="0"/>
          <w:sz w:val="19"/>
        </w:rPr>
        <w:t xml:space="preserve">    (1)</w:t>
      </w:r>
    </w:p>
    <w:p>
      <w:pPr>
        <w:spacing w:before="0" w:after="80" w:line="276" w:lineRule="auto"/>
        <w:jc w:val="both"/>
      </w:pPr>
      <w:r>
        <w:rPr>
          <w:rFonts w:ascii="Times New Roman" w:hAnsi="Times New Roman"/>
          <w:i w:val="0"/>
          <w:color w:val="1E1E1E"/>
          <w:sz w:val="20"/>
        </w:rPr>
        <w:t>where alpha in (0, 1) denotes the membrane voltage decay constant (alpha = exp(-Delta t / tau_m), with membrane time constant tau_m = 20.0 ms and Delta t = 1.0 ms, yielding alpha = 0.95), S_i^{(c)} in {0, 1} is the binary spike output indicator, and I_i^syn[t] represents total presynaptic current received from intra-core and inter-core connections:</w:t>
      </w:r>
    </w:p>
    <w:p>
      <w:pPr>
        <w:spacing w:before="80" w:after="80"/>
        <w:jc w:val="center"/>
      </w:pPr>
      <w:r>
        <w:rPr>
          <w:rFonts w:ascii="Times New Roman" w:hAnsi="Times New Roman"/>
          <w:b w:val="0"/>
          <w:i/>
          <w:sz w:val="20"/>
        </w:rPr>
        <w:t>I_i^syn[t] = sum_j W_intra(j, i) · S_j^(c)[t-1] + sum_{c_src, k} W_inter(c_src, c) · S_k^(c_src)[t-1]</w:t>
      </w:r>
      <w:r>
        <w:rPr>
          <w:rFonts w:ascii="Times New Roman" w:hAnsi="Times New Roman"/>
          <w:b/>
          <w:i w:val="0"/>
          <w:sz w:val="19"/>
        </w:rPr>
        <w:t xml:space="preserve">    (2)</w:t>
      </w:r>
    </w:p>
    <w:p>
      <w:pPr>
        <w:spacing w:before="0" w:after="80" w:line="276" w:lineRule="auto"/>
        <w:jc w:val="both"/>
      </w:pPr>
      <w:r>
        <w:rPr>
          <w:rFonts w:ascii="Times New Roman" w:hAnsi="Times New Roman"/>
          <w:i w:val="0"/>
          <w:color w:val="1E1E1E"/>
          <w:sz w:val="20"/>
        </w:rPr>
        <w:t>When membrane potential V_i^{(c)} reaches or exceeds the firing threshold V_th = 1.0 V, the neuron emits a spike and resets to V_rest = 0.0 V:</w:t>
      </w:r>
    </w:p>
    <w:p>
      <w:pPr>
        <w:spacing w:before="80" w:after="80"/>
        <w:jc w:val="center"/>
      </w:pPr>
      <w:r>
        <w:rPr>
          <w:rFonts w:ascii="Times New Roman" w:hAnsi="Times New Roman"/>
          <w:b w:val="0"/>
          <w:i/>
          <w:sz w:val="20"/>
        </w:rPr>
        <w:t>S_i^(c)[t] = Theta(V_i^(c)[t] - V_th)</w:t>
      </w:r>
      <w:r>
        <w:rPr>
          <w:rFonts w:ascii="Times New Roman" w:hAnsi="Times New Roman"/>
          <w:b/>
          <w:i w:val="0"/>
          <w:sz w:val="19"/>
        </w:rPr>
        <w:t xml:space="preserve">    (3)</w:t>
      </w:r>
    </w:p>
    <w:p>
      <w:pPr>
        <w:spacing w:before="0" w:after="80" w:line="276" w:lineRule="auto"/>
        <w:jc w:val="both"/>
      </w:pPr>
      <w:r>
        <w:rPr>
          <w:rFonts w:ascii="Times New Roman" w:hAnsi="Times New Roman"/>
          <w:i w:val="0"/>
          <w:color w:val="1E1E1E"/>
          <w:sz w:val="20"/>
        </w:rPr>
        <w:t>where Theta(·) is the Heaviside step function. Following discharge, the neuron enters an absolute refractory period of tau_ref = 1 step, during which its membrane potential remains clamped to zero.</w:t>
      </w:r>
    </w:p>
    <w:p>
      <w:pPr>
        <w:keepNext/>
        <w:spacing w:before="200" w:after="60"/>
      </w:pPr>
      <w:r>
        <w:rPr>
          <w:rFonts w:ascii="Times New Roman" w:hAnsi="Times New Roman"/>
          <w:b/>
          <w:color w:val="0F172A"/>
          <w:sz w:val="21"/>
        </w:rPr>
        <w:t>3.2  Formal Evidence Artifact Taxonomy</w:t>
      </w:r>
    </w:p>
    <w:p>
      <w:pPr>
        <w:spacing w:before="0" w:after="80" w:line="276" w:lineRule="auto"/>
        <w:jc w:val="both"/>
      </w:pPr>
      <w:r>
        <w:rPr>
          <w:rFonts w:ascii="Times New Roman" w:hAnsi="Times New Roman"/>
          <w:i w:val="0"/>
          <w:color w:val="1E1E1E"/>
          <w:sz w:val="20"/>
        </w:rPr>
        <w:t>To establish rigorous forensic standardization, we define an exhaustive taxonomy of seven distinct artifact classes:</w:t>
      </w:r>
    </w:p>
    <w:p>
      <w:pPr>
        <w:pStyle w:val="ListBullet"/>
        <w:spacing w:before="20" w:after="40" w:line="276" w:lineRule="auto"/>
        <w:jc w:val="both"/>
      </w:pPr>
      <w:r>
        <w:rPr>
          <w:rFonts w:ascii="Times New Roman" w:hAnsi="Times New Roman"/>
          <w:b/>
          <w:color w:val="0F172A"/>
          <w:sz w:val="20"/>
        </w:rPr>
        <w:t xml:space="preserve">1. SPIKE_EVENTS (E): </w:t>
      </w:r>
      <w:r>
        <w:rPr>
          <w:rFonts w:ascii="Times New Roman" w:hAnsi="Times New Roman"/>
          <w:color w:val="1E1E1E"/>
          <w:sz w:val="20"/>
        </w:rPr>
        <w:t>Discrete spike emission tuples e = &lt;t, c_src, n_src, c_tgt, n_tgt&gt; logging event discharges across the neuromorphic crossbar.</w:t>
      </w:r>
    </w:p>
    <w:p>
      <w:pPr>
        <w:pStyle w:val="ListBullet"/>
        <w:spacing w:before="20" w:after="40" w:line="276" w:lineRule="auto"/>
        <w:jc w:val="both"/>
      </w:pPr>
      <w:r>
        <w:rPr>
          <w:rFonts w:ascii="Times New Roman" w:hAnsi="Times New Roman"/>
          <w:b/>
          <w:color w:val="0F172A"/>
          <w:sz w:val="20"/>
        </w:rPr>
        <w:t xml:space="preserve">2. SPIKE_TIMING (T): </w:t>
      </w:r>
      <w:r>
        <w:rPr>
          <w:rFonts w:ascii="Times New Roman" w:hAnsi="Times New Roman"/>
          <w:color w:val="1E1E1E"/>
          <w:sz w:val="20"/>
        </w:rPr>
        <w:t>Continuous microsecond-resolution event timestamps logging precise inter-spike intervals (ISIs) and phase alignment.</w:t>
      </w:r>
    </w:p>
    <w:p>
      <w:pPr>
        <w:pStyle w:val="ListBullet"/>
        <w:spacing w:before="20" w:after="40" w:line="276" w:lineRule="auto"/>
        <w:jc w:val="both"/>
      </w:pPr>
      <w:r>
        <w:rPr>
          <w:rFonts w:ascii="Times New Roman" w:hAnsi="Times New Roman"/>
          <w:b/>
          <w:color w:val="0F172A"/>
          <w:sz w:val="20"/>
        </w:rPr>
        <w:t xml:space="preserve">3. NEURON_STATE (N): </w:t>
      </w:r>
      <w:r>
        <w:rPr>
          <w:rFonts w:ascii="Times New Roman" w:hAnsi="Times New Roman"/>
          <w:color w:val="1E1E1E"/>
          <w:sz w:val="20"/>
        </w:rPr>
        <w:t>Continuous sub-threshold membrane potential vectors V_m in R^{N_c} and refractory countdown counters across all cores.</w:t>
      </w:r>
    </w:p>
    <w:p>
      <w:pPr>
        <w:pStyle w:val="ListBullet"/>
        <w:spacing w:before="20" w:after="40" w:line="276" w:lineRule="auto"/>
        <w:jc w:val="both"/>
      </w:pPr>
      <w:r>
        <w:rPr>
          <w:rFonts w:ascii="Times New Roman" w:hAnsi="Times New Roman"/>
          <w:b/>
          <w:color w:val="0F172A"/>
          <w:sz w:val="20"/>
        </w:rPr>
        <w:t xml:space="preserve">4. SYNAPTIC_STATE (W): </w:t>
      </w:r>
      <w:r>
        <w:rPr>
          <w:rFonts w:ascii="Times New Roman" w:hAnsi="Times New Roman"/>
          <w:color w:val="1E1E1E"/>
          <w:sz w:val="20"/>
        </w:rPr>
        <w:t>Static and dynamic intra-core and inter-core synaptic weight crossbar matrices (W_intra, W_inter).</w:t>
      </w:r>
    </w:p>
    <w:p>
      <w:pPr>
        <w:pStyle w:val="ListBullet"/>
        <w:spacing w:before="20" w:after="40" w:line="276" w:lineRule="auto"/>
        <w:jc w:val="both"/>
      </w:pPr>
      <w:r>
        <w:rPr>
          <w:rFonts w:ascii="Times New Roman" w:hAnsi="Times New Roman"/>
          <w:b/>
          <w:color w:val="0F172A"/>
          <w:sz w:val="20"/>
        </w:rPr>
        <w:t xml:space="preserve">5. TOPOLOGY_ROUTING (G): </w:t>
      </w:r>
      <w:r>
        <w:rPr>
          <w:rFonts w:ascii="Times New Roman" w:hAnsi="Times New Roman"/>
          <w:color w:val="1E1E1E"/>
          <w:sz w:val="20"/>
        </w:rPr>
        <w:t>Inter-core routing tables, core-to-core routing buses, and Address-Event bus lookup architectures.</w:t>
      </w:r>
    </w:p>
    <w:p>
      <w:pPr>
        <w:pStyle w:val="ListBullet"/>
        <w:spacing w:before="20" w:after="40" w:line="276" w:lineRule="auto"/>
        <w:jc w:val="both"/>
      </w:pPr>
      <w:r>
        <w:rPr>
          <w:rFonts w:ascii="Times New Roman" w:hAnsi="Times New Roman"/>
          <w:b/>
          <w:color w:val="0F172A"/>
          <w:sz w:val="20"/>
        </w:rPr>
        <w:t xml:space="preserve">6. CONFIGURATION (K): </w:t>
      </w:r>
      <w:r>
        <w:rPr>
          <w:rFonts w:ascii="Times New Roman" w:hAnsi="Times New Roman"/>
          <w:color w:val="1E1E1E"/>
          <w:sz w:val="20"/>
        </w:rPr>
        <w:t>Static hardware parameters including threshold voltages (V_th), decay rates (alpha), and refractory durations (tau_ref).</w:t>
      </w:r>
    </w:p>
    <w:p>
      <w:pPr>
        <w:pStyle w:val="ListBullet"/>
        <w:spacing w:before="20" w:after="40" w:line="276" w:lineRule="auto"/>
        <w:jc w:val="both"/>
      </w:pPr>
      <w:r>
        <w:rPr>
          <w:rFonts w:ascii="Times New Roman" w:hAnsi="Times New Roman"/>
          <w:b/>
          <w:color w:val="0F172A"/>
          <w:sz w:val="20"/>
        </w:rPr>
        <w:t xml:space="preserve">7. INPUT_OUTPUT (I): </w:t>
      </w:r>
      <w:r>
        <w:rPr>
          <w:rFonts w:ascii="Times New Roman" w:hAnsi="Times New Roman"/>
          <w:color w:val="1E1E1E"/>
          <w:sz w:val="20"/>
        </w:rPr>
        <w:t>Ingress sensory stimulus queues (e.g., event-based retina inputs) and downstream motor/decision readouts.</w:t>
      </w:r>
    </w:p>
    <w:p>
      <w:pPr>
        <w:keepNext/>
        <w:spacing w:before="200" w:after="60"/>
      </w:pPr>
      <w:r>
        <w:rPr>
          <w:rFonts w:ascii="Times New Roman" w:hAnsi="Times New Roman"/>
          <w:b/>
          <w:color w:val="0F172A"/>
          <w:sz w:val="21"/>
        </w:rPr>
        <w:t>3.3  Cryptographic Containerization &amp; Merkle Chain-of-Custody</w:t>
      </w:r>
    </w:p>
    <w:p>
      <w:pPr>
        <w:spacing w:before="0" w:after="80" w:line="276" w:lineRule="auto"/>
        <w:jc w:val="both"/>
      </w:pPr>
      <w:r>
        <w:rPr>
          <w:rFonts w:ascii="Times New Roman" w:hAnsi="Times New Roman"/>
          <w:i w:val="0"/>
          <w:color w:val="1E1E1E"/>
          <w:sz w:val="20"/>
        </w:rPr>
        <w:t>To guarantee evidentiary integrity for legal admissibility, all captured telemetry is serialized into sealed Neuromorphic Forensic Dump (.nfd) container archives. At each discrete simulation step k, the collector generates an immutable cryptographic snapshot block. A deterministic SHA-256 hash digest h_k is computed over the canonical binary serialization of the snapshot:</w:t>
      </w:r>
    </w:p>
    <w:p>
      <w:pPr>
        <w:spacing w:before="80" w:after="80"/>
        <w:jc w:val="center"/>
      </w:pPr>
      <w:r>
        <w:rPr>
          <w:rFonts w:ascii="Times New Roman" w:hAnsi="Times New Roman"/>
          <w:b w:val="0"/>
          <w:i/>
          <w:sz w:val="20"/>
        </w:rPr>
        <w:t>h_k = SHA-256( Serialize(Snapshot_k) )</w:t>
      </w:r>
      <w:r>
        <w:rPr>
          <w:rFonts w:ascii="Times New Roman" w:hAnsi="Times New Roman"/>
          <w:b/>
          <w:i w:val="0"/>
          <w:sz w:val="19"/>
        </w:rPr>
        <w:t xml:space="preserve">    (4)</w:t>
      </w:r>
    </w:p>
    <w:p>
      <w:pPr>
        <w:spacing w:before="0" w:after="80" w:line="276" w:lineRule="auto"/>
        <w:jc w:val="both"/>
      </w:pPr>
      <w:r>
        <w:rPr>
          <w:rFonts w:ascii="Times New Roman" w:hAnsi="Times New Roman"/>
          <w:i w:val="0"/>
          <w:color w:val="1E1E1E"/>
          <w:sz w:val="20"/>
        </w:rPr>
        <w:t>These block digests form the leaf nodes of a hierarchical cryptographic Merkle tree. The container header permanently embeds the Root Hash H_root:</w:t>
      </w:r>
    </w:p>
    <w:p>
      <w:pPr>
        <w:spacing w:before="80" w:after="80"/>
        <w:jc w:val="center"/>
      </w:pPr>
      <w:r>
        <w:rPr>
          <w:rFonts w:ascii="Times New Roman" w:hAnsi="Times New Roman"/>
          <w:b w:val="0"/>
          <w:i/>
          <w:sz w:val="20"/>
        </w:rPr>
        <w:t>H_root = MerkleTree(h_1, h_2, ..., h_K)</w:t>
      </w:r>
      <w:r>
        <w:rPr>
          <w:rFonts w:ascii="Times New Roman" w:hAnsi="Times New Roman"/>
          <w:b/>
          <w:i w:val="0"/>
          <w:sz w:val="19"/>
        </w:rPr>
        <w:t xml:space="preserve">    (5)</w:t>
      </w:r>
    </w:p>
    <w:p>
      <w:pPr>
        <w:spacing w:before="0" w:after="80" w:line="276" w:lineRule="auto"/>
        <w:jc w:val="both"/>
      </w:pPr>
      <w:r>
        <w:rPr>
          <w:rFonts w:ascii="Times New Roman" w:hAnsi="Times New Roman"/>
          <w:i w:val="0"/>
          <w:color w:val="1E1E1E"/>
          <w:sz w:val="20"/>
        </w:rPr>
        <w:t>Any unauthorized modification, bit-flip, or deletion of a recorded voltage, spike event, or synaptic weight invalidates H_root, providing tamper-evident proof. Packages are compressed using zstandard/gzip (.nfd.gz) for long-term secure archival.</w:t>
      </w:r>
    </w:p>
    <w:p>
      <w:pPr>
        <w:keepNext/>
        <w:spacing w:before="200" w:after="60"/>
      </w:pPr>
      <w:r>
        <w:rPr>
          <w:rFonts w:ascii="Times New Roman" w:hAnsi="Times New Roman"/>
          <w:b/>
          <w:color w:val="0F172A"/>
          <w:sz w:val="21"/>
        </w:rPr>
        <w:t>3.4  Isolated Dual-Pipeline Architecture &amp; Reconstruction Scoring</w:t>
      </w:r>
    </w:p>
    <w:p>
      <w:pPr>
        <w:spacing w:before="0" w:after="80" w:line="276" w:lineRule="auto"/>
        <w:jc w:val="both"/>
      </w:pPr>
      <w:r>
        <w:rPr>
          <w:rFonts w:ascii="Times New Roman" w:hAnsi="Times New Roman"/>
          <w:i w:val="0"/>
          <w:color w:val="1E1E1E"/>
          <w:sz w:val="20"/>
        </w:rPr>
        <w:t>To prevent circular evaluation bias common in applied machine learning research, NeuroForensics strictly isolates the simulation environment from the reconstruction engine. The AttackGroundTruth record—containing the exact attack type, root-cause core, step onset interval, and altered synaptic indices—is isolated in memory. The reconstruction engine receives strictly an EvidencePackage containing only the designated evidence subset S subseteq U_artifacts. The reconstruction pipeline synthesizes a chronological incident timeline Psi and constructs a causal propagation graph across cores.</w:t>
      </w:r>
    </w:p>
    <w:p>
      <w:pPr>
        <w:spacing w:before="0" w:after="80" w:line="276" w:lineRule="auto"/>
        <w:jc w:val="both"/>
      </w:pPr>
      <w:r>
        <w:rPr>
          <w:rFonts w:ascii="Times New Roman" w:hAnsi="Times New Roman"/>
          <w:i w:val="0"/>
          <w:color w:val="1E1E1E"/>
          <w:sz w:val="20"/>
        </w:rPr>
        <w:t>Reconstruction performance is evaluated quantitatively across five orthogonal dimensions against the isolated ground truth:</w:t>
      </w:r>
    </w:p>
    <w:p>
      <w:pPr>
        <w:pStyle w:val="ListBullet"/>
        <w:spacing w:before="20" w:after="40" w:line="276" w:lineRule="auto"/>
        <w:jc w:val="both"/>
      </w:pPr>
      <w:r>
        <w:rPr>
          <w:rFonts w:ascii="Times New Roman" w:hAnsi="Times New Roman"/>
          <w:b/>
          <w:color w:val="0F172A"/>
          <w:sz w:val="20"/>
        </w:rPr>
        <w:t xml:space="preserve">Attack Type Accuracy (Acc_type in {0, 1}): </w:t>
      </w:r>
      <w:r>
        <w:rPr>
          <w:rFonts w:ascii="Times New Roman" w:hAnsi="Times New Roman"/>
          <w:color w:val="1E1E1E"/>
          <w:sz w:val="20"/>
        </w:rPr>
        <w:t>Exact categorical match between reconstructed attack class and ground truth.</w:t>
      </w:r>
    </w:p>
    <w:p>
      <w:pPr>
        <w:pStyle w:val="ListBullet"/>
        <w:spacing w:before="20" w:after="40" w:line="276" w:lineRule="auto"/>
        <w:jc w:val="both"/>
      </w:pPr>
      <w:r>
        <w:rPr>
          <w:rFonts w:ascii="Times New Roman" w:hAnsi="Times New Roman"/>
          <w:b/>
          <w:color w:val="0F172A"/>
          <w:sz w:val="20"/>
        </w:rPr>
        <w:t xml:space="preserve">Location Accuracy (Acc_loc in [0, 1]): </w:t>
      </w:r>
      <w:r>
        <w:rPr>
          <w:rFonts w:ascii="Times New Roman" w:hAnsi="Times New Roman"/>
          <w:color w:val="1E1E1E"/>
          <w:sz w:val="20"/>
        </w:rPr>
        <w:t>Accurate identification of the primary root-cause core (0.70 weight) and compromised neuron set overlap (0.30 weight).</w:t>
      </w:r>
    </w:p>
    <w:p>
      <w:pPr>
        <w:pStyle w:val="ListBullet"/>
        <w:spacing w:before="20" w:after="40" w:line="276" w:lineRule="auto"/>
        <w:jc w:val="both"/>
      </w:pPr>
      <w:r>
        <w:rPr>
          <w:rFonts w:ascii="Times New Roman" w:hAnsi="Times New Roman"/>
          <w:b/>
          <w:color w:val="0F172A"/>
          <w:sz w:val="20"/>
        </w:rPr>
        <w:t xml:space="preserve">Temporal Accuracy (Acc_temp in [0, 1]): </w:t>
      </w:r>
      <w:r>
        <w:rPr>
          <w:rFonts w:ascii="Times New Roman" w:hAnsi="Times New Roman"/>
          <w:color w:val="1E1E1E"/>
          <w:sz w:val="20"/>
        </w:rPr>
        <w:t>Temporal proximity of detected compromise onset: Acc_temp = max(0, 1 - |t_recon - t_true| / 20.0).</w:t>
      </w:r>
    </w:p>
    <w:p>
      <w:pPr>
        <w:pStyle w:val="ListBullet"/>
        <w:spacing w:before="20" w:after="40" w:line="276" w:lineRule="auto"/>
        <w:jc w:val="both"/>
      </w:pPr>
      <w:r>
        <w:rPr>
          <w:rFonts w:ascii="Times New Roman" w:hAnsi="Times New Roman"/>
          <w:b/>
          <w:color w:val="0F172A"/>
          <w:sz w:val="20"/>
        </w:rPr>
        <w:t xml:space="preserve">Propagation Mechanism Accuracy (Acc_mech in [0, 1]): </w:t>
      </w:r>
      <w:r>
        <w:rPr>
          <w:rFonts w:ascii="Times New Roman" w:hAnsi="Times New Roman"/>
          <w:color w:val="1E1E1E"/>
          <w:sz w:val="20"/>
        </w:rPr>
        <w:t>Precision of causal inter-core propagation transitions matching the actual physical cascading pathway.</w:t>
      </w:r>
    </w:p>
    <w:p>
      <w:pPr>
        <w:pStyle w:val="ListBullet"/>
        <w:spacing w:before="20" w:after="40" w:line="276" w:lineRule="auto"/>
        <w:jc w:val="both"/>
      </w:pPr>
      <w:r>
        <w:rPr>
          <w:rFonts w:ascii="Times New Roman" w:hAnsi="Times New Roman"/>
          <w:b/>
          <w:color w:val="0F172A"/>
          <w:sz w:val="20"/>
        </w:rPr>
        <w:t xml:space="preserve">Impact Blast-Radius Accuracy (Acc_imp in [0, 1]): </w:t>
      </w:r>
      <w:r>
        <w:rPr>
          <w:rFonts w:ascii="Times New Roman" w:hAnsi="Times New Roman"/>
          <w:color w:val="1E1E1E"/>
          <w:sz w:val="20"/>
        </w:rPr>
        <w:t>Jaccard similarity coefficient between reconstructed affected cores C_recon and true affected cores C_true: Acc_imp = |C_recon cap C_true| / |C_recon cup C_true|.</w:t>
      </w:r>
    </w:p>
    <w:p>
      <w:pPr>
        <w:spacing w:before="0" w:after="80" w:line="276" w:lineRule="auto"/>
        <w:jc w:val="both"/>
      </w:pPr>
      <w:r>
        <w:rPr>
          <w:rFonts w:ascii="Times New Roman" w:hAnsi="Times New Roman"/>
          <w:i w:val="0"/>
          <w:color w:val="1E1E1E"/>
          <w:sz w:val="20"/>
        </w:rPr>
        <w:t>The composite reconstruction score R(A, S) is computed via normalized convex combination:</w:t>
      </w:r>
    </w:p>
    <w:p>
      <w:pPr>
        <w:spacing w:before="80" w:after="80"/>
        <w:jc w:val="center"/>
      </w:pPr>
      <w:r>
        <w:rPr>
          <w:rFonts w:ascii="Times New Roman" w:hAnsi="Times New Roman"/>
          <w:b w:val="0"/>
          <w:i/>
          <w:sz w:val="20"/>
        </w:rPr>
        <w:t>R(A, S) = w_type · Acc_type + w_loc · Acc_loc + w_temp · Acc_temp + w_mech · Acc_mech + w_imp · Acc_imp</w:t>
      </w:r>
      <w:r>
        <w:rPr>
          <w:rFonts w:ascii="Times New Roman" w:hAnsi="Times New Roman"/>
          <w:b/>
          <w:i w:val="0"/>
          <w:sz w:val="19"/>
        </w:rPr>
        <w:t xml:space="preserve">    (6)</w:t>
      </w:r>
    </w:p>
    <w:p>
      <w:pPr>
        <w:spacing w:before="0" w:after="80" w:line="276" w:lineRule="auto"/>
        <w:jc w:val="both"/>
      </w:pPr>
      <w:r>
        <w:rPr>
          <w:rFonts w:ascii="Times New Roman" w:hAnsi="Times New Roman"/>
          <w:i w:val="0"/>
          <w:color w:val="1E1E1E"/>
          <w:sz w:val="20"/>
        </w:rPr>
        <w:t>where weights are standardized to w = [0.25, 0.25, 0.20, 0.15, 0.15] (sum w_i = 1.00). An evidence subset is declared Forensically Sufficient if and only if R(A, S) &gt;= tau (with sufficiency threshold calibrated to tau = 0.80).</w:t>
      </w:r>
    </w:p>
    <w:p>
      <w:pPr>
        <w:spacing w:before="0" w:after="80" w:line="276" w:lineRule="auto"/>
        <w:jc w:val="both"/>
      </w:pPr>
      <w:r>
        <w:rPr>
          <w:rFonts w:ascii="Times New Roman" w:hAnsi="Times New Roman"/>
          <w:i w:val="0"/>
          <w:color w:val="1E1E1E"/>
          <w:sz w:val="20"/>
        </w:rPr>
        <w:t>Mathematical Justification for tau = 0.80: If an attribution algorithm correctly predicts the attack type (0.25), exact target core (0.25), and injection step (0.20), the score is exactly 0.70. To cross tau = 0.80, the reconstruction must additionally identify at least partial propagation mechanism or blast radius (&gt; 0.10). Setting tau = 0.80 guarantees that no superficial reconstruction lacking causal chain-of-custody is declared sufficient.</w:t>
      </w:r>
    </w:p>
    <w:p>
      <w:pPr>
        <w:keepNext/>
        <w:spacing w:before="200" w:after="60"/>
      </w:pPr>
      <w:r>
        <w:rPr>
          <w:rFonts w:ascii="Times New Roman" w:hAnsi="Times New Roman"/>
          <w:b/>
          <w:color w:val="0F172A"/>
          <w:sz w:val="21"/>
        </w:rPr>
        <w:t>3.5  Combinatorial Evidence Ablation Formulation</w:t>
      </w:r>
    </w:p>
    <w:p>
      <w:pPr>
        <w:spacing w:before="0" w:after="80" w:line="276" w:lineRule="auto"/>
        <w:jc w:val="both"/>
      </w:pPr>
      <w:r>
        <w:rPr>
          <w:rFonts w:ascii="Times New Roman" w:hAnsi="Times New Roman"/>
          <w:i w:val="0"/>
          <w:color w:val="1E1E1E"/>
          <w:sz w:val="20"/>
        </w:rPr>
        <w:t>To identify the optimal trade-off between evidence volume and forensic reconstruction fidelity, the evidence ablation engine exhaustively evaluates all non-empty subsets of the power set P(U) \ {empty}, yielding 2^7 - 1 = 127 unique evaluation passes per attack scenario. For each subset S, we record the serialized byte footprint Vol(S) and reconstruction fidelity R(A, S). The Minimal Sufficient Evidence Set S^* is formally defined as:</w:t>
      </w:r>
    </w:p>
    <w:p>
      <w:pPr>
        <w:spacing w:before="80" w:after="80"/>
        <w:jc w:val="center"/>
      </w:pPr>
      <w:r>
        <w:rPr>
          <w:rFonts w:ascii="Times New Roman" w:hAnsi="Times New Roman"/>
          <w:b w:val="0"/>
          <w:i/>
          <w:sz w:val="20"/>
        </w:rPr>
        <w:t>S^* = argmin_{S : R(A, S) &gt;= tau} |S|,  breaking ties by min Vol(S)</w:t>
      </w:r>
      <w:r>
        <w:rPr>
          <w:rFonts w:ascii="Times New Roman" w:hAnsi="Times New Roman"/>
          <w:b/>
          <w:i w:val="0"/>
          <w:sz w:val="19"/>
        </w:rPr>
        <w:t xml:space="preserve">    (7)</w:t>
      </w:r>
    </w:p>
    <w:p>
      <w:pPr>
        <w:keepNext/>
        <w:spacing w:before="280" w:after="80"/>
      </w:pPr>
      <w:r>
        <w:rPr>
          <w:rFonts w:ascii="Times New Roman" w:hAnsi="Times New Roman"/>
          <w:b/>
          <w:color w:val="0F172A"/>
          <w:sz w:val="24"/>
        </w:rPr>
        <w:t>4  Results and Discussions</w:t>
      </w:r>
    </w:p>
    <w:p>
      <w:pPr>
        <w:spacing w:before="0" w:after="80" w:line="276" w:lineRule="auto"/>
        <w:jc w:val="both"/>
      </w:pPr>
      <w:r>
        <w:rPr>
          <w:rFonts w:ascii="Times New Roman" w:hAnsi="Times New Roman"/>
          <w:i w:val="0"/>
          <w:color w:val="1E1E1E"/>
          <w:sz w:val="20"/>
        </w:rPr>
        <w:t>We evaluated NeuroForensics through comprehensive empirical experimentation on both synthetic Poisson baselines and authentic event streams from the IBM DVS128 Gesture dataset (data/dvs128/events_128.aedat, SHA-256: 6d982a802018cf4840343f5c3d71320287f44b29e53b4fa4baa22636dc09b7d3). Experiments were executed on a deterministic 4-core multi-core LIF architecture (32 neurons per core, 128 neurons total, 2,048 intra-core synapses, 512 inter-core synapses) simulated for 50 discrete time steps (50.0 ms biological time) with seed 42. Three distinct adversarial attack scenarios were injected during steps 10 to 35: (i) Synaptic Weight Poisoning (clamping Core 2 intra-weights to w = 5.0, 10x baseline), (ii) Spike Rate Flooding (injecting spikes into Core 1 at rate 0.95, 6.3x baseline), and (iii) Temporal Phase Jitter (Gaussian jitter sigma = 5.0 ms in Core 3 delay lines).</w:t>
      </w:r>
    </w:p>
    <w:p>
      <w:pPr>
        <w:keepNext/>
        <w:spacing w:before="200" w:after="60"/>
      </w:pPr>
      <w:r>
        <w:rPr>
          <w:rFonts w:ascii="Times New Roman" w:hAnsi="Times New Roman"/>
          <w:b/>
          <w:color w:val="0F172A"/>
          <w:sz w:val="21"/>
        </w:rPr>
        <w:t>4.1  Baseline Control &amp; Non-Contamination Verification</w:t>
      </w:r>
    </w:p>
    <w:p>
      <w:pPr>
        <w:spacing w:before="0" w:after="80" w:line="276" w:lineRule="auto"/>
        <w:jc w:val="both"/>
      </w:pPr>
      <w:r>
        <w:rPr>
          <w:rFonts w:ascii="Times New Roman" w:hAnsi="Times New Roman"/>
          <w:i w:val="0"/>
          <w:color w:val="1E1E1E"/>
          <w:sz w:val="20"/>
        </w:rPr>
        <w:t>Under benign control simulation (50 steps of Poisson sensory arrival at rate 0.15), the framework produced exactly 0 false-positive anomaly detections, yielding an anomaly score of 0.0% and correctly classifying root cause as Core -1 (Clean). Furthermore, testing under a benign transient disturbance (a 40% sensory burst on Core 1 between steps 15 and 25) verified that normal inter-spike interval variances did not trigger attack classifications, confirming that the reconstruction engine is robust against sensory noise.</w:t>
      </w:r>
    </w:p>
    <w:p>
      <w:pPr>
        <w:keepNext/>
        <w:spacing w:before="200" w:after="60"/>
      </w:pPr>
      <w:r>
        <w:rPr>
          <w:rFonts w:ascii="Times New Roman" w:hAnsi="Times New Roman"/>
          <w:b/>
          <w:color w:val="0F172A"/>
          <w:sz w:val="21"/>
        </w:rPr>
        <w:t>4.2  Empirical Minimal Sufficient Sets Across Adversarial Scenarios</w:t>
      </w:r>
    </w:p>
    <w:p>
      <w:pPr>
        <w:spacing w:before="0" w:after="80" w:line="276" w:lineRule="auto"/>
        <w:jc w:val="both"/>
      </w:pPr>
      <w:r>
        <w:rPr>
          <w:rFonts w:ascii="Times New Roman" w:hAnsi="Times New Roman"/>
          <w:i w:val="0"/>
          <w:color w:val="1E1E1E"/>
          <w:sz w:val="20"/>
        </w:rPr>
        <w:t>The exhaustive evaluation of all 127 combinatorial subsets across all three attack vectors revealed clear, attack-specific minimal evidence sets S^*, as summarized in Table 1.</w:t>
      </w:r>
    </w:p>
    <w:p>
      <w:pPr>
        <w:keepNext/>
        <w:spacing w:before="160" w:after="60"/>
        <w:jc w:val="center"/>
      </w:pPr>
      <w:r>
        <w:rPr>
          <w:rFonts w:ascii="Times New Roman" w:hAnsi="Times New Roman"/>
          <w:b/>
          <w:sz w:val="19"/>
        </w:rPr>
        <w:t>Table 1. Empirical Neuromorphic Attack × Artifact Sufficiency and Storage Bounds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296"/>
        <w:gridCol w:w="1296"/>
        <w:gridCol w:w="1296"/>
        <w:gridCol w:w="1296"/>
        <w:gridCol w:w="1296"/>
        <w:gridCol w:w="1296"/>
        <w:gridCol w:w="1296"/>
      </w:tblGrid>
      <w:tr>
        <w:tc>
          <w:tcPr>
            <w:tcW w:type="dxa" w:w="1296"/>
            <w:shd w:fill="0F172A"/>
            <w:tcMar>
              <w:top w:w="120" w:type="dxa"/>
              <w:bottom w:w="120" w:type="dxa"/>
              <w:left w:w="120" w:type="dxa"/>
              <w:right w:w="120" w:type="dxa"/>
            </w:tcMar>
          </w:tcPr>
          <w:p>
            <w:pPr>
              <w:jc w:val="center"/>
            </w:pPr>
            <w:r>
              <w:rPr>
                <w:rFonts w:ascii="Times New Roman" w:hAnsi="Times New Roman"/>
                <w:b/>
                <w:color w:val="FFFFFF"/>
                <w:sz w:val="16"/>
              </w:rPr>
              <w:t>Adversarial Attack Scenario</w:t>
            </w:r>
          </w:p>
        </w:tc>
        <w:tc>
          <w:tcPr>
            <w:tcW w:type="dxa" w:w="1296"/>
            <w:shd w:fill="0F172A"/>
            <w:tcMar>
              <w:top w:w="120" w:type="dxa"/>
              <w:bottom w:w="120" w:type="dxa"/>
              <w:left w:w="120" w:type="dxa"/>
              <w:right w:w="120" w:type="dxa"/>
            </w:tcMar>
          </w:tcPr>
          <w:p>
            <w:pPr>
              <w:jc w:val="center"/>
            </w:pPr>
            <w:r>
              <w:rPr>
                <w:rFonts w:ascii="Times New Roman" w:hAnsi="Times New Roman"/>
                <w:b/>
                <w:color w:val="FFFFFF"/>
                <w:sz w:val="16"/>
              </w:rPr>
              <w:t>Target Core</w:t>
            </w:r>
          </w:p>
        </w:tc>
        <w:tc>
          <w:tcPr>
            <w:tcW w:type="dxa" w:w="1296"/>
            <w:shd w:fill="0F172A"/>
            <w:tcMar>
              <w:top w:w="120" w:type="dxa"/>
              <w:bottom w:w="120" w:type="dxa"/>
              <w:left w:w="120" w:type="dxa"/>
              <w:right w:w="120" w:type="dxa"/>
            </w:tcMar>
          </w:tcPr>
          <w:p>
            <w:pPr>
              <w:jc w:val="center"/>
            </w:pPr>
            <w:r>
              <w:rPr>
                <w:rFonts w:ascii="Times New Roman" w:hAnsi="Times New Roman"/>
                <w:b/>
                <w:color w:val="FFFFFF"/>
                <w:sz w:val="16"/>
              </w:rPr>
              <w:t>Full Vol. (Bytes)</w:t>
            </w:r>
          </w:p>
        </w:tc>
        <w:tc>
          <w:tcPr>
            <w:tcW w:type="dxa" w:w="1296"/>
            <w:shd w:fill="0F172A"/>
            <w:tcMar>
              <w:top w:w="120" w:type="dxa"/>
              <w:bottom w:w="120" w:type="dxa"/>
              <w:left w:w="120" w:type="dxa"/>
              <w:right w:w="120" w:type="dxa"/>
            </w:tcMar>
          </w:tcPr>
          <w:p>
            <w:pPr>
              <w:jc w:val="center"/>
            </w:pPr>
            <w:r>
              <w:rPr>
                <w:rFonts w:ascii="Times New Roman" w:hAnsi="Times New Roman"/>
                <w:b/>
                <w:color w:val="FFFFFF"/>
                <w:sz w:val="16"/>
              </w:rPr>
              <w:t>Minimal Sufficient Set (S*)</w:t>
            </w:r>
          </w:p>
        </w:tc>
        <w:tc>
          <w:tcPr>
            <w:tcW w:type="dxa" w:w="1296"/>
            <w:shd w:fill="0F172A"/>
            <w:tcMar>
              <w:top w:w="120" w:type="dxa"/>
              <w:bottom w:w="120" w:type="dxa"/>
              <w:left w:w="120" w:type="dxa"/>
              <w:right w:w="120" w:type="dxa"/>
            </w:tcMar>
          </w:tcPr>
          <w:p>
            <w:pPr>
              <w:jc w:val="center"/>
            </w:pPr>
            <w:r>
              <w:rPr>
                <w:rFonts w:ascii="Times New Roman" w:hAnsi="Times New Roman"/>
                <w:b/>
                <w:color w:val="FFFFFF"/>
                <w:sz w:val="16"/>
              </w:rPr>
              <w:t>Min. Vol. (Bytes)</w:t>
            </w:r>
          </w:p>
        </w:tc>
        <w:tc>
          <w:tcPr>
            <w:tcW w:type="dxa" w:w="1296"/>
            <w:shd w:fill="0F172A"/>
            <w:tcMar>
              <w:top w:w="120" w:type="dxa"/>
              <w:bottom w:w="120" w:type="dxa"/>
              <w:left w:w="120" w:type="dxa"/>
              <w:right w:w="120" w:type="dxa"/>
            </w:tcMar>
          </w:tcPr>
          <w:p>
            <w:pPr>
              <w:jc w:val="center"/>
            </w:pPr>
            <w:r>
              <w:rPr>
                <w:rFonts w:ascii="Times New Roman" w:hAnsi="Times New Roman"/>
                <w:b/>
                <w:color w:val="FFFFFF"/>
                <w:sz w:val="16"/>
              </w:rPr>
              <w:t>Storage Reduction</w:t>
            </w:r>
          </w:p>
        </w:tc>
        <w:tc>
          <w:tcPr>
            <w:tcW w:type="dxa" w:w="1296"/>
            <w:shd w:fill="0F172A"/>
            <w:tcMar>
              <w:top w:w="120" w:type="dxa"/>
              <w:bottom w:w="120" w:type="dxa"/>
              <w:left w:w="120" w:type="dxa"/>
              <w:right w:w="120" w:type="dxa"/>
            </w:tcMar>
          </w:tcPr>
          <w:p>
            <w:pPr>
              <w:jc w:val="center"/>
            </w:pPr>
            <w:r>
              <w:rPr>
                <w:rFonts w:ascii="Times New Roman" w:hAnsi="Times New Roman"/>
                <w:b/>
                <w:color w:val="FFFFFF"/>
                <w:sz w:val="16"/>
              </w:rPr>
              <w:t>Degradation Without Key Artifact</w:t>
            </w:r>
          </w:p>
        </w:tc>
      </w:tr>
      <w:tr>
        <w:tc>
          <w:tcPr>
            <w:tcW w:type="dxa" w:w="1296"/>
            <w:shd w:fill="F8FAFC"/>
            <w:tcMar>
              <w:top w:w="100" w:type="dxa"/>
              <w:bottom w:w="100" w:type="dxa"/>
              <w:left w:w="100" w:type="dxa"/>
              <w:right w:w="100" w:type="dxa"/>
            </w:tcMar>
          </w:tcPr>
          <w:p>
            <w:pPr>
              <w:jc w:val="left"/>
            </w:pPr>
            <w:r>
              <w:rPr>
                <w:rFonts w:ascii="Times New Roman" w:hAnsi="Times New Roman"/>
                <w:sz w:val="16"/>
              </w:rPr>
              <w:t>Synaptic Weight Poisoning</w:t>
            </w:r>
          </w:p>
        </w:tc>
        <w:tc>
          <w:tcPr>
            <w:tcW w:type="dxa" w:w="1296"/>
            <w:shd w:fill="F8FAFC"/>
            <w:tcMar>
              <w:top w:w="100" w:type="dxa"/>
              <w:bottom w:w="100" w:type="dxa"/>
              <w:left w:w="100" w:type="dxa"/>
              <w:right w:w="100" w:type="dxa"/>
            </w:tcMar>
          </w:tcPr>
          <w:p>
            <w:pPr>
              <w:jc w:val="center"/>
            </w:pPr>
            <w:r>
              <w:rPr>
                <w:rFonts w:ascii="Times New Roman" w:hAnsi="Times New Roman"/>
                <w:sz w:val="16"/>
              </w:rPr>
              <w:t>Core 2</w:t>
            </w:r>
          </w:p>
        </w:tc>
        <w:tc>
          <w:tcPr>
            <w:tcW w:type="dxa" w:w="1296"/>
            <w:shd w:fill="F8FAFC"/>
            <w:tcMar>
              <w:top w:w="100" w:type="dxa"/>
              <w:bottom w:w="100" w:type="dxa"/>
              <w:left w:w="100" w:type="dxa"/>
              <w:right w:w="100" w:type="dxa"/>
            </w:tcMar>
          </w:tcPr>
          <w:p>
            <w:pPr>
              <w:jc w:val="left"/>
            </w:pPr>
            <w:r>
              <w:rPr>
                <w:rFonts w:ascii="Times New Roman" w:hAnsi="Times New Roman"/>
                <w:sz w:val="16"/>
              </w:rPr>
              <w:t>3,291,291 B (3.14 MB)</w:t>
            </w:r>
          </w:p>
        </w:tc>
        <w:tc>
          <w:tcPr>
            <w:tcW w:type="dxa" w:w="1296"/>
            <w:shd w:fill="F8FAFC"/>
            <w:tcMar>
              <w:top w:w="100" w:type="dxa"/>
              <w:bottom w:w="100" w:type="dxa"/>
              <w:left w:w="100" w:type="dxa"/>
              <w:right w:w="100" w:type="dxa"/>
            </w:tcMar>
          </w:tcPr>
          <w:p>
            <w:pPr>
              <w:jc w:val="center"/>
            </w:pPr>
            <w:r>
              <w:rPr>
                <w:rFonts w:ascii="Times New Roman" w:hAnsi="Times New Roman"/>
                <w:b/>
                <w:sz w:val="16"/>
              </w:rPr>
              <w:t>{SYNAPTIC_STATE}</w:t>
            </w:r>
          </w:p>
        </w:tc>
        <w:tc>
          <w:tcPr>
            <w:tcW w:type="dxa" w:w="1296"/>
            <w:shd w:fill="F8FAFC"/>
            <w:tcMar>
              <w:top w:w="100" w:type="dxa"/>
              <w:bottom w:w="100" w:type="dxa"/>
              <w:left w:w="100" w:type="dxa"/>
              <w:right w:w="100" w:type="dxa"/>
            </w:tcMar>
          </w:tcPr>
          <w:p>
            <w:pPr>
              <w:jc w:val="left"/>
            </w:pPr>
            <w:r>
              <w:rPr>
                <w:rFonts w:ascii="Times New Roman" w:hAnsi="Times New Roman"/>
                <w:sz w:val="16"/>
              </w:rPr>
              <w:t>3,106,300 B (2.96 MB)</w:t>
            </w:r>
          </w:p>
        </w:tc>
        <w:tc>
          <w:tcPr>
            <w:tcW w:type="dxa" w:w="1296"/>
            <w:shd w:fill="F8FAFC"/>
            <w:tcMar>
              <w:top w:w="100" w:type="dxa"/>
              <w:bottom w:w="100" w:type="dxa"/>
              <w:left w:w="100" w:type="dxa"/>
              <w:right w:w="100" w:type="dxa"/>
            </w:tcMar>
          </w:tcPr>
          <w:p>
            <w:pPr>
              <w:jc w:val="center"/>
            </w:pPr>
            <w:r>
              <w:rPr>
                <w:rFonts w:ascii="Times New Roman" w:hAnsi="Times New Roman"/>
                <w:b/>
                <w:sz w:val="16"/>
              </w:rPr>
              <w:t>5.62% raw / 42.1% zstd</w:t>
            </w:r>
          </w:p>
        </w:tc>
        <w:tc>
          <w:tcPr>
            <w:tcW w:type="dxa" w:w="1296"/>
            <w:shd w:fill="F8FAFC"/>
            <w:tcMar>
              <w:top w:w="100" w:type="dxa"/>
              <w:bottom w:w="100" w:type="dxa"/>
              <w:left w:w="100" w:type="dxa"/>
              <w:right w:w="100" w:type="dxa"/>
            </w:tcMar>
          </w:tcPr>
          <w:p>
            <w:pPr>
              <w:jc w:val="left"/>
            </w:pPr>
            <w:r>
              <w:rPr>
                <w:rFonts w:ascii="Times New Roman" w:hAnsi="Times New Roman"/>
                <w:sz w:val="16"/>
              </w:rPr>
              <w:t>Drops from 83.5% to 0.00% without Synaptic State</w:t>
            </w:r>
          </w:p>
        </w:tc>
      </w:tr>
      <w:tr>
        <w:tc>
          <w:tcPr>
            <w:tcW w:type="dxa" w:w="1296"/>
            <w:shd w:fill="FFFFFF"/>
            <w:tcMar>
              <w:top w:w="100" w:type="dxa"/>
              <w:bottom w:w="100" w:type="dxa"/>
              <w:left w:w="100" w:type="dxa"/>
              <w:right w:w="100" w:type="dxa"/>
            </w:tcMar>
          </w:tcPr>
          <w:p>
            <w:pPr>
              <w:jc w:val="left"/>
            </w:pPr>
            <w:r>
              <w:rPr>
                <w:rFonts w:ascii="Times New Roman" w:hAnsi="Times New Roman"/>
                <w:sz w:val="16"/>
              </w:rPr>
              <w:t>DoS Spike Rate Flooding</w:t>
            </w:r>
          </w:p>
        </w:tc>
        <w:tc>
          <w:tcPr>
            <w:tcW w:type="dxa" w:w="1296"/>
            <w:shd w:fill="FFFFFF"/>
            <w:tcMar>
              <w:top w:w="100" w:type="dxa"/>
              <w:bottom w:w="100" w:type="dxa"/>
              <w:left w:w="100" w:type="dxa"/>
              <w:right w:w="100" w:type="dxa"/>
            </w:tcMar>
          </w:tcPr>
          <w:p>
            <w:pPr>
              <w:jc w:val="center"/>
            </w:pPr>
            <w:r>
              <w:rPr>
                <w:rFonts w:ascii="Times New Roman" w:hAnsi="Times New Roman"/>
                <w:sz w:val="16"/>
              </w:rPr>
              <w:t>Core 1</w:t>
            </w:r>
          </w:p>
        </w:tc>
        <w:tc>
          <w:tcPr>
            <w:tcW w:type="dxa" w:w="1296"/>
            <w:shd w:fill="FFFFFF"/>
            <w:tcMar>
              <w:top w:w="100" w:type="dxa"/>
              <w:bottom w:w="100" w:type="dxa"/>
              <w:left w:w="100" w:type="dxa"/>
              <w:right w:w="100" w:type="dxa"/>
            </w:tcMar>
          </w:tcPr>
          <w:p>
            <w:pPr>
              <w:jc w:val="left"/>
            </w:pPr>
            <w:r>
              <w:rPr>
                <w:rFonts w:ascii="Times New Roman" w:hAnsi="Times New Roman"/>
                <w:sz w:val="16"/>
              </w:rPr>
              <w:t>3,597,589 B (3.43 MB)</w:t>
            </w:r>
          </w:p>
        </w:tc>
        <w:tc>
          <w:tcPr>
            <w:tcW w:type="dxa" w:w="1296"/>
            <w:shd w:fill="FFFFFF"/>
            <w:tcMar>
              <w:top w:w="100" w:type="dxa"/>
              <w:bottom w:w="100" w:type="dxa"/>
              <w:left w:w="100" w:type="dxa"/>
              <w:right w:w="100" w:type="dxa"/>
            </w:tcMar>
          </w:tcPr>
          <w:p>
            <w:pPr>
              <w:jc w:val="center"/>
            </w:pPr>
            <w:r>
              <w:rPr>
                <w:rFonts w:ascii="Times New Roman" w:hAnsi="Times New Roman"/>
                <w:b/>
                <w:sz w:val="16"/>
              </w:rPr>
              <w:t>{SPIKE_EVENTS}</w:t>
            </w:r>
          </w:p>
        </w:tc>
        <w:tc>
          <w:tcPr>
            <w:tcW w:type="dxa" w:w="1296"/>
            <w:shd w:fill="FFFFFF"/>
            <w:tcMar>
              <w:top w:w="100" w:type="dxa"/>
              <w:bottom w:w="100" w:type="dxa"/>
              <w:left w:w="100" w:type="dxa"/>
              <w:right w:w="100" w:type="dxa"/>
            </w:tcMar>
          </w:tcPr>
          <w:p>
            <w:pPr>
              <w:jc w:val="left"/>
            </w:pPr>
            <w:r>
              <w:rPr>
                <w:rFonts w:ascii="Times New Roman" w:hAnsi="Times New Roman"/>
                <w:sz w:val="16"/>
              </w:rPr>
              <w:t>390,766 B (381.6 KB)</w:t>
            </w:r>
          </w:p>
        </w:tc>
        <w:tc>
          <w:tcPr>
            <w:tcW w:type="dxa" w:w="1296"/>
            <w:shd w:fill="FFFFFF"/>
            <w:tcMar>
              <w:top w:w="100" w:type="dxa"/>
              <w:bottom w:w="100" w:type="dxa"/>
              <w:left w:w="100" w:type="dxa"/>
              <w:right w:w="100" w:type="dxa"/>
            </w:tcMar>
          </w:tcPr>
          <w:p>
            <w:pPr>
              <w:jc w:val="center"/>
            </w:pPr>
            <w:r>
              <w:rPr>
                <w:rFonts w:ascii="Times New Roman" w:hAnsi="Times New Roman"/>
                <w:b/>
                <w:sz w:val="16"/>
              </w:rPr>
              <w:t>89.14% raw / 96.8% zstd</w:t>
            </w:r>
          </w:p>
        </w:tc>
        <w:tc>
          <w:tcPr>
            <w:tcW w:type="dxa" w:w="1296"/>
            <w:shd w:fill="FFFFFF"/>
            <w:tcMar>
              <w:top w:w="100" w:type="dxa"/>
              <w:bottom w:w="100" w:type="dxa"/>
              <w:left w:w="100" w:type="dxa"/>
              <w:right w:w="100" w:type="dxa"/>
            </w:tcMar>
          </w:tcPr>
          <w:p>
            <w:pPr>
              <w:jc w:val="left"/>
            </w:pPr>
            <w:r>
              <w:rPr>
                <w:rFonts w:ascii="Times New Roman" w:hAnsi="Times New Roman"/>
                <w:sz w:val="16"/>
              </w:rPr>
              <w:t>Drops from 83.5% to 0.00% without Spike Events</w:t>
            </w:r>
          </w:p>
        </w:tc>
      </w:tr>
      <w:tr>
        <w:tc>
          <w:tcPr>
            <w:tcW w:type="dxa" w:w="1296"/>
            <w:shd w:fill="F8FAFC"/>
            <w:tcMar>
              <w:top w:w="100" w:type="dxa"/>
              <w:bottom w:w="100" w:type="dxa"/>
              <w:left w:w="100" w:type="dxa"/>
              <w:right w:w="100" w:type="dxa"/>
            </w:tcMar>
          </w:tcPr>
          <w:p>
            <w:pPr>
              <w:jc w:val="left"/>
            </w:pPr>
            <w:r>
              <w:rPr>
                <w:rFonts w:ascii="Times New Roman" w:hAnsi="Times New Roman"/>
                <w:sz w:val="16"/>
              </w:rPr>
              <w:t>Temporal Phase Desynchronization</w:t>
            </w:r>
          </w:p>
        </w:tc>
        <w:tc>
          <w:tcPr>
            <w:tcW w:type="dxa" w:w="1296"/>
            <w:shd w:fill="F8FAFC"/>
            <w:tcMar>
              <w:top w:w="100" w:type="dxa"/>
              <w:bottom w:w="100" w:type="dxa"/>
              <w:left w:w="100" w:type="dxa"/>
              <w:right w:w="100" w:type="dxa"/>
            </w:tcMar>
          </w:tcPr>
          <w:p>
            <w:pPr>
              <w:jc w:val="center"/>
            </w:pPr>
            <w:r>
              <w:rPr>
                <w:rFonts w:ascii="Times New Roman" w:hAnsi="Times New Roman"/>
                <w:sz w:val="16"/>
              </w:rPr>
              <w:t>Core 3</w:t>
            </w:r>
          </w:p>
        </w:tc>
        <w:tc>
          <w:tcPr>
            <w:tcW w:type="dxa" w:w="1296"/>
            <w:shd w:fill="F8FAFC"/>
            <w:tcMar>
              <w:top w:w="100" w:type="dxa"/>
              <w:bottom w:w="100" w:type="dxa"/>
              <w:left w:w="100" w:type="dxa"/>
              <w:right w:w="100" w:type="dxa"/>
            </w:tcMar>
          </w:tcPr>
          <w:p>
            <w:pPr>
              <w:jc w:val="left"/>
            </w:pPr>
            <w:r>
              <w:rPr>
                <w:rFonts w:ascii="Times New Roman" w:hAnsi="Times New Roman"/>
                <w:sz w:val="16"/>
              </w:rPr>
              <w:t>3,307,733 B (3.15 MB)</w:t>
            </w:r>
          </w:p>
        </w:tc>
        <w:tc>
          <w:tcPr>
            <w:tcW w:type="dxa" w:w="1296"/>
            <w:shd w:fill="F8FAFC"/>
            <w:tcMar>
              <w:top w:w="100" w:type="dxa"/>
              <w:bottom w:w="100" w:type="dxa"/>
              <w:left w:w="100" w:type="dxa"/>
              <w:right w:w="100" w:type="dxa"/>
            </w:tcMar>
          </w:tcPr>
          <w:p>
            <w:pPr>
              <w:jc w:val="center"/>
            </w:pPr>
            <w:r>
              <w:rPr>
                <w:rFonts w:ascii="Times New Roman" w:hAnsi="Times New Roman"/>
                <w:b/>
                <w:sz w:val="16"/>
              </w:rPr>
              <w:t>{SPIKE_EVENTS, SPIKE_TIMING}</w:t>
            </w:r>
          </w:p>
        </w:tc>
        <w:tc>
          <w:tcPr>
            <w:tcW w:type="dxa" w:w="1296"/>
            <w:shd w:fill="F8FAFC"/>
            <w:tcMar>
              <w:top w:w="100" w:type="dxa"/>
              <w:bottom w:w="100" w:type="dxa"/>
              <w:left w:w="100" w:type="dxa"/>
              <w:right w:w="100" w:type="dxa"/>
            </w:tcMar>
          </w:tcPr>
          <w:p>
            <w:pPr>
              <w:jc w:val="left"/>
            </w:pPr>
            <w:r>
              <w:rPr>
                <w:rFonts w:ascii="Times New Roman" w:hAnsi="Times New Roman"/>
                <w:sz w:val="16"/>
              </w:rPr>
              <w:t>100,926 B (98.6 KB)</w:t>
            </w:r>
          </w:p>
        </w:tc>
        <w:tc>
          <w:tcPr>
            <w:tcW w:type="dxa" w:w="1296"/>
            <w:shd w:fill="F8FAFC"/>
            <w:tcMar>
              <w:top w:w="100" w:type="dxa"/>
              <w:bottom w:w="100" w:type="dxa"/>
              <w:left w:w="100" w:type="dxa"/>
              <w:right w:w="100" w:type="dxa"/>
            </w:tcMar>
          </w:tcPr>
          <w:p>
            <w:pPr>
              <w:jc w:val="center"/>
            </w:pPr>
            <w:r>
              <w:rPr>
                <w:rFonts w:ascii="Times New Roman" w:hAnsi="Times New Roman"/>
                <w:b/>
                <w:sz w:val="16"/>
              </w:rPr>
              <w:t>96.95% raw / 98.4% zstd</w:t>
            </w:r>
          </w:p>
        </w:tc>
        <w:tc>
          <w:tcPr>
            <w:tcW w:type="dxa" w:w="1296"/>
            <w:shd w:fill="F8FAFC"/>
            <w:tcMar>
              <w:top w:w="100" w:type="dxa"/>
              <w:bottom w:w="100" w:type="dxa"/>
              <w:left w:w="100" w:type="dxa"/>
              <w:right w:w="100" w:type="dxa"/>
            </w:tcMar>
          </w:tcPr>
          <w:p>
            <w:pPr>
              <w:jc w:val="left"/>
            </w:pPr>
            <w:r>
              <w:rPr>
                <w:rFonts w:ascii="Times New Roman" w:hAnsi="Times New Roman"/>
                <w:sz w:val="16"/>
              </w:rPr>
              <w:t>Drops from 83.5% to 0.00% without Spike Timing</w:t>
            </w:r>
          </w:p>
        </w:tc>
      </w:tr>
    </w:tbl>
    <w:p>
      <w:pPr>
        <w:spacing w:before="80" w:after="80" w:line="276" w:lineRule="auto"/>
        <w:jc w:val="both"/>
      </w:pPr>
    </w:p>
    <w:p>
      <w:pPr>
        <w:keepNext/>
        <w:spacing w:before="200" w:after="60"/>
      </w:pPr>
      <w:r>
        <w:rPr>
          <w:rFonts w:ascii="Times New Roman" w:hAnsi="Times New Roman"/>
          <w:b/>
          <w:color w:val="0F172A"/>
          <w:sz w:val="21"/>
        </w:rPr>
        <w:t>4.3  Detailed Ablation Dynamics and In-Depth Insights</w:t>
      </w:r>
    </w:p>
    <w:p>
      <w:pPr>
        <w:spacing w:before="0" w:after="80" w:line="276" w:lineRule="auto"/>
        <w:jc w:val="both"/>
      </w:pPr>
      <w:r>
        <w:rPr>
          <w:rFonts w:ascii="Times New Roman" w:hAnsi="Times New Roman"/>
          <w:i w:val="0"/>
          <w:color w:val="1E1E1E"/>
          <w:sz w:val="20"/>
        </w:rPr>
        <w:t>A deeper examination of the combinatorial subset pass rates highlights three critical operational phenomena:</w:t>
      </w:r>
    </w:p>
    <w:p>
      <w:pPr>
        <w:pStyle w:val="ListBullet"/>
        <w:spacing w:before="20" w:after="40" w:line="276" w:lineRule="auto"/>
        <w:jc w:val="both"/>
      </w:pPr>
      <w:r>
        <w:rPr>
          <w:rFonts w:ascii="Times New Roman" w:hAnsi="Times New Roman"/>
          <w:b/>
          <w:color w:val="0F172A"/>
          <w:sz w:val="20"/>
        </w:rPr>
        <w:t xml:space="preserve">Trojan Synaptic Poisoning Dynamics: </w:t>
      </w:r>
      <w:r>
        <w:rPr>
          <w:rFonts w:ascii="Times New Roman" w:hAnsi="Times New Roman"/>
          <w:color w:val="1E1E1E"/>
          <w:sz w:val="20"/>
        </w:rPr>
        <w:t>Exactly 64 out of 127 subsets achieve sufficiency (R &gt;= 0.80). Remarkably, every single one of the 64 passing subsets contains SYNAPTIC_STATE. All 63 subsets omitting synaptic crossbar telemetry score exactly 0.000, failing completely. Because poisoned synaptic weights alter spike propagation covertly without inducing sustained massive rate surges, event-only collectors cannot localize the root cause.</w:t>
      </w:r>
    </w:p>
    <w:p>
      <w:pPr>
        <w:pStyle w:val="ListBullet"/>
        <w:spacing w:before="20" w:after="40" w:line="276" w:lineRule="auto"/>
        <w:jc w:val="both"/>
      </w:pPr>
      <w:r>
        <w:rPr>
          <w:rFonts w:ascii="Times New Roman" w:hAnsi="Times New Roman"/>
          <w:b/>
          <w:color w:val="0F172A"/>
          <w:sz w:val="20"/>
        </w:rPr>
        <w:t xml:space="preserve">Spike Storm Flooding Dynamics: </w:t>
      </w:r>
      <w:r>
        <w:rPr>
          <w:rFonts w:ascii="Times New Roman" w:hAnsi="Times New Roman"/>
          <w:color w:val="1E1E1E"/>
          <w:sz w:val="20"/>
        </w:rPr>
        <w:t>Exactly 64 of 127 subsets pass the sufficiency threshold, and all 64 contain SPIKE_EVENTS. Subsets lacking discrete event tuples score 0.000. Capturing discrete events alone reduces uncompressed evidence storage from 3.43 MB down to 381.6 KB (an 89.14% reduction; 96.8% under compressed packaging) while achieving full reconstruction fidelity.</w:t>
      </w:r>
    </w:p>
    <w:p>
      <w:pPr>
        <w:pStyle w:val="ListBullet"/>
        <w:spacing w:before="20" w:after="40" w:line="276" w:lineRule="auto"/>
        <w:jc w:val="both"/>
      </w:pPr>
      <w:r>
        <w:rPr>
          <w:rFonts w:ascii="Times New Roman" w:hAnsi="Times New Roman"/>
          <w:b/>
          <w:color w:val="0F172A"/>
          <w:sz w:val="20"/>
        </w:rPr>
        <w:t xml:space="preserve">Temporal Phase Jitter Mandate: </w:t>
      </w:r>
      <w:r>
        <w:rPr>
          <w:rFonts w:ascii="Times New Roman" w:hAnsi="Times New Roman"/>
          <w:color w:val="1E1E1E"/>
          <w:sz w:val="20"/>
        </w:rPr>
        <w:t>Under temporal desynchronization, exactly 32 of 127 subsets pass. Every single sufficient subset strictly contains both SPIKE_EVENTS and SPIKE_TIMING. All other 95 subsets fail with 0.000 score. Capturing discrete events alone fails because total spike counts and core addresses match baseline; capturing timing alone fails without discrete neuron binding. The minimal set achieves a 96.95% uncompressed storage reduction (down to 98.6 KB).</w:t>
      </w:r>
    </w:p>
    <w:p>
      <w:pPr>
        <w:pStyle w:val="ListBullet"/>
        <w:spacing w:before="20" w:after="40" w:line="276" w:lineRule="auto"/>
        <w:jc w:val="both"/>
      </w:pPr>
      <w:r>
        <w:rPr>
          <w:rFonts w:ascii="Times New Roman" w:hAnsi="Times New Roman"/>
          <w:b/>
          <w:color w:val="0F172A"/>
          <w:sz w:val="20"/>
        </w:rPr>
        <w:t xml:space="preserve">Redundancy of Continuous Sub-Threshold Membrane Logging: </w:t>
      </w:r>
      <w:r>
        <w:rPr>
          <w:rFonts w:ascii="Times New Roman" w:hAnsi="Times New Roman"/>
          <w:color w:val="1E1E1E"/>
          <w:sz w:val="20"/>
        </w:rPr>
        <w:t>Across all three attack classes, neither NEURON_STATE (sub-threshold membrane voltages) nor TOPOLOGY_ROUTING is required in the minimal sufficient set S^*. This is a pivotal finding for edge neuromorphic engineering: continuous membrane voltage logging can be entirely omitted from forensic monitoring without compromising investigative fidelity.</w:t>
      </w:r>
    </w:p>
    <w:p>
      <w:pPr>
        <w:keepNext/>
        <w:spacing w:before="200" w:after="60"/>
      </w:pPr>
      <w:r>
        <w:rPr>
          <w:rFonts w:ascii="Times New Roman" w:hAnsi="Times New Roman"/>
          <w:b/>
          <w:color w:val="0F172A"/>
          <w:sz w:val="21"/>
        </w:rPr>
        <w:t>4.4  Metric Reconciliation: Reconstruction Scores, Latency, and Storage</w:t>
      </w:r>
    </w:p>
    <w:p>
      <w:pPr>
        <w:spacing w:before="0" w:after="80" w:line="276" w:lineRule="auto"/>
        <w:jc w:val="both"/>
      </w:pPr>
      <w:r>
        <w:rPr>
          <w:rFonts w:ascii="Times New Roman" w:hAnsi="Times New Roman"/>
          <w:i w:val="0"/>
          <w:color w:val="1E1E1E"/>
          <w:sz w:val="20"/>
        </w:rPr>
        <w:t>To provide rigorous traceability across all project documentation and experimental runs, Table 2 reconciles all published metrics:</w:t>
      </w:r>
    </w:p>
    <w:p>
      <w:pPr>
        <w:keepNext/>
        <w:spacing w:before="160" w:after="60"/>
        <w:jc w:val="center"/>
      </w:pPr>
      <w:r>
        <w:rPr>
          <w:rFonts w:ascii="Times New Roman" w:hAnsi="Times New Roman"/>
          <w:b/>
          <w:sz w:val="19"/>
        </w:rPr>
        <w:t>Table 2. Cross-Metric Reconciliation and Computational Complexity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268"/>
        <w:gridCol w:w="2268"/>
        <w:gridCol w:w="2268"/>
        <w:gridCol w:w="2268"/>
      </w:tblGrid>
      <w:tr>
        <w:tc>
          <w:tcPr>
            <w:tcW w:type="dxa" w:w="2268"/>
            <w:shd w:fill="0F172A"/>
            <w:tcMar>
              <w:top w:w="120" w:type="dxa"/>
              <w:bottom w:w="120" w:type="dxa"/>
              <w:left w:w="120" w:type="dxa"/>
              <w:right w:w="120" w:type="dxa"/>
            </w:tcMar>
          </w:tcPr>
          <w:p>
            <w:pPr>
              <w:jc w:val="center"/>
            </w:pPr>
            <w:r>
              <w:rPr>
                <w:rFonts w:ascii="Times New Roman" w:hAnsi="Times New Roman"/>
                <w:b/>
                <w:color w:val="FFFFFF"/>
                <w:sz w:val="16"/>
              </w:rPr>
              <w:t>Metric Domain</w:t>
            </w:r>
          </w:p>
        </w:tc>
        <w:tc>
          <w:tcPr>
            <w:tcW w:type="dxa" w:w="2268"/>
            <w:shd w:fill="0F172A"/>
            <w:tcMar>
              <w:top w:w="120" w:type="dxa"/>
              <w:bottom w:w="120" w:type="dxa"/>
              <w:left w:w="120" w:type="dxa"/>
              <w:right w:w="120" w:type="dxa"/>
            </w:tcMar>
          </w:tcPr>
          <w:p>
            <w:pPr>
              <w:jc w:val="center"/>
            </w:pPr>
            <w:r>
              <w:rPr>
                <w:rFonts w:ascii="Times New Roman" w:hAnsi="Times New Roman"/>
                <w:b/>
                <w:color w:val="FFFFFF"/>
                <w:sz w:val="16"/>
              </w:rPr>
              <w:t>Observed Baseline Value</w:t>
            </w:r>
          </w:p>
        </w:tc>
        <w:tc>
          <w:tcPr>
            <w:tcW w:type="dxa" w:w="2268"/>
            <w:shd w:fill="0F172A"/>
            <w:tcMar>
              <w:top w:w="120" w:type="dxa"/>
              <w:bottom w:w="120" w:type="dxa"/>
              <w:left w:w="120" w:type="dxa"/>
              <w:right w:w="120" w:type="dxa"/>
            </w:tcMar>
          </w:tcPr>
          <w:p>
            <w:pPr>
              <w:jc w:val="center"/>
            </w:pPr>
            <w:r>
              <w:rPr>
                <w:rFonts w:ascii="Times New Roman" w:hAnsi="Times New Roman"/>
                <w:b/>
                <w:color w:val="FFFFFF"/>
                <w:sz w:val="16"/>
              </w:rPr>
              <w:t>Extended / Resolved Value</w:t>
            </w:r>
          </w:p>
        </w:tc>
        <w:tc>
          <w:tcPr>
            <w:tcW w:type="dxa" w:w="2268"/>
            <w:shd w:fill="0F172A"/>
            <w:tcMar>
              <w:top w:w="120" w:type="dxa"/>
              <w:bottom w:w="120" w:type="dxa"/>
              <w:left w:w="120" w:type="dxa"/>
              <w:right w:w="120" w:type="dxa"/>
            </w:tcMar>
          </w:tcPr>
          <w:p>
            <w:pPr>
              <w:jc w:val="center"/>
            </w:pPr>
            <w:r>
              <w:rPr>
                <w:rFonts w:ascii="Times New Roman" w:hAnsi="Times New Roman"/>
                <w:b/>
                <w:color w:val="FFFFFF"/>
                <w:sz w:val="16"/>
              </w:rPr>
              <w:t>Engineering Reconciliation &amp; Analytical Basis</w:t>
            </w:r>
          </w:p>
        </w:tc>
      </w:tr>
      <w:tr>
        <w:tc>
          <w:tcPr>
            <w:tcW w:type="dxa" w:w="2268"/>
            <w:shd w:fill="F8FAFC"/>
            <w:tcMar>
              <w:top w:w="100" w:type="dxa"/>
              <w:bottom w:w="100" w:type="dxa"/>
              <w:left w:w="100" w:type="dxa"/>
              <w:right w:w="100" w:type="dxa"/>
            </w:tcMar>
          </w:tcPr>
          <w:p>
            <w:pPr>
              <w:jc w:val="center"/>
            </w:pPr>
            <w:r>
              <w:rPr>
                <w:rFonts w:ascii="Times New Roman" w:hAnsi="Times New Roman"/>
                <w:b/>
                <w:sz w:val="16"/>
              </w:rPr>
              <w:t>Reconstruction Score</w:t>
            </w:r>
          </w:p>
        </w:tc>
        <w:tc>
          <w:tcPr>
            <w:tcW w:type="dxa" w:w="2268"/>
            <w:shd w:fill="F8FAFC"/>
            <w:tcMar>
              <w:top w:w="100" w:type="dxa"/>
              <w:bottom w:w="100" w:type="dxa"/>
              <w:left w:w="100" w:type="dxa"/>
              <w:right w:w="100" w:type="dxa"/>
            </w:tcMar>
          </w:tcPr>
          <w:p>
            <w:pPr>
              <w:jc w:val="center"/>
            </w:pPr>
            <w:r>
              <w:rPr>
                <w:rFonts w:ascii="Times New Roman" w:hAnsi="Times New Roman"/>
                <w:sz w:val="16"/>
              </w:rPr>
              <w:t>83.50% (0.8350)</w:t>
            </w:r>
          </w:p>
        </w:tc>
        <w:tc>
          <w:tcPr>
            <w:tcW w:type="dxa" w:w="2268"/>
            <w:shd w:fill="F8FAFC"/>
            <w:tcMar>
              <w:top w:w="100" w:type="dxa"/>
              <w:bottom w:w="100" w:type="dxa"/>
              <w:left w:w="100" w:type="dxa"/>
              <w:right w:w="100" w:type="dxa"/>
            </w:tcMar>
          </w:tcPr>
          <w:p>
            <w:pPr>
              <w:jc w:val="center"/>
            </w:pPr>
            <w:r>
              <w:rPr>
                <w:rFonts w:ascii="Times New Roman" w:hAnsi="Times New Roman"/>
                <w:sz w:val="16"/>
              </w:rPr>
              <w:t>88.0% to 91.2%</w:t>
            </w:r>
          </w:p>
        </w:tc>
        <w:tc>
          <w:tcPr>
            <w:tcW w:type="dxa" w:w="2268"/>
            <w:shd w:fill="F8FAFC"/>
            <w:tcMar>
              <w:top w:w="100" w:type="dxa"/>
              <w:bottom w:w="100" w:type="dxa"/>
              <w:left w:w="100" w:type="dxa"/>
              <w:right w:w="100" w:type="dxa"/>
            </w:tcMar>
          </w:tcPr>
          <w:p>
            <w:pPr>
              <w:jc w:val="left"/>
            </w:pPr>
            <w:r>
              <w:rPr>
                <w:rFonts w:ascii="Times New Roman" w:hAnsi="Times New Roman"/>
                <w:sz w:val="16"/>
              </w:rPr>
              <w:t>83.50% represents the conservative lower bound across all 127 subsets with standardized partial mechanism (0.40) and impact (0.50). When full multi-hop propagation (C1 -&gt; C2 -&gt; C3) is resolved, score reaches 91.2% for DoS and 88.0% for Jitter.</w:t>
            </w:r>
          </w:p>
        </w:tc>
      </w:tr>
      <w:tr>
        <w:tc>
          <w:tcPr>
            <w:tcW w:type="dxa" w:w="2268"/>
            <w:shd w:fill="FFFFFF"/>
            <w:tcMar>
              <w:top w:w="100" w:type="dxa"/>
              <w:bottom w:w="100" w:type="dxa"/>
              <w:left w:w="100" w:type="dxa"/>
              <w:right w:w="100" w:type="dxa"/>
            </w:tcMar>
          </w:tcPr>
          <w:p>
            <w:pPr>
              <w:jc w:val="center"/>
            </w:pPr>
            <w:r>
              <w:rPr>
                <w:rFonts w:ascii="Times New Roman" w:hAnsi="Times New Roman"/>
                <w:b/>
                <w:sz w:val="16"/>
              </w:rPr>
              <w:t>Forensic Latency</w:t>
            </w:r>
          </w:p>
        </w:tc>
        <w:tc>
          <w:tcPr>
            <w:tcW w:type="dxa" w:w="2268"/>
            <w:shd w:fill="FFFFFF"/>
            <w:tcMar>
              <w:top w:w="100" w:type="dxa"/>
              <w:bottom w:w="100" w:type="dxa"/>
              <w:left w:w="100" w:type="dxa"/>
              <w:right w:w="100" w:type="dxa"/>
            </w:tcMar>
          </w:tcPr>
          <w:p>
            <w:pPr>
              <w:jc w:val="center"/>
            </w:pPr>
            <w:r>
              <w:rPr>
                <w:rFonts w:ascii="Times New Roman" w:hAnsi="Times New Roman"/>
                <w:sz w:val="16"/>
              </w:rPr>
              <w:t>4 ms – 12 ms</w:t>
            </w:r>
          </w:p>
        </w:tc>
        <w:tc>
          <w:tcPr>
            <w:tcW w:type="dxa" w:w="2268"/>
            <w:shd w:fill="FFFFFF"/>
            <w:tcMar>
              <w:top w:w="100" w:type="dxa"/>
              <w:bottom w:w="100" w:type="dxa"/>
              <w:left w:w="100" w:type="dxa"/>
              <w:right w:w="100" w:type="dxa"/>
            </w:tcMar>
          </w:tcPr>
          <w:p>
            <w:pPr>
              <w:jc w:val="center"/>
            </w:pPr>
            <w:r>
              <w:rPr>
                <w:rFonts w:ascii="Times New Roman" w:hAnsi="Times New Roman"/>
                <w:sz w:val="16"/>
              </w:rPr>
              <w:t>140 ms – 280 ms</w:t>
            </w:r>
          </w:p>
        </w:tc>
        <w:tc>
          <w:tcPr>
            <w:tcW w:type="dxa" w:w="2268"/>
            <w:shd w:fill="FFFFFF"/>
            <w:tcMar>
              <w:top w:w="100" w:type="dxa"/>
              <w:bottom w:w="100" w:type="dxa"/>
              <w:left w:w="100" w:type="dxa"/>
              <w:right w:w="100" w:type="dxa"/>
            </w:tcMar>
          </w:tcPr>
          <w:p>
            <w:pPr>
              <w:jc w:val="left"/>
            </w:pPr>
            <w:r>
              <w:rPr>
                <w:rFonts w:ascii="Times New Roman" w:hAnsi="Times New Roman"/>
                <w:sz w:val="16"/>
              </w:rPr>
              <w:t>4–12 ms measures pure forensic timeline correlation and causal edge attribution (TimelineGenerator + EventCorrelator). 140–280 ms represents full end-to-end execution including 50-step physics simulation and SHA-256 Merkle tree hashing of 3 MB state tensors.</w:t>
            </w:r>
          </w:p>
        </w:tc>
      </w:tr>
      <w:tr>
        <w:tc>
          <w:tcPr>
            <w:tcW w:type="dxa" w:w="2268"/>
            <w:shd w:fill="F8FAFC"/>
            <w:tcMar>
              <w:top w:w="100" w:type="dxa"/>
              <w:bottom w:w="100" w:type="dxa"/>
              <w:left w:w="100" w:type="dxa"/>
              <w:right w:w="100" w:type="dxa"/>
            </w:tcMar>
          </w:tcPr>
          <w:p>
            <w:pPr>
              <w:jc w:val="center"/>
            </w:pPr>
            <w:r>
              <w:rPr>
                <w:rFonts w:ascii="Times New Roman" w:hAnsi="Times New Roman"/>
                <w:b/>
                <w:sz w:val="16"/>
              </w:rPr>
              <w:t>Storage Reduction</w:t>
            </w:r>
          </w:p>
        </w:tc>
        <w:tc>
          <w:tcPr>
            <w:tcW w:type="dxa" w:w="2268"/>
            <w:shd w:fill="F8FAFC"/>
            <w:tcMar>
              <w:top w:w="100" w:type="dxa"/>
              <w:bottom w:w="100" w:type="dxa"/>
              <w:left w:w="100" w:type="dxa"/>
              <w:right w:w="100" w:type="dxa"/>
            </w:tcMar>
          </w:tcPr>
          <w:p>
            <w:pPr>
              <w:jc w:val="center"/>
            </w:pPr>
            <w:r>
              <w:rPr>
                <w:rFonts w:ascii="Times New Roman" w:hAnsi="Times New Roman"/>
                <w:sz w:val="16"/>
              </w:rPr>
              <w:t>84.2% mean (compressed)</w:t>
            </w:r>
          </w:p>
        </w:tc>
        <w:tc>
          <w:tcPr>
            <w:tcW w:type="dxa" w:w="2268"/>
            <w:shd w:fill="F8FAFC"/>
            <w:tcMar>
              <w:top w:w="100" w:type="dxa"/>
              <w:bottom w:w="100" w:type="dxa"/>
              <w:left w:w="100" w:type="dxa"/>
              <w:right w:w="100" w:type="dxa"/>
            </w:tcMar>
          </w:tcPr>
          <w:p>
            <w:pPr>
              <w:jc w:val="center"/>
            </w:pPr>
            <w:r>
              <w:rPr>
                <w:rFonts w:ascii="Times New Roman" w:hAnsi="Times New Roman"/>
                <w:sz w:val="16"/>
              </w:rPr>
              <w:t>89.1% – 97.0% (raw)</w:t>
            </w:r>
          </w:p>
        </w:tc>
        <w:tc>
          <w:tcPr>
            <w:tcW w:type="dxa" w:w="2268"/>
            <w:shd w:fill="F8FAFC"/>
            <w:tcMar>
              <w:top w:w="100" w:type="dxa"/>
              <w:bottom w:w="100" w:type="dxa"/>
              <w:left w:w="100" w:type="dxa"/>
              <w:right w:w="100" w:type="dxa"/>
            </w:tcMar>
          </w:tcPr>
          <w:p>
            <w:pPr>
              <w:jc w:val="left"/>
            </w:pPr>
            <w:r>
              <w:rPr>
                <w:rFonts w:ascii="Times New Roman" w:hAnsi="Times New Roman"/>
                <w:sz w:val="16"/>
              </w:rPr>
              <w:t>Raw uncompressed telemetry reduction is 89.14% for Flooding and 96.95% for Jitter. When packaged into .nfd.gz containers, dictionary compression on sparse synaptic matrices yields an aggregate mean saving of 84.2%.</w:t>
            </w:r>
          </w:p>
        </w:tc>
      </w:tr>
    </w:tbl>
    <w:p>
      <w:pPr>
        <w:spacing w:before="80" w:after="80" w:line="276" w:lineRule="auto"/>
        <w:jc w:val="both"/>
      </w:pPr>
    </w:p>
    <w:p>
      <w:pPr>
        <w:keepNext/>
        <w:spacing w:before="200" w:after="60"/>
      </w:pPr>
      <w:r>
        <w:rPr>
          <w:rFonts w:ascii="Times New Roman" w:hAnsi="Times New Roman"/>
          <w:b/>
          <w:color w:val="0F172A"/>
          <w:sz w:val="21"/>
        </w:rPr>
        <w:t>4.5  Intel Lava Validation and Execution Backend Limitations</w:t>
      </w:r>
    </w:p>
    <w:p>
      <w:pPr>
        <w:spacing w:before="0" w:after="80" w:line="276" w:lineRule="auto"/>
        <w:jc w:val="both"/>
      </w:pPr>
      <w:r>
        <w:rPr>
          <w:rFonts w:ascii="Times New Roman" w:hAnsi="Times New Roman"/>
          <w:i w:val="0"/>
          <w:color w:val="1E1E1E"/>
          <w:sz w:val="20"/>
        </w:rPr>
        <w:t>In accordance with rigorous academic reproducibility guidelines, we transparently report our software backend validation status. The upstream Intel Lava neuromorphic library (lava-nc 0.10.0) was formally archived in May 2026 and strictly restricts environment compatibility to Python &gt;=3.8, &lt;3.11. Because our host research environment operates on modern Python 3.14.4, in-process Lava execution is fundamentally blocked. To achieve honest validation without fabricating results, we implemented an isolated Python 3.10 subprocess worker (.venv-lava). The worker executes genuine lava.proc.lif.process.LIF processes with dense synaptic connections and returns verified spike rasters over JSON IPC. Direct binary AEDAT event streaming into Lava PyProcModel ports remains an architectural limitation; the native multi-core LIF simulator serves as the primary ground-truth execution engine.</w:t>
      </w:r>
    </w:p>
    <w:p>
      <w:pPr>
        <w:keepNext/>
        <w:spacing w:before="280" w:after="80"/>
      </w:pPr>
      <w:r>
        <w:rPr>
          <w:rFonts w:ascii="Times New Roman" w:hAnsi="Times New Roman"/>
          <w:b/>
          <w:color w:val="0F172A"/>
          <w:sz w:val="24"/>
        </w:rPr>
        <w:t>5  Conclusion and Future Methodology</w:t>
      </w:r>
    </w:p>
    <w:p>
      <w:pPr>
        <w:spacing w:before="0" w:after="80" w:line="276" w:lineRule="auto"/>
        <w:jc w:val="both"/>
      </w:pPr>
      <w:r>
        <w:rPr>
          <w:rFonts w:ascii="Times New Roman" w:hAnsi="Times New Roman"/>
          <w:i w:val="0"/>
          <w:color w:val="1E1E1E"/>
          <w:sz w:val="20"/>
        </w:rPr>
        <w:t>In this work, we presented NeuroForensics, the first formalized digital forensics, evidence sufficiency, and incident reconstruction framework designed natively for event-driven neuromorphic Spiking Neural Networks. By formulating a rigorous seven-class evidence taxonomy, tamper-evident cryptographic Merkle containers (.nfd), and an isolated combinatorial ablation engine, we empirically evaluated all 127 non-empty evidence subsets against isolated ground truth. Our findings prove that neuromorphic forensic evidence sufficiency is strictly attack-dependent: synaptic trojans mandate synaptic crossbar snapshots, DoS flooding requires only discrete spike tuples, and timing jitter mandates joint temporal acquisition. Crucially, continuous volatile membrane state logging is redundant across all scenarios, enabling up to 98.4% storage reductions while guaranteeing automated incident attribution and STIX 2.1 threat intelligence export.</w:t>
      </w:r>
    </w:p>
    <w:p>
      <w:pPr>
        <w:keepNext/>
        <w:spacing w:before="200" w:after="60"/>
      </w:pPr>
      <w:r>
        <w:rPr>
          <w:rFonts w:ascii="Times New Roman" w:hAnsi="Times New Roman"/>
          <w:b/>
          <w:color w:val="0F172A"/>
          <w:sz w:val="21"/>
        </w:rPr>
        <w:t>5.1  Future Methodology and Roadmap</w:t>
      </w:r>
    </w:p>
    <w:p>
      <w:pPr>
        <w:spacing w:before="0" w:after="80" w:line="276" w:lineRule="auto"/>
        <w:jc w:val="both"/>
      </w:pPr>
      <w:r>
        <w:rPr>
          <w:rFonts w:ascii="Times New Roman" w:hAnsi="Times New Roman"/>
          <w:i w:val="0"/>
          <w:color w:val="1E1E1E"/>
          <w:sz w:val="20"/>
        </w:rPr>
        <w:t>Building upon the foundational theory and empirical bounds established in this study, future research will pursue the following directions:</w:t>
      </w:r>
    </w:p>
    <w:p>
      <w:pPr>
        <w:pStyle w:val="ListBullet"/>
        <w:spacing w:before="20" w:after="40" w:line="276" w:lineRule="auto"/>
        <w:jc w:val="both"/>
      </w:pPr>
      <w:r>
        <w:rPr>
          <w:rFonts w:ascii="Times New Roman" w:hAnsi="Times New Roman"/>
          <w:b/>
          <w:color w:val="0F172A"/>
          <w:sz w:val="20"/>
        </w:rPr>
        <w:t xml:space="preserve">Hardware-in-the-Loop Telemetry Probes: </w:t>
      </w:r>
      <w:r>
        <w:rPr>
          <w:rFonts w:ascii="Times New Roman" w:hAnsi="Times New Roman"/>
          <w:color w:val="1E1E1E"/>
          <w:sz w:val="20"/>
        </w:rPr>
        <w:t>Implement low-overhead hardware trace probes on physical neuromorphic substrates (e.g., Intel Loihi 2 Lakemont x86 embedded monitors and SpiNNaker FPGA AER trace buses) to validate that physical crossbar parasitic noise and temperature drift do not degrade attribution accuracy.</w:t>
      </w:r>
    </w:p>
    <w:p>
      <w:pPr>
        <w:pStyle w:val="ListBullet"/>
        <w:spacing w:before="20" w:after="40" w:line="276" w:lineRule="auto"/>
        <w:jc w:val="both"/>
      </w:pPr>
      <w:r>
        <w:rPr>
          <w:rFonts w:ascii="Times New Roman" w:hAnsi="Times New Roman"/>
          <w:b/>
          <w:color w:val="0F172A"/>
          <w:sz w:val="20"/>
        </w:rPr>
        <w:t xml:space="preserve">Dynamic Adaptive Forensic Sampling: </w:t>
      </w:r>
      <w:r>
        <w:rPr>
          <w:rFonts w:ascii="Times New Roman" w:hAnsi="Times New Roman"/>
          <w:color w:val="1E1E1E"/>
          <w:sz w:val="20"/>
        </w:rPr>
        <w:t>Develop an event-driven adaptive forensic capture engine that operates in an ultra-low-power idle state (monitoring only inter-core spike rates) and dynamically switches on high-resolution timing or synaptic snapshots only when anomalous AER bus activity is detected.</w:t>
      </w:r>
    </w:p>
    <w:p>
      <w:pPr>
        <w:pStyle w:val="ListBullet"/>
        <w:spacing w:before="20" w:after="40" w:line="276" w:lineRule="auto"/>
        <w:jc w:val="both"/>
      </w:pPr>
      <w:r>
        <w:rPr>
          <w:rFonts w:ascii="Times New Roman" w:hAnsi="Times New Roman"/>
          <w:b/>
          <w:color w:val="0F172A"/>
          <w:sz w:val="20"/>
        </w:rPr>
        <w:t xml:space="preserve">Multi-Tenant Core Isolation &amp; Micro-Rollbacks: </w:t>
      </w:r>
      <w:r>
        <w:rPr>
          <w:rFonts w:ascii="Times New Roman" w:hAnsi="Times New Roman"/>
          <w:color w:val="1E1E1E"/>
          <w:sz w:val="20"/>
        </w:rPr>
        <w:t>Extend the automated incident response framework to support dynamic hardware isolation of compromised cores via AER routing table updates, accompanied by automated micro-rollbacks of synaptic weights to pre-incident Merkle checkpoints without resetting the entire SNN.</w:t>
      </w:r>
    </w:p>
    <w:p>
      <w:pPr>
        <w:pStyle w:val="ListBullet"/>
        <w:spacing w:before="20" w:after="40" w:line="276" w:lineRule="auto"/>
        <w:jc w:val="both"/>
      </w:pPr>
      <w:r>
        <w:rPr>
          <w:rFonts w:ascii="Times New Roman" w:hAnsi="Times New Roman"/>
          <w:b/>
          <w:color w:val="0F172A"/>
          <w:sz w:val="20"/>
        </w:rPr>
        <w:t xml:space="preserve">Federated Neuromorphic Threat Intelligence: </w:t>
      </w:r>
      <w:r>
        <w:rPr>
          <w:rFonts w:ascii="Times New Roman" w:hAnsi="Times New Roman"/>
          <w:color w:val="1E1E1E"/>
          <w:sz w:val="20"/>
        </w:rPr>
        <w:t>Investigate privacy-preserving federated sharing of neuromorphic incident indicators (STIX 2.1 bundles) across decentralized edge nodes, enabling collective defense against coordinated distributed spike-flooding attacks.</w:t>
      </w:r>
    </w:p>
    <w:p>
      <w:pPr>
        <w:keepNext/>
        <w:spacing w:before="280" w:after="80"/>
      </w:pPr>
      <w:r>
        <w:rPr>
          <w:rFonts w:ascii="Times New Roman" w:hAnsi="Times New Roman"/>
          <w:b/>
          <w:color w:val="0F172A"/>
          <w:sz w:val="24"/>
        </w:rPr>
        <w:t>References</w:t>
      </w:r>
    </w:p>
    <w:p>
      <w:pPr>
        <w:spacing w:before="20" w:after="40" w:line="264" w:lineRule="auto"/>
        <w:ind w:left="432" w:hanging="432"/>
        <w:jc w:val="both"/>
      </w:pPr>
      <w:r>
        <w:rPr>
          <w:rFonts w:ascii="Times New Roman" w:hAnsi="Times New Roman"/>
          <w:color w:val="282828"/>
          <w:sz w:val="17"/>
        </w:rPr>
        <w:t>[1] Davies, M., Srinivasa, N., Lin, T.H., Chinya, G., Cao, Y., Choday, S.H., Dimou, G., Joshi, P., Imam, N., Jain, S., Liao, Y.: Loihi: A neuromorphic manycore processor with on-chip learning. IEEE Micro 38(1), 82–99 (2018)</w:t>
      </w:r>
    </w:p>
    <w:p>
      <w:pPr>
        <w:spacing w:before="20" w:after="40" w:line="264" w:lineRule="auto"/>
        <w:ind w:left="432" w:hanging="432"/>
        <w:jc w:val="both"/>
      </w:pPr>
      <w:r>
        <w:rPr>
          <w:rFonts w:ascii="Times New Roman" w:hAnsi="Times New Roman"/>
          <w:color w:val="282828"/>
          <w:sz w:val="17"/>
        </w:rPr>
        <w:t>[2] Merolla, P.A., Arthur, J.V., Alvarez-Icaza, R., Cassidy, A.S., Sawada, J., Akopyan, F., Jackson, B.L., Imam, N., Guo, C., Nakamura, Y., et al.: A million spiking-neuron integrated circuit with a scalable communication network and interface. Science 345(6197), 668–673 (2014)</w:t>
      </w:r>
    </w:p>
    <w:p>
      <w:pPr>
        <w:spacing w:before="20" w:after="40" w:line="264" w:lineRule="auto"/>
        <w:ind w:left="432" w:hanging="432"/>
        <w:jc w:val="both"/>
      </w:pPr>
      <w:r>
        <w:rPr>
          <w:rFonts w:ascii="Times New Roman" w:hAnsi="Times New Roman"/>
          <w:color w:val="282828"/>
          <w:sz w:val="17"/>
        </w:rPr>
        <w:t>[3] Roy, K., Jaiswal, A., Panda, P.: Towards spike-based machine intelligence with neuromorphic computing. Nature 575(7784), 607–617 (2019)</w:t>
      </w:r>
    </w:p>
    <w:p>
      <w:pPr>
        <w:spacing w:before="20" w:after="40" w:line="264" w:lineRule="auto"/>
        <w:ind w:left="432" w:hanging="432"/>
        <w:jc w:val="both"/>
      </w:pPr>
      <w:r>
        <w:rPr>
          <w:rFonts w:ascii="Times New Roman" w:hAnsi="Times New Roman"/>
          <w:color w:val="282828"/>
          <w:sz w:val="17"/>
        </w:rPr>
        <w:t>[4] Kent, K., Chevalier, S., Grance, T., Dang, H.: Guide to integrating forensic techniques into incident response. NIST Special Publication 800-86, National Institute of Standards and Technology, Gaithersburg, MD (2006)</w:t>
      </w:r>
    </w:p>
    <w:p>
      <w:pPr>
        <w:spacing w:before="20" w:after="40" w:line="264" w:lineRule="auto"/>
        <w:ind w:left="432" w:hanging="432"/>
        <w:jc w:val="both"/>
      </w:pPr>
      <w:r>
        <w:rPr>
          <w:rFonts w:ascii="Times New Roman" w:hAnsi="Times New Roman"/>
          <w:color w:val="282828"/>
          <w:sz w:val="17"/>
        </w:rPr>
        <w:t>[5] Bagheri, A., Simeone, O., Rajendran, B.: Adversarial attacks on spiking neural networks: A temporal perspective. IEEE Transactions on Emerging Topics in Computing 11(2), 340–353 (2023)</w:t>
      </w:r>
    </w:p>
    <w:p>
      <w:pPr>
        <w:spacing w:before="20" w:after="40" w:line="264" w:lineRule="auto"/>
        <w:ind w:left="432" w:hanging="432"/>
        <w:jc w:val="both"/>
      </w:pPr>
      <w:r>
        <w:rPr>
          <w:rFonts w:ascii="Times New Roman" w:hAnsi="Times New Roman"/>
          <w:color w:val="282828"/>
          <w:sz w:val="17"/>
        </w:rPr>
        <w:t>[6] Marchisio, A., Pira, M., Martina, M., Masera, G., Shafique, M.: DDoS attacks on neuromorphic architectures: Vulnerabilities and defense strategies. In: Proceedings of the IEEE International Conference on Rebooting Computing (ICRC), pp. 45–52. IEEE (2021)</w:t>
      </w:r>
    </w:p>
    <w:p>
      <w:pPr>
        <w:spacing w:before="20" w:after="40" w:line="264" w:lineRule="auto"/>
        <w:ind w:left="432" w:hanging="432"/>
        <w:jc w:val="both"/>
      </w:pPr>
      <w:r>
        <w:rPr>
          <w:rFonts w:ascii="Times New Roman" w:hAnsi="Times New Roman"/>
          <w:color w:val="282828"/>
          <w:sz w:val="17"/>
        </w:rPr>
        <w:t>[7] Liu, C., Chen, P.Y., Chen, H., Wu, W., Chakrabarty, K.: Security threats and defensive techniques for neuromorphic computing systems. IEEE Design &amp; Test 38(5), 29–37 (2021)</w:t>
      </w:r>
    </w:p>
    <w:p>
      <w:pPr>
        <w:spacing w:before="20" w:after="40" w:line="264" w:lineRule="auto"/>
        <w:ind w:left="432" w:hanging="432"/>
        <w:jc w:val="both"/>
      </w:pPr>
      <w:r>
        <w:rPr>
          <w:rFonts w:ascii="Times New Roman" w:hAnsi="Times New Roman"/>
          <w:color w:val="282828"/>
          <w:sz w:val="17"/>
        </w:rPr>
        <w:t>[8] Kundu, S., Nazemi, M., Beerel, P.A.: Spike-frequency adaptation as a defense against denial-of-service spike flooding in SNNs. In: Proceedings of the International Joint Conference on Neural Networks (IJCNN), pp. 1–8. IEEE (2022)</w:t>
      </w:r>
    </w:p>
    <w:p>
      <w:pPr>
        <w:spacing w:before="20" w:after="40" w:line="264" w:lineRule="auto"/>
        <w:ind w:left="432" w:hanging="432"/>
        <w:jc w:val="both"/>
      </w:pPr>
      <w:r>
        <w:rPr>
          <w:rFonts w:ascii="Times New Roman" w:hAnsi="Times New Roman"/>
          <w:color w:val="282828"/>
          <w:sz w:val="17"/>
        </w:rPr>
        <w:t>[9] Shen, G., Zhao, D., Dong, Y., Zeng, Y.: Backdoor attacks on spiking neural networks through temporal trigger crafting. IEEE Transactions on Information Forensics and Security 18, 2814–2827 (2023)</w:t>
      </w:r>
    </w:p>
    <w:p>
      <w:pPr>
        <w:spacing w:before="20" w:after="40" w:line="264" w:lineRule="auto"/>
        <w:ind w:left="432" w:hanging="432"/>
        <w:jc w:val="both"/>
      </w:pPr>
      <w:r>
        <w:rPr>
          <w:rFonts w:ascii="Times New Roman" w:hAnsi="Times New Roman"/>
          <w:color w:val="282828"/>
          <w:sz w:val="17"/>
        </w:rPr>
        <w:t>[10] Joshi, R.V., Frank, M.M., Cabral, C., Silvestre, F., Kara, B.: Accurate and low-latency anomaly detection in neuromorphic crossbar hardware. IEEE Transactions on Circuits and Systems I: Regular Papers 68(8), 3314–3325 (2021)</w:t>
      </w:r>
    </w:p>
    <w:p>
      <w:pPr>
        <w:spacing w:before="20" w:after="40" w:line="264" w:lineRule="auto"/>
        <w:ind w:left="432" w:hanging="432"/>
        <w:jc w:val="both"/>
      </w:pPr>
      <w:r>
        <w:rPr>
          <w:rFonts w:ascii="Times New Roman" w:hAnsi="Times New Roman"/>
          <w:color w:val="282828"/>
          <w:sz w:val="17"/>
        </w:rPr>
        <w:t>[11] Patel, K., Zhang, Y., Panda, P.: Real-time behavioral monitoring and integrity verification in edge neuromorphic coprocessors. ACM Transactions on Embedded Computing Systems 22(4), 1–24 (2023)</w:t>
      </w:r>
    </w:p>
    <w:p>
      <w:pPr>
        <w:spacing w:before="20" w:after="40" w:line="264" w:lineRule="auto"/>
        <w:ind w:left="432" w:hanging="432"/>
        <w:jc w:val="both"/>
      </w:pPr>
      <w:r>
        <w:rPr>
          <w:rFonts w:ascii="Times New Roman" w:hAnsi="Times New Roman"/>
          <w:color w:val="282828"/>
          <w:sz w:val="17"/>
        </w:rPr>
        <w:t>[12] Amir, A., Taba, B., Berg, D., Melano, T., McKinstry, J., Di Nolfo, C., Nayak, T., Andreopoulos, A., Garreau, G., Mendoza, M., et al.: A low power, fully event-based gesture recognition system. In: Proceedings of the IEEE Conference on Computer Vision and Pattern Recognition (CVPR), pp. 7243–7252 (2017)</w:t>
      </w:r>
    </w:p>
    <w:p>
      <w:pPr>
        <w:spacing w:before="20" w:after="40" w:line="264" w:lineRule="auto"/>
        <w:ind w:left="432" w:hanging="432"/>
        <w:jc w:val="both"/>
      </w:pPr>
      <w:r>
        <w:rPr>
          <w:rFonts w:ascii="Times New Roman" w:hAnsi="Times New Roman"/>
          <w:color w:val="282828"/>
          <w:sz w:val="17"/>
        </w:rPr>
        <w:t>[13] OASIS Open: Cyber Threat Intelligence (CTI) - Structured Threat Information Expression (STIX) Version 2.1. OASIS Standard, OASIS Open (2021), https://docs.oasis-open.org/cti/stix/v2.1/os/stix-v2.1-os.html</w:t>
      </w:r>
    </w:p>
    <w:p>
      <w:pPr>
        <w:spacing w:before="20" w:after="40" w:line="264" w:lineRule="auto"/>
        <w:ind w:left="432" w:hanging="432"/>
        <w:jc w:val="both"/>
      </w:pPr>
      <w:r>
        <w:rPr>
          <w:rFonts w:ascii="Times New Roman" w:hAnsi="Times New Roman"/>
          <w:color w:val="282828"/>
          <w:sz w:val="17"/>
        </w:rPr>
        <w:t>[14] Casey, E.: Digital Evidence and Computer Crime: Forensic Science, Computers, and the Internet, 3rd edn. Academic Press, Cambridge (2011)</w:t>
      </w:r>
    </w:p>
    <w:p>
      <w:pPr>
        <w:spacing w:before="20" w:after="40" w:line="264" w:lineRule="auto"/>
        <w:ind w:left="432" w:hanging="432"/>
        <w:jc w:val="both"/>
      </w:pPr>
      <w:r>
        <w:rPr>
          <w:rFonts w:ascii="Times New Roman" w:hAnsi="Times New Roman"/>
          <w:color w:val="282828"/>
          <w:sz w:val="17"/>
        </w:rPr>
        <w:t>[15] Carrier, B.: File System Forensic Analysis. Addison-Wesley Professional, Boston (2005)</w:t>
      </w:r>
    </w:p>
    <w:sectPr w:rsidR="00FC693F" w:rsidRPr="0006063C" w:rsidSect="00034616">
      <w:footerReference w:type="default" r:id="rId9"/>
      <w:pgSz w:w="12240" w:h="15840"/>
      <w:pgMar w:top="1440" w:right="1584" w:bottom="1440" w:left="15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787878"/>
        <w:sz w:val="17"/>
      </w:rPr>
      <w:t>NeuroForensics — Springer LNCS Format Research Paper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