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Sentiment Analysis — Final Report</w:t>
      </w:r>
    </w:p>
    <w:p>
      <w:r>
        <w:t>Dataset: test.csv — 2,191 employee e-mails from 10 employees, 2010-01-01 to 2011-12-31 (24 months). Sentiment labeling: a RoBERTa transformer (cardiffnlp/twitter-roberta-base-sentiment-latest). All numbers and findings in this report are generated from the pipeline outputs (src/report.py).</w:t>
      </w:r>
    </w:p>
    <w:p>
      <w:pPr>
        <w:pStyle w:val="Heading1"/>
      </w:pPr>
      <w:r>
        <w:t>Executive summary</w:t>
      </w:r>
    </w:p>
    <w:p>
      <w:pPr>
        <w:pStyle w:val="ListNumber"/>
      </w:pPr>
      <w:r>
        <w:t xml:space="preserve">Overall sentiment is mixed (23.7% positive). The risk signal comes from short </w:t>
      </w:r>
      <w:r>
        <w:rPr>
          <w:b/>
        </w:rPr>
        <w:t>bursts</w:t>
      </w:r>
      <w:r>
        <w:t xml:space="preserve"> of negativity rather than persistently negative employees.</w:t>
      </w:r>
    </w:p>
    <w:p>
      <w:pPr>
        <w:pStyle w:val="ListNumber"/>
      </w:pPr>
      <w:r>
        <w:t xml:space="preserve">Prioritise check-ins with </w:t>
      </w:r>
      <w:r>
        <w:rPr>
          <w:b/>
        </w:rPr>
        <w:t>john.arnold@enron.com</w:t>
      </w:r>
      <w:r>
        <w:t xml:space="preserve"> (strongest burst: 4 negatives in 30 days from 2010-06-06) and </w:t>
      </w:r>
      <w:r>
        <w:rPr>
          <w:b/>
        </w:rPr>
        <w:t>don.baughman@enron.com</w:t>
      </w:r>
      <w:r>
        <w:t xml:space="preserve"> (top-3 negative in 12 of 24 months).</w:t>
      </w:r>
    </w:p>
    <w:p>
      <w:pPr>
        <w:pStyle w:val="ListNumber"/>
      </w:pPr>
      <w:r>
        <w:t xml:space="preserve">Use the </w:t>
      </w:r>
      <w:r>
        <w:rPr>
          <w:b/>
        </w:rPr>
        <w:t>rolling-window</w:t>
      </w:r>
      <w:r>
        <w:t xml:space="preserve"> flag operationally. It catches 2 employee(s) a monthly report would miss.</w:t>
      </w:r>
    </w:p>
    <w:p>
      <w:pPr>
        <w:pStyle w:val="ListNumber"/>
      </w:pPr>
      <w:r>
        <w:t>Monthly scores are volume-driven. Report the average score per message alongside the sum, so quiet employees are not mislabelled as disengaged.</w:t>
      </w:r>
    </w:p>
    <w:p>
      <w:pPr>
        <w:pStyle w:val="ListNumber"/>
      </w:pPr>
      <w:r>
        <w:t>Review each flagged window's messages before acting: automated sentiment is a screening tool, not a verdict.</w:t>
      </w:r>
    </w:p>
    <w:p>
      <w:pPr>
        <w:pStyle w:val="Heading1"/>
      </w:pPr>
      <w:r>
        <w:t>1. Approach and methodology</w:t>
      </w:r>
    </w:p>
    <w:p>
      <w:r>
        <w:t>The project is a reproducible Python pipeline. The main notebook (employee_sentiment_analysis.ipynb) runs every step; reusable logic lives in src/ and is covered by unit tests (tests/). run_pipeline.py regenerates every output, this report and the README results from the raw CSV with one command.</w:t>
      </w:r>
    </w:p>
    <w:p>
      <w:pPr>
        <w:pStyle w:val="Heading2"/>
      </w:pPr>
      <w:r>
        <w:t>Data preparation</w:t>
      </w:r>
    </w:p>
    <w:p>
      <w:r>
        <w:t>E-mail bodies contain quoted-printable artifacts (=20, soft line breaks, control bytes). These are decoded and removed, together with forwarded and quoted reply history, URLs and e-mail addresses. The analysed text is the subject plus the cleaned body, so messages with an empty body are labeled from their subject. Dates are parsed to datetime and truncated to calendar months (YYYY-MM).</w:t>
      </w:r>
    </w:p>
    <w:p>
      <w:pPr>
        <w:pStyle w:val="Heading2"/>
      </w:pPr>
      <w:r>
        <w:t>Sentiment labeling (Task 1)</w:t>
      </w:r>
    </w:p>
    <w:p>
      <w:r>
        <w:t>src/sentiment.py exposes three interchangeable back-ends: VADER, a RoBERTa transformer, and an LLM. The reported results use a RoBERTa transformer (cardiffnlp/twitter-roberta-base-sentiment-latest), which is deterministic and runs offline. Rule: compound ≥ 0.05 → Positive, ≤ -0.05 → Negative, else Neutral. Setting SENTIMENT_METHOD=llm switches to the LLM labeler with no other code changes.</w:t>
      </w:r>
    </w:p>
    <w:p>
      <w:pPr>
        <w:pStyle w:val="ListBullet"/>
      </w:pPr>
      <w:r>
        <w:t xml:space="preserve">Labeling method: </w:t>
      </w:r>
      <w:r>
        <w:rPr>
          <w:b/>
        </w:rPr>
        <w:t>a RoBERTa transformer (cardiffnlp/twitter-roberta-base-sentiment-latest)</w:t>
      </w:r>
      <w:r>
        <w:t>.</w:t>
      </w:r>
    </w:p>
    <w:p>
      <w:pPr>
        <w:pStyle w:val="ListBullet"/>
      </w:pPr>
      <w:r>
        <w:t xml:space="preserve">2,191 messages labeled: </w:t>
      </w:r>
      <w:r>
        <w:rPr>
          <w:b/>
        </w:rPr>
        <w:t>520 Positive (23.7%)</w:t>
      </w:r>
      <w:r>
        <w:t xml:space="preserve">, </w:t>
      </w:r>
      <w:r>
        <w:rPr>
          <w:b/>
        </w:rPr>
        <w:t>1,524 Neutral (69.6%)</w:t>
      </w:r>
      <w:r>
        <w:t xml:space="preserve">, </w:t>
      </w:r>
      <w:r>
        <w:rPr>
          <w:b/>
        </w:rPr>
        <w:t>147 Negative (6.7%)</w:t>
      </w:r>
      <w:r>
        <w:t>.</w:t>
      </w:r>
    </w:p>
    <w:p>
      <w:pPr>
        <w:pStyle w:val="ListBullet"/>
      </w:pPr>
      <w:r>
        <w:t xml:space="preserve">The dominant class is </w:t>
      </w:r>
      <w:r>
        <w:rPr>
          <w:b/>
        </w:rPr>
        <w:t>Neutral</w:t>
      </w:r>
      <w:r>
        <w:t>. The corpus is mostly routine business correspondence, so polite and informational messages far outnumber complaints.</w:t>
      </w:r>
    </w:p>
    <w:p>
      <w:pPr>
        <w:pStyle w:val="ListBullet"/>
      </w:pPr>
      <w:r>
        <w:t>70 messages have an empty body. They are labeled from their subject line, which is why the subject is part of the analysed text.</w:t>
      </w:r>
    </w:p>
    <w:p>
      <w:pPr>
        <w:pStyle w:val="Heading1"/>
      </w:pPr>
      <w:r>
        <w:t>2. Key findings from the EDA (Task 2)</w:t>
      </w:r>
    </w:p>
    <w:p>
      <w:pPr>
        <w:pStyle w:val="ListBullet"/>
      </w:pPr>
      <w:r>
        <w:rPr>
          <w:b/>
        </w:rPr>
        <w:t>Structure:</w:t>
      </w:r>
      <w:r>
        <w:t xml:space="preserve"> 2,191 rows × 4 columns (</w:t>
      </w:r>
      <w:r>
        <w:rPr>
          <w:rFonts w:ascii="Consolas" w:hAnsi="Consolas"/>
          <w:sz w:val="20"/>
        </w:rPr>
        <w:t>Subject</w:t>
      </w:r>
      <w:r>
        <w:t xml:space="preserve">, </w:t>
      </w:r>
      <w:r>
        <w:rPr>
          <w:rFonts w:ascii="Consolas" w:hAnsi="Consolas"/>
          <w:sz w:val="20"/>
        </w:rPr>
        <w:t>body</w:t>
      </w:r>
      <w:r>
        <w:t xml:space="preserve">, </w:t>
      </w:r>
      <w:r>
        <w:rPr>
          <w:rFonts w:ascii="Consolas" w:hAnsi="Consolas"/>
          <w:sz w:val="20"/>
        </w:rPr>
        <w:t>date</w:t>
      </w:r>
      <w:r>
        <w:t xml:space="preserve">, </w:t>
      </w:r>
      <w:r>
        <w:rPr>
          <w:rFonts w:ascii="Consolas" w:hAnsi="Consolas"/>
          <w:sz w:val="20"/>
        </w:rPr>
        <w:t>from</w:t>
      </w:r>
      <w:r>
        <w:t xml:space="preserve">); </w:t>
      </w:r>
      <w:r>
        <w:rPr>
          <w:b/>
        </w:rPr>
        <w:t>no missing values</w:t>
      </w:r>
      <w:r>
        <w:t xml:space="preserve">; 0 fully duplicated rows. </w:t>
      </w:r>
      <w:r>
        <w:rPr>
          <w:rFonts w:ascii="Consolas" w:hAnsi="Consolas"/>
          <w:sz w:val="20"/>
        </w:rPr>
        <w:t>date</w:t>
      </w:r>
      <w:r>
        <w:t xml:space="preserve"> is parsed to datetime.</w:t>
      </w:r>
    </w:p>
    <w:p>
      <w:pPr>
        <w:pStyle w:val="ListBullet"/>
      </w:pPr>
      <w:r>
        <w:rPr>
          <w:b/>
        </w:rPr>
        <w:t>Coverage:</w:t>
      </w:r>
      <w:r>
        <w:t xml:space="preserve"> 10 employees, 24 months (2010-01-01 to 2011-12-31), and every employee is active in every month.</w:t>
      </w:r>
    </w:p>
    <w:p>
      <w:pPr>
        <w:pStyle w:val="ListBullet"/>
      </w:pPr>
      <w:r>
        <w:rPr>
          <w:b/>
        </w:rPr>
        <w:t>Anomaly:</w:t>
      </w:r>
      <w:r>
        <w:t xml:space="preserve"> Monthly volume is almost perfectly flat (91–92 messages per month); 30.5% of messages fall on weekends, about the same rate as weekdays. Real e-mail traffic is rarely this uniform, so the dates appear to have been </w:t>
      </w:r>
      <w:r>
        <w:rPr>
          <w:b/>
        </w:rPr>
        <w:t>assigned synthetically</w:t>
      </w:r>
      <w:r>
        <w:t>. Time-based conclusions should be read with caution.</w:t>
      </w:r>
    </w:p>
    <w:p>
      <w:pPr>
        <w:pStyle w:val="ListBullet"/>
      </w:pPr>
      <w:r>
        <w:rPr>
          <w:b/>
        </w:rPr>
        <w:t>Anomaly:</w:t>
      </w:r>
      <w:r>
        <w:t xml:space="preserve"> 625 messages repeat an earlier subject + body on a different date. They are kept because each row is a distinct sent message, but they inflate some employees' counts.</w:t>
      </w:r>
    </w:p>
    <w:p>
      <w:pPr>
        <w:pStyle w:val="ListBullet"/>
      </w:pPr>
      <w:r>
        <w:rPr>
          <w:b/>
        </w:rPr>
        <w:t>Trend:</w:t>
      </w:r>
      <w:r>
        <w:t xml:space="preserve"> the mean message score moves from 0.15 (2010) to 0.19 (2011).</w:t>
      </w:r>
    </w:p>
    <w:p>
      <w:pPr>
        <w:pStyle w:val="ListBullet"/>
      </w:pPr>
      <w:r>
        <w:rPr>
          <w:b/>
        </w:rPr>
        <w:t>Employees:</w:t>
      </w:r>
      <w:r>
        <w:t xml:space="preserve"> activity ranges from 172 (rhonda.denton@enron.com) to 284 messages (lydia.delgado@enron.com). Highest negative share: bobette.riner@ipgdirect.com (9.2%), john.arnold@enron.com (9.0%), patti.thompson@enron.com (7.6%). Lowest: eric.bass@enron.com (3.8%).</w:t>
      </w:r>
    </w:p>
    <w:p>
      <w:pPr>
        <w:pStyle w:val="ListBullet"/>
      </w:pPr>
      <w:r>
        <w:rPr>
          <w:b/>
        </w:rPr>
        <w:t>Length:</w:t>
      </w:r>
      <w:r>
        <w:t xml:space="preserve"> Positive messages are the longest (median 32 words) and Negative the shortest (median 19 words).</w:t>
      </w:r>
    </w:p>
    <w:p>
      <w:r>
        <w:drawing>
          <wp:inline xmlns:a="http://schemas.openxmlformats.org/drawingml/2006/main" xmlns:pic="http://schemas.openxmlformats.org/drawingml/2006/picture">
            <wp:extent cx="4389120" cy="2622254"/>
            <wp:docPr id="1" name="Picture 1"/>
            <wp:cNvGraphicFramePr>
              <a:graphicFrameLocks noChangeAspect="1"/>
            </wp:cNvGraphicFramePr>
            <a:graphic>
              <a:graphicData uri="http://schemas.openxmlformats.org/drawingml/2006/picture">
                <pic:pic>
                  <pic:nvPicPr>
                    <pic:cNvPr id="0" name="01_sentiment_distribution.png"/>
                    <pic:cNvPicPr/>
                  </pic:nvPicPr>
                  <pic:blipFill>
                    <a:blip r:embed="rId9"/>
                    <a:stretch>
                      <a:fillRect/>
                    </a:stretch>
                  </pic:blipFill>
                  <pic:spPr>
                    <a:xfrm>
                      <a:off x="0" y="0"/>
                      <a:ext cx="4389120" cy="2622254"/>
                    </a:xfrm>
                    <a:prstGeom prst="rect"/>
                  </pic:spPr>
                </pic:pic>
              </a:graphicData>
            </a:graphic>
          </wp:inline>
        </w:drawing>
      </w:r>
    </w:p>
    <w:p>
      <w:r>
        <w:rPr>
          <w:i/>
          <w:sz w:val="18"/>
        </w:rPr>
        <w:t>Figure 1 — Sentiment distribution.</w:t>
      </w:r>
    </w:p>
    <w:p>
      <w:r>
        <w:drawing>
          <wp:inline xmlns:a="http://schemas.openxmlformats.org/drawingml/2006/main" xmlns:pic="http://schemas.openxmlformats.org/drawingml/2006/picture">
            <wp:extent cx="5760720" cy="2845657"/>
            <wp:docPr id="2" name="Picture 2"/>
            <wp:cNvGraphicFramePr>
              <a:graphicFrameLocks noChangeAspect="1"/>
            </wp:cNvGraphicFramePr>
            <a:graphic>
              <a:graphicData uri="http://schemas.openxmlformats.org/drawingml/2006/picture">
                <pic:pic>
                  <pic:nvPicPr>
                    <pic:cNvPr id="0" name="03_sentiment_share_by_month.png"/>
                    <pic:cNvPicPr/>
                  </pic:nvPicPr>
                  <pic:blipFill>
                    <a:blip r:embed="rId10"/>
                    <a:stretch>
                      <a:fillRect/>
                    </a:stretch>
                  </pic:blipFill>
                  <pic:spPr>
                    <a:xfrm>
                      <a:off x="0" y="0"/>
                      <a:ext cx="5760720" cy="2845657"/>
                    </a:xfrm>
                    <a:prstGeom prst="rect"/>
                  </pic:spPr>
                </pic:pic>
              </a:graphicData>
            </a:graphic>
          </wp:inline>
        </w:drawing>
      </w:r>
    </w:p>
    <w:p>
      <w:r>
        <w:rPr>
          <w:i/>
          <w:sz w:val="18"/>
        </w:rPr>
        <w:t>Figure 2 — Share of sentiment by month.</w:t>
      </w:r>
    </w:p>
    <w:p>
      <w:r>
        <w:drawing>
          <wp:inline xmlns:a="http://schemas.openxmlformats.org/drawingml/2006/main" xmlns:pic="http://schemas.openxmlformats.org/drawingml/2006/picture">
            <wp:extent cx="5029200" cy="2835690"/>
            <wp:docPr id="3" name="Picture 3"/>
            <wp:cNvGraphicFramePr>
              <a:graphicFrameLocks noChangeAspect="1"/>
            </wp:cNvGraphicFramePr>
            <a:graphic>
              <a:graphicData uri="http://schemas.openxmlformats.org/drawingml/2006/picture">
                <pic:pic>
                  <pic:nvPicPr>
                    <pic:cNvPr id="0" name="04_messages_per_employee.png"/>
                    <pic:cNvPicPr/>
                  </pic:nvPicPr>
                  <pic:blipFill>
                    <a:blip r:embed="rId11"/>
                    <a:stretch>
                      <a:fillRect/>
                    </a:stretch>
                  </pic:blipFill>
                  <pic:spPr>
                    <a:xfrm>
                      <a:off x="0" y="0"/>
                      <a:ext cx="5029200" cy="2835690"/>
                    </a:xfrm>
                    <a:prstGeom prst="rect"/>
                  </pic:spPr>
                </pic:pic>
              </a:graphicData>
            </a:graphic>
          </wp:inline>
        </w:drawing>
      </w:r>
    </w:p>
    <w:p>
      <w:r>
        <w:rPr>
          <w:i/>
          <w:sz w:val="18"/>
        </w:rPr>
        <w:t>Figure 3 — Messages per employee by sentiment.</w:t>
      </w:r>
    </w:p>
    <w:p>
      <w:pPr>
        <w:pStyle w:val="Heading1"/>
      </w:pPr>
      <w:r>
        <w:t>3. Employee scoring and ranking (Tasks 3 &amp; 4)</w:t>
      </w:r>
    </w:p>
    <w:p>
      <w:r>
        <w:t>Each message scores Positive +1, Negative −1, Neutral 0. Scores are summed per employee per calendar month. Each month is an independent group, so the score resets to 0 at the start of every month.</w:t>
      </w:r>
    </w:p>
    <w:p>
      <w:pPr>
        <w:pStyle w:val="ListBullet"/>
      </w:pPr>
      <w:r>
        <w:t xml:space="preserve">Monthly scores range from </w:t>
      </w:r>
      <w:r>
        <w:rPr>
          <w:b/>
        </w:rPr>
        <w:t>-3 to 8</w:t>
      </w:r>
      <w:r>
        <w:t xml:space="preserve"> (mean 1.6, median 1.0).</w:t>
      </w:r>
    </w:p>
    <w:p>
      <w:pPr>
        <w:pStyle w:val="ListBullet"/>
      </w:pPr>
      <w:r>
        <w:rPr>
          <w:b/>
        </w:rPr>
        <w:t>78 of 240 employee-months are ≤ 0.</w:t>
      </w:r>
      <w:r>
        <w:t xml:space="preserve"> The most frequent is john.arnold@enron.com with 11 (2010-01, 2010-02, 2010-06, 2010-07, 2010-09, 2010-10, 2011-01, 2011-04, 2011-05, 2011-07, 2011-09).</w:t>
      </w:r>
    </w:p>
    <w:p>
      <w:pPr>
        <w:pStyle w:val="ListBullet"/>
      </w:pPr>
      <w:r>
        <w:t>The validation asserts confirm that no message was lost or double-counted in the aggregation, and that score = positives − negatives in every month.</w:t>
      </w:r>
    </w:p>
    <w:p>
      <w:r>
        <w:t>Ranking: for each month, the top-3 positive list sorts by score descending and then employee name alphabetically. The top-3 negative list sorts by score ascending (most negative first) and then alphabetically. The full month-by-month table is in data/processed/monthly_rankings.csv.</w:t>
      </w:r>
    </w:p>
    <w:p>
      <w:r>
        <w:rPr>
          <w:b/>
        </w:rPr>
        <w:t>Table 1 — Rankings for the latest month (2011-12).</w:t>
      </w:r>
    </w:p>
    <w:tbl>
      <w:tblPr>
        <w:tblStyle w:val="TableGrid"/>
        <w:tblW w:type="auto" w:w="0"/>
        <w:jc w:val="center"/>
        <w:tblLayout w:type="fixed"/>
        <w:tblLook w:firstColumn="1" w:firstRow="1" w:lastColumn="0" w:lastRow="0" w:noHBand="0" w:noVBand="1" w:val="04A0"/>
      </w:tblPr>
      <w:tblGrid>
        <w:gridCol w:w="720"/>
        <w:gridCol w:w="3024"/>
        <w:gridCol w:w="1008"/>
        <w:gridCol w:w="3024"/>
        <w:gridCol w:w="1008"/>
      </w:tblGrid>
      <w:tr>
        <w:tc>
          <w:tcPr>
            <w:tcW w:type="dxa" w:w="720"/>
            <w:shd w:val="clear" w:color="auto" w:fill="DCE8F7"/>
          </w:tcPr>
          <w:p>
            <w:r/>
            <w:r>
              <w:rPr>
                <w:b/>
                <w:sz w:val="19"/>
              </w:rPr>
              <w:t>Rank</w:t>
            </w:r>
          </w:p>
        </w:tc>
        <w:tc>
          <w:tcPr>
            <w:tcW w:type="dxa" w:w="3024"/>
            <w:shd w:val="clear" w:color="auto" w:fill="DCE8F7"/>
          </w:tcPr>
          <w:p>
            <w:r/>
            <w:r>
              <w:rPr>
                <w:b/>
                <w:sz w:val="19"/>
              </w:rPr>
              <w:t>Top positive</w:t>
            </w:r>
          </w:p>
        </w:tc>
        <w:tc>
          <w:tcPr>
            <w:tcW w:type="dxa" w:w="1008"/>
            <w:shd w:val="clear" w:color="auto" w:fill="DCE8F7"/>
          </w:tcPr>
          <w:p>
            <w:r/>
            <w:r>
              <w:rPr>
                <w:b/>
                <w:sz w:val="19"/>
              </w:rPr>
              <w:t>Score (+)</w:t>
            </w:r>
          </w:p>
        </w:tc>
        <w:tc>
          <w:tcPr>
            <w:tcW w:type="dxa" w:w="3024"/>
            <w:shd w:val="clear" w:color="auto" w:fill="DCE8F7"/>
          </w:tcPr>
          <w:p>
            <w:r/>
            <w:r>
              <w:rPr>
                <w:b/>
                <w:sz w:val="19"/>
              </w:rPr>
              <w:t>Top negative</w:t>
            </w:r>
          </w:p>
        </w:tc>
        <w:tc>
          <w:tcPr>
            <w:tcW w:type="dxa" w:w="1008"/>
            <w:shd w:val="clear" w:color="auto" w:fill="DCE8F7"/>
          </w:tcPr>
          <w:p>
            <w:r/>
            <w:r>
              <w:rPr>
                <w:b/>
                <w:sz w:val="19"/>
              </w:rPr>
              <w:t>Score (−)</w:t>
            </w:r>
          </w:p>
        </w:tc>
      </w:tr>
      <w:tr>
        <w:tc>
          <w:tcPr>
            <w:tcW w:type="dxa" w:w="720"/>
          </w:tcPr>
          <w:p>
            <w:r/>
            <w:r>
              <w:rPr>
                <w:sz w:val="19"/>
              </w:rPr>
              <w:t>1</w:t>
            </w:r>
          </w:p>
        </w:tc>
        <w:tc>
          <w:tcPr>
            <w:tcW w:type="dxa" w:w="3024"/>
          </w:tcPr>
          <w:p>
            <w:r/>
            <w:r>
              <w:rPr>
                <w:sz w:val="19"/>
              </w:rPr>
              <w:t>kayne.coulter@enron.com</w:t>
            </w:r>
          </w:p>
        </w:tc>
        <w:tc>
          <w:tcPr>
            <w:tcW w:type="dxa" w:w="1008"/>
          </w:tcPr>
          <w:p>
            <w:r/>
            <w:r>
              <w:rPr>
                <w:sz w:val="19"/>
              </w:rPr>
              <w:t>4</w:t>
            </w:r>
          </w:p>
        </w:tc>
        <w:tc>
          <w:tcPr>
            <w:tcW w:type="dxa" w:w="3024"/>
          </w:tcPr>
          <w:p>
            <w:r/>
            <w:r>
              <w:rPr>
                <w:sz w:val="19"/>
              </w:rPr>
              <w:t>bobette.riner@ipgdirect.com</w:t>
            </w:r>
          </w:p>
        </w:tc>
        <w:tc>
          <w:tcPr>
            <w:tcW w:type="dxa" w:w="1008"/>
          </w:tcPr>
          <w:p>
            <w:r/>
            <w:r>
              <w:rPr>
                <w:sz w:val="19"/>
              </w:rPr>
              <w:t>0</w:t>
            </w:r>
          </w:p>
        </w:tc>
      </w:tr>
      <w:tr>
        <w:tc>
          <w:tcPr>
            <w:tcW w:type="dxa" w:w="720"/>
          </w:tcPr>
          <w:p>
            <w:r/>
            <w:r>
              <w:rPr>
                <w:sz w:val="19"/>
              </w:rPr>
              <w:t>2</w:t>
            </w:r>
          </w:p>
        </w:tc>
        <w:tc>
          <w:tcPr>
            <w:tcW w:type="dxa" w:w="3024"/>
          </w:tcPr>
          <w:p>
            <w:r/>
            <w:r>
              <w:rPr>
                <w:sz w:val="19"/>
              </w:rPr>
              <w:t>eric.bass@enron.com</w:t>
            </w:r>
          </w:p>
        </w:tc>
        <w:tc>
          <w:tcPr>
            <w:tcW w:type="dxa" w:w="1008"/>
          </w:tcPr>
          <w:p>
            <w:r/>
            <w:r>
              <w:rPr>
                <w:sz w:val="19"/>
              </w:rPr>
              <w:t>3</w:t>
            </w:r>
          </w:p>
        </w:tc>
        <w:tc>
          <w:tcPr>
            <w:tcW w:type="dxa" w:w="3024"/>
          </w:tcPr>
          <w:p>
            <w:r/>
            <w:r>
              <w:rPr>
                <w:sz w:val="19"/>
              </w:rPr>
              <w:t>don.baughman@enron.com</w:t>
            </w:r>
          </w:p>
        </w:tc>
        <w:tc>
          <w:tcPr>
            <w:tcW w:type="dxa" w:w="1008"/>
          </w:tcPr>
          <w:p>
            <w:r/>
            <w:r>
              <w:rPr>
                <w:sz w:val="19"/>
              </w:rPr>
              <w:t>1</w:t>
            </w:r>
          </w:p>
        </w:tc>
      </w:tr>
      <w:tr>
        <w:tc>
          <w:tcPr>
            <w:tcW w:type="dxa" w:w="720"/>
          </w:tcPr>
          <w:p>
            <w:r/>
            <w:r>
              <w:rPr>
                <w:sz w:val="19"/>
              </w:rPr>
              <w:t>3</w:t>
            </w:r>
          </w:p>
        </w:tc>
        <w:tc>
          <w:tcPr>
            <w:tcW w:type="dxa" w:w="3024"/>
          </w:tcPr>
          <w:p>
            <w:r/>
            <w:r>
              <w:rPr>
                <w:sz w:val="19"/>
              </w:rPr>
              <w:t>patti.thompson@enron.com</w:t>
            </w:r>
          </w:p>
        </w:tc>
        <w:tc>
          <w:tcPr>
            <w:tcW w:type="dxa" w:w="1008"/>
          </w:tcPr>
          <w:p>
            <w:r/>
            <w:r>
              <w:rPr>
                <w:sz w:val="19"/>
              </w:rPr>
              <w:t>3</w:t>
            </w:r>
          </w:p>
        </w:tc>
        <w:tc>
          <w:tcPr>
            <w:tcW w:type="dxa" w:w="3024"/>
          </w:tcPr>
          <w:p>
            <w:r/>
            <w:r>
              <w:rPr>
                <w:sz w:val="19"/>
              </w:rPr>
              <w:t>john.arnold@enron.com</w:t>
            </w:r>
          </w:p>
        </w:tc>
        <w:tc>
          <w:tcPr>
            <w:tcW w:type="dxa" w:w="1008"/>
          </w:tcPr>
          <w:p>
            <w:r/>
            <w:r>
              <w:rPr>
                <w:sz w:val="19"/>
              </w:rPr>
              <w:t>1</w:t>
            </w:r>
          </w:p>
        </w:tc>
      </w:tr>
    </w:tbl>
    <w:p/>
    <w:p>
      <w:r>
        <w:rPr>
          <w:b/>
        </w:rPr>
        <w:t>Table 2 — How often each employee appears in the monthly top-3 lists (24 months).</w:t>
      </w:r>
    </w:p>
    <w:tbl>
      <w:tblPr>
        <w:tblStyle w:val="TableGrid"/>
        <w:tblW w:type="auto" w:w="0"/>
        <w:jc w:val="center"/>
        <w:tblLayout w:type="fixed"/>
        <w:tblLook w:firstColumn="1" w:firstRow="1" w:lastColumn="0" w:lastRow="0" w:noHBand="0" w:noVBand="1" w:val="04A0"/>
      </w:tblPr>
      <w:tblGrid>
        <w:gridCol w:w="3744"/>
        <w:gridCol w:w="2592"/>
        <w:gridCol w:w="2592"/>
      </w:tblGrid>
      <w:tr>
        <w:tc>
          <w:tcPr>
            <w:tcW w:type="dxa" w:w="3744"/>
            <w:shd w:val="clear" w:color="auto" w:fill="DCE8F7"/>
          </w:tcPr>
          <w:p>
            <w:r/>
            <w:r>
              <w:rPr>
                <w:b/>
                <w:sz w:val="19"/>
              </w:rPr>
              <w:t>Employee</w:t>
            </w:r>
          </w:p>
        </w:tc>
        <w:tc>
          <w:tcPr>
            <w:tcW w:type="dxa" w:w="2592"/>
            <w:shd w:val="clear" w:color="auto" w:fill="DCE8F7"/>
          </w:tcPr>
          <w:p>
            <w:r/>
            <w:r>
              <w:rPr>
                <w:b/>
                <w:sz w:val="19"/>
              </w:rPr>
              <w:t>Months in top-3 positive</w:t>
            </w:r>
          </w:p>
        </w:tc>
        <w:tc>
          <w:tcPr>
            <w:tcW w:type="dxa" w:w="2592"/>
            <w:shd w:val="clear" w:color="auto" w:fill="DCE8F7"/>
          </w:tcPr>
          <w:p>
            <w:r/>
            <w:r>
              <w:rPr>
                <w:b/>
                <w:sz w:val="19"/>
              </w:rPr>
              <w:t>Months in top-3 negative</w:t>
            </w:r>
          </w:p>
        </w:tc>
      </w:tr>
      <w:tr>
        <w:tc>
          <w:tcPr>
            <w:tcW w:type="dxa" w:w="3744"/>
          </w:tcPr>
          <w:p>
            <w:r/>
            <w:r>
              <w:rPr>
                <w:sz w:val="19"/>
              </w:rPr>
              <w:t>bobette.riner@ipgdirect.com</w:t>
            </w:r>
          </w:p>
        </w:tc>
        <w:tc>
          <w:tcPr>
            <w:tcW w:type="dxa" w:w="2592"/>
          </w:tcPr>
          <w:p>
            <w:r/>
            <w:r>
              <w:rPr>
                <w:sz w:val="19"/>
              </w:rPr>
              <w:t>12</w:t>
            </w:r>
          </w:p>
        </w:tc>
        <w:tc>
          <w:tcPr>
            <w:tcW w:type="dxa" w:w="2592"/>
          </w:tcPr>
          <w:p>
            <w:r/>
            <w:r>
              <w:rPr>
                <w:sz w:val="19"/>
              </w:rPr>
              <w:t>8</w:t>
            </w:r>
          </w:p>
        </w:tc>
      </w:tr>
      <w:tr>
        <w:tc>
          <w:tcPr>
            <w:tcW w:type="dxa" w:w="3744"/>
          </w:tcPr>
          <w:p>
            <w:r/>
            <w:r>
              <w:rPr>
                <w:sz w:val="19"/>
              </w:rPr>
              <w:t>eric.bass@enron.com</w:t>
            </w:r>
          </w:p>
        </w:tc>
        <w:tc>
          <w:tcPr>
            <w:tcW w:type="dxa" w:w="2592"/>
          </w:tcPr>
          <w:p>
            <w:r/>
            <w:r>
              <w:rPr>
                <w:sz w:val="19"/>
              </w:rPr>
              <w:t>10</w:t>
            </w:r>
          </w:p>
        </w:tc>
        <w:tc>
          <w:tcPr>
            <w:tcW w:type="dxa" w:w="2592"/>
          </w:tcPr>
          <w:p>
            <w:r/>
            <w:r>
              <w:rPr>
                <w:sz w:val="19"/>
              </w:rPr>
              <w:t>5</w:t>
            </w:r>
          </w:p>
        </w:tc>
      </w:tr>
      <w:tr>
        <w:tc>
          <w:tcPr>
            <w:tcW w:type="dxa" w:w="3744"/>
          </w:tcPr>
          <w:p>
            <w:r/>
            <w:r>
              <w:rPr>
                <w:sz w:val="19"/>
              </w:rPr>
              <w:t>lydia.delgado@enron.com</w:t>
            </w:r>
          </w:p>
        </w:tc>
        <w:tc>
          <w:tcPr>
            <w:tcW w:type="dxa" w:w="2592"/>
          </w:tcPr>
          <w:p>
            <w:r/>
            <w:r>
              <w:rPr>
                <w:sz w:val="19"/>
              </w:rPr>
              <w:t>10</w:t>
            </w:r>
          </w:p>
        </w:tc>
        <w:tc>
          <w:tcPr>
            <w:tcW w:type="dxa" w:w="2592"/>
          </w:tcPr>
          <w:p>
            <w:r/>
            <w:r>
              <w:rPr>
                <w:sz w:val="19"/>
              </w:rPr>
              <w:t>2</w:t>
            </w:r>
          </w:p>
        </w:tc>
      </w:tr>
      <w:tr>
        <w:tc>
          <w:tcPr>
            <w:tcW w:type="dxa" w:w="3744"/>
          </w:tcPr>
          <w:p>
            <w:r/>
            <w:r>
              <w:rPr>
                <w:sz w:val="19"/>
              </w:rPr>
              <w:t>johnny.palmer@enron.com</w:t>
            </w:r>
          </w:p>
        </w:tc>
        <w:tc>
          <w:tcPr>
            <w:tcW w:type="dxa" w:w="2592"/>
          </w:tcPr>
          <w:p>
            <w:r/>
            <w:r>
              <w:rPr>
                <w:sz w:val="19"/>
              </w:rPr>
              <w:t>9</w:t>
            </w:r>
          </w:p>
        </w:tc>
        <w:tc>
          <w:tcPr>
            <w:tcW w:type="dxa" w:w="2592"/>
          </w:tcPr>
          <w:p>
            <w:r/>
            <w:r>
              <w:rPr>
                <w:sz w:val="19"/>
              </w:rPr>
              <w:t>6</w:t>
            </w:r>
          </w:p>
        </w:tc>
      </w:tr>
      <w:tr>
        <w:tc>
          <w:tcPr>
            <w:tcW w:type="dxa" w:w="3744"/>
          </w:tcPr>
          <w:p>
            <w:r/>
            <w:r>
              <w:rPr>
                <w:sz w:val="19"/>
              </w:rPr>
              <w:t>sally.beck@enron.com</w:t>
            </w:r>
          </w:p>
        </w:tc>
        <w:tc>
          <w:tcPr>
            <w:tcW w:type="dxa" w:w="2592"/>
          </w:tcPr>
          <w:p>
            <w:r/>
            <w:r>
              <w:rPr>
                <w:sz w:val="19"/>
              </w:rPr>
              <w:t>7</w:t>
            </w:r>
          </w:p>
        </w:tc>
        <w:tc>
          <w:tcPr>
            <w:tcW w:type="dxa" w:w="2592"/>
          </w:tcPr>
          <w:p>
            <w:r/>
            <w:r>
              <w:rPr>
                <w:sz w:val="19"/>
              </w:rPr>
              <w:t>5</w:t>
            </w:r>
          </w:p>
        </w:tc>
      </w:tr>
      <w:tr>
        <w:tc>
          <w:tcPr>
            <w:tcW w:type="dxa" w:w="3744"/>
          </w:tcPr>
          <w:p>
            <w:r/>
            <w:r>
              <w:rPr>
                <w:sz w:val="19"/>
              </w:rPr>
              <w:t>kayne.coulter@enron.com</w:t>
            </w:r>
          </w:p>
        </w:tc>
        <w:tc>
          <w:tcPr>
            <w:tcW w:type="dxa" w:w="2592"/>
          </w:tcPr>
          <w:p>
            <w:r/>
            <w:r>
              <w:rPr>
                <w:sz w:val="19"/>
              </w:rPr>
              <w:t>6</w:t>
            </w:r>
          </w:p>
        </w:tc>
        <w:tc>
          <w:tcPr>
            <w:tcW w:type="dxa" w:w="2592"/>
          </w:tcPr>
          <w:p>
            <w:r/>
            <w:r>
              <w:rPr>
                <w:sz w:val="19"/>
              </w:rPr>
              <w:t>11</w:t>
            </w:r>
          </w:p>
        </w:tc>
      </w:tr>
      <w:tr>
        <w:tc>
          <w:tcPr>
            <w:tcW w:type="dxa" w:w="3744"/>
          </w:tcPr>
          <w:p>
            <w:r/>
            <w:r>
              <w:rPr>
                <w:sz w:val="19"/>
              </w:rPr>
              <w:t>patti.thompson@enron.com</w:t>
            </w:r>
          </w:p>
        </w:tc>
        <w:tc>
          <w:tcPr>
            <w:tcW w:type="dxa" w:w="2592"/>
          </w:tcPr>
          <w:p>
            <w:r/>
            <w:r>
              <w:rPr>
                <w:sz w:val="19"/>
              </w:rPr>
              <w:t>6</w:t>
            </w:r>
          </w:p>
        </w:tc>
        <w:tc>
          <w:tcPr>
            <w:tcW w:type="dxa" w:w="2592"/>
          </w:tcPr>
          <w:p>
            <w:r/>
            <w:r>
              <w:rPr>
                <w:sz w:val="19"/>
              </w:rPr>
              <w:t>6</w:t>
            </w:r>
          </w:p>
        </w:tc>
      </w:tr>
      <w:tr>
        <w:tc>
          <w:tcPr>
            <w:tcW w:type="dxa" w:w="3744"/>
          </w:tcPr>
          <w:p>
            <w:r/>
            <w:r>
              <w:rPr>
                <w:sz w:val="19"/>
              </w:rPr>
              <w:t>john.arnold@enron.com</w:t>
            </w:r>
          </w:p>
        </w:tc>
        <w:tc>
          <w:tcPr>
            <w:tcW w:type="dxa" w:w="2592"/>
          </w:tcPr>
          <w:p>
            <w:r/>
            <w:r>
              <w:rPr>
                <w:sz w:val="19"/>
              </w:rPr>
              <w:t>6</w:t>
            </w:r>
          </w:p>
        </w:tc>
        <w:tc>
          <w:tcPr>
            <w:tcW w:type="dxa" w:w="2592"/>
          </w:tcPr>
          <w:p>
            <w:r/>
            <w:r>
              <w:rPr>
                <w:sz w:val="19"/>
              </w:rPr>
              <w:t>11</w:t>
            </w:r>
          </w:p>
        </w:tc>
      </w:tr>
      <w:tr>
        <w:tc>
          <w:tcPr>
            <w:tcW w:type="dxa" w:w="3744"/>
          </w:tcPr>
          <w:p>
            <w:r/>
            <w:r>
              <w:rPr>
                <w:sz w:val="19"/>
              </w:rPr>
              <w:t>don.baughman@enron.com</w:t>
            </w:r>
          </w:p>
        </w:tc>
        <w:tc>
          <w:tcPr>
            <w:tcW w:type="dxa" w:w="2592"/>
          </w:tcPr>
          <w:p>
            <w:r/>
            <w:r>
              <w:rPr>
                <w:sz w:val="19"/>
              </w:rPr>
              <w:t>5</w:t>
            </w:r>
          </w:p>
        </w:tc>
        <w:tc>
          <w:tcPr>
            <w:tcW w:type="dxa" w:w="2592"/>
          </w:tcPr>
          <w:p>
            <w:r/>
            <w:r>
              <w:rPr>
                <w:sz w:val="19"/>
              </w:rPr>
              <w:t>12</w:t>
            </w:r>
          </w:p>
        </w:tc>
      </w:tr>
      <w:tr>
        <w:tc>
          <w:tcPr>
            <w:tcW w:type="dxa" w:w="3744"/>
          </w:tcPr>
          <w:p>
            <w:r/>
            <w:r>
              <w:rPr>
                <w:sz w:val="19"/>
              </w:rPr>
              <w:t>rhonda.denton@enron.com</w:t>
            </w:r>
          </w:p>
        </w:tc>
        <w:tc>
          <w:tcPr>
            <w:tcW w:type="dxa" w:w="2592"/>
          </w:tcPr>
          <w:p>
            <w:r/>
            <w:r>
              <w:rPr>
                <w:sz w:val="19"/>
              </w:rPr>
              <w:t>1</w:t>
            </w:r>
          </w:p>
        </w:tc>
        <w:tc>
          <w:tcPr>
            <w:tcW w:type="dxa" w:w="2592"/>
          </w:tcPr>
          <w:p>
            <w:r/>
            <w:r>
              <w:rPr>
                <w:sz w:val="19"/>
              </w:rPr>
              <w:t>6</w:t>
            </w:r>
          </w:p>
        </w:tc>
      </w:tr>
    </w:tbl>
    <w:p/>
    <w:p>
      <w:pPr>
        <w:pStyle w:val="ListBullet"/>
      </w:pPr>
      <w:r>
        <w:rPr>
          <w:b/>
        </w:rPr>
        <w:t>Latest month (2011-12):</w:t>
      </w:r>
      <w:r>
        <w:t xml:space="preserve"> top positive: kayne.coulter@enron.com (4), eric.bass@enron.com (3), patti.thompson@enron.com (3). Top negative: bobette.riner@ipgdirect.com (0), don.baughman@enron.com (1), john.arnold@enron.com (1). Ties are broken alphabetically.</w:t>
      </w:r>
    </w:p>
    <w:p>
      <w:pPr>
        <w:pStyle w:val="ListBullet"/>
      </w:pPr>
      <w:r>
        <w:rPr>
          <w:b/>
        </w:rPr>
        <w:t>Consistency across 24 months:</w:t>
      </w:r>
      <w:r>
        <w:t xml:space="preserve"> bobette.riner@ipgdirect.com is in the monthly top-3 positive most often (12 months). don.baughman@enron.com appears in the top-3 negative most often (12 months).</w:t>
      </w:r>
    </w:p>
    <w:p>
      <w:pPr>
        <w:pStyle w:val="ListBullet"/>
      </w:pPr>
      <w:r>
        <w:t>Rankings partly reflect volume: the score is a sum, so prolific writers rank higher. The whole-period leader is johnny.palmer@enron.com (+52).</w:t>
      </w:r>
    </w:p>
    <w:p>
      <w:r>
        <w:drawing>
          <wp:inline xmlns:a="http://schemas.openxmlformats.org/drawingml/2006/main" xmlns:pic="http://schemas.openxmlformats.org/drawingml/2006/picture">
            <wp:extent cx="5760720" cy="2527820"/>
            <wp:docPr id="4" name="Picture 4"/>
            <wp:cNvGraphicFramePr>
              <a:graphicFrameLocks noChangeAspect="1"/>
            </wp:cNvGraphicFramePr>
            <a:graphic>
              <a:graphicData uri="http://schemas.openxmlformats.org/drawingml/2006/picture">
                <pic:pic>
                  <pic:nvPicPr>
                    <pic:cNvPr id="0" name="07_monthly_score_heatmap.png"/>
                    <pic:cNvPicPr/>
                  </pic:nvPicPr>
                  <pic:blipFill>
                    <a:blip r:embed="rId12"/>
                    <a:stretch>
                      <a:fillRect/>
                    </a:stretch>
                  </pic:blipFill>
                  <pic:spPr>
                    <a:xfrm>
                      <a:off x="0" y="0"/>
                      <a:ext cx="5760720" cy="2527820"/>
                    </a:xfrm>
                    <a:prstGeom prst="rect"/>
                  </pic:spPr>
                </pic:pic>
              </a:graphicData>
            </a:graphic>
          </wp:inline>
        </w:drawing>
      </w:r>
    </w:p>
    <w:p>
      <w:r>
        <w:rPr>
          <w:i/>
          <w:sz w:val="18"/>
        </w:rPr>
        <w:t>Figure 4 — Monthly score per employee.</w:t>
      </w:r>
    </w:p>
    <w:p>
      <w:r>
        <w:drawing>
          <wp:inline xmlns:a="http://schemas.openxmlformats.org/drawingml/2006/main" xmlns:pic="http://schemas.openxmlformats.org/drawingml/2006/picture">
            <wp:extent cx="5760720" cy="2179171"/>
            <wp:docPr id="5" name="Picture 5"/>
            <wp:cNvGraphicFramePr>
              <a:graphicFrameLocks noChangeAspect="1"/>
            </wp:cNvGraphicFramePr>
            <a:graphic>
              <a:graphicData uri="http://schemas.openxmlformats.org/drawingml/2006/picture">
                <pic:pic>
                  <pic:nvPicPr>
                    <pic:cNvPr id="0" name="08_ranking_frequency.png"/>
                    <pic:cNvPicPr/>
                  </pic:nvPicPr>
                  <pic:blipFill>
                    <a:blip r:embed="rId13"/>
                    <a:stretch>
                      <a:fillRect/>
                    </a:stretch>
                  </pic:blipFill>
                  <pic:spPr>
                    <a:xfrm>
                      <a:off x="0" y="0"/>
                      <a:ext cx="5760720" cy="2179171"/>
                    </a:xfrm>
                    <a:prstGeom prst="rect"/>
                  </pic:spPr>
                </pic:pic>
              </a:graphicData>
            </a:graphic>
          </wp:inline>
        </w:drawing>
      </w:r>
    </w:p>
    <w:p>
      <w:r>
        <w:rPr>
          <w:i/>
          <w:sz w:val="18"/>
        </w:rPr>
        <w:t>Figure 5 — Months in the top-3 lists.</w:t>
      </w:r>
    </w:p>
    <w:p>
      <w:pPr>
        <w:pStyle w:val="Heading1"/>
      </w:pPr>
      <w:r>
        <w:t>4. Flight risk identification (Task 5)</w:t>
      </w:r>
    </w:p>
    <w:p>
      <w:r>
        <w:t>Criterion: 4 or more Negative messages within any rolling 30-day period, irrespective of calendar month or score. For each employee, the negative-message dates are sorted and a window is slid over them. The employee is flagged if four negatives fall within days d to d+29. Unit tests cover month-straddling windows and the exact 30-day boundary.</w:t>
      </w:r>
    </w:p>
    <w:p>
      <w:r>
        <w:rPr>
          <w:b/>
        </w:rPr>
        <w:t>Table 3 — 4 flagged employees.</w:t>
      </w:r>
    </w:p>
    <w:tbl>
      <w:tblPr>
        <w:tblStyle w:val="TableGrid"/>
        <w:tblW w:type="auto" w:w="0"/>
        <w:jc w:val="center"/>
        <w:tblLayout w:type="fixed"/>
        <w:tblLook w:firstColumn="1" w:firstRow="1" w:lastColumn="0" w:lastRow="0" w:noHBand="0" w:noVBand="1" w:val="04A0"/>
      </w:tblPr>
      <w:tblGrid>
        <w:gridCol w:w="3744"/>
        <w:gridCol w:w="1584"/>
        <w:gridCol w:w="1728"/>
        <w:gridCol w:w="1152"/>
        <w:gridCol w:w="1296"/>
      </w:tblGrid>
      <w:tr>
        <w:tc>
          <w:tcPr>
            <w:tcW w:type="dxa" w:w="3744"/>
            <w:shd w:val="clear" w:color="auto" w:fill="DCE8F7"/>
          </w:tcPr>
          <w:p>
            <w:r/>
            <w:r>
              <w:rPr>
                <w:b/>
                <w:sz w:val="19"/>
              </w:rPr>
              <w:t>Employee</w:t>
            </w:r>
          </w:p>
        </w:tc>
        <w:tc>
          <w:tcPr>
            <w:tcW w:type="dxa" w:w="1584"/>
            <w:shd w:val="clear" w:color="auto" w:fill="DCE8F7"/>
          </w:tcPr>
          <w:p>
            <w:r/>
            <w:r>
              <w:rPr>
                <w:b/>
                <w:sz w:val="19"/>
              </w:rPr>
              <w:t>Max negatives in 30 days</w:t>
            </w:r>
          </w:p>
        </w:tc>
        <w:tc>
          <w:tcPr>
            <w:tcW w:type="dxa" w:w="1728"/>
            <w:shd w:val="clear" w:color="auto" w:fill="DCE8F7"/>
          </w:tcPr>
          <w:p>
            <w:r/>
            <w:r>
              <w:rPr>
                <w:b/>
                <w:sz w:val="19"/>
              </w:rPr>
              <w:t>First window start</w:t>
            </w:r>
          </w:p>
        </w:tc>
        <w:tc>
          <w:tcPr>
            <w:tcW w:type="dxa" w:w="1152"/>
            <w:shd w:val="clear" w:color="auto" w:fill="DCE8F7"/>
          </w:tcPr>
          <w:p>
            <w:r/>
            <w:r>
              <w:rPr>
                <w:b/>
                <w:sz w:val="19"/>
              </w:rPr>
              <w:t>Windows</w:t>
            </w:r>
          </w:p>
        </w:tc>
        <w:tc>
          <w:tcPr>
            <w:tcW w:type="dxa" w:w="1296"/>
            <w:shd w:val="clear" w:color="auto" w:fill="DCE8F7"/>
          </w:tcPr>
          <w:p>
            <w:r/>
            <w:r>
              <w:rPr>
                <w:b/>
                <w:sz w:val="19"/>
              </w:rPr>
              <w:t>Total negatives</w:t>
            </w:r>
          </w:p>
        </w:tc>
      </w:tr>
      <w:tr>
        <w:tc>
          <w:tcPr>
            <w:tcW w:type="dxa" w:w="3744"/>
          </w:tcPr>
          <w:p>
            <w:r/>
            <w:r>
              <w:rPr>
                <w:sz w:val="19"/>
              </w:rPr>
              <w:t>john.arnold@enron.com</w:t>
            </w:r>
          </w:p>
        </w:tc>
        <w:tc>
          <w:tcPr>
            <w:tcW w:type="dxa" w:w="1584"/>
          </w:tcPr>
          <w:p>
            <w:r/>
            <w:r>
              <w:rPr>
                <w:sz w:val="19"/>
              </w:rPr>
              <w:t>4</w:t>
            </w:r>
          </w:p>
        </w:tc>
        <w:tc>
          <w:tcPr>
            <w:tcW w:type="dxa" w:w="1728"/>
          </w:tcPr>
          <w:p>
            <w:r/>
            <w:r>
              <w:rPr>
                <w:sz w:val="19"/>
              </w:rPr>
              <w:t>2010-06-06</w:t>
            </w:r>
          </w:p>
        </w:tc>
        <w:tc>
          <w:tcPr>
            <w:tcW w:type="dxa" w:w="1152"/>
          </w:tcPr>
          <w:p>
            <w:r/>
            <w:r>
              <w:rPr>
                <w:sz w:val="19"/>
              </w:rPr>
              <w:t>2</w:t>
            </w:r>
          </w:p>
        </w:tc>
        <w:tc>
          <w:tcPr>
            <w:tcW w:type="dxa" w:w="1296"/>
          </w:tcPr>
          <w:p>
            <w:r/>
            <w:r>
              <w:rPr>
                <w:sz w:val="19"/>
              </w:rPr>
              <w:t>23</w:t>
            </w:r>
          </w:p>
        </w:tc>
      </w:tr>
      <w:tr>
        <w:tc>
          <w:tcPr>
            <w:tcW w:type="dxa" w:w="3744"/>
          </w:tcPr>
          <w:p>
            <w:r/>
            <w:r>
              <w:rPr>
                <w:sz w:val="19"/>
              </w:rPr>
              <w:t>patti.thompson@enron.com</w:t>
            </w:r>
          </w:p>
        </w:tc>
        <w:tc>
          <w:tcPr>
            <w:tcW w:type="dxa" w:w="1584"/>
          </w:tcPr>
          <w:p>
            <w:r/>
            <w:r>
              <w:rPr>
                <w:sz w:val="19"/>
              </w:rPr>
              <w:t>4</w:t>
            </w:r>
          </w:p>
        </w:tc>
        <w:tc>
          <w:tcPr>
            <w:tcW w:type="dxa" w:w="1728"/>
          </w:tcPr>
          <w:p>
            <w:r/>
            <w:r>
              <w:rPr>
                <w:sz w:val="19"/>
              </w:rPr>
              <w:t>2010-10-04</w:t>
            </w:r>
          </w:p>
        </w:tc>
        <w:tc>
          <w:tcPr>
            <w:tcW w:type="dxa" w:w="1152"/>
          </w:tcPr>
          <w:p>
            <w:r/>
            <w:r>
              <w:rPr>
                <w:sz w:val="19"/>
              </w:rPr>
              <w:t>1</w:t>
            </w:r>
          </w:p>
        </w:tc>
        <w:tc>
          <w:tcPr>
            <w:tcW w:type="dxa" w:w="1296"/>
          </w:tcPr>
          <w:p>
            <w:r/>
            <w:r>
              <w:rPr>
                <w:sz w:val="19"/>
              </w:rPr>
              <w:t>17</w:t>
            </w:r>
          </w:p>
        </w:tc>
      </w:tr>
      <w:tr>
        <w:tc>
          <w:tcPr>
            <w:tcW w:type="dxa" w:w="3744"/>
          </w:tcPr>
          <w:p>
            <w:r/>
            <w:r>
              <w:rPr>
                <w:sz w:val="19"/>
              </w:rPr>
              <w:t>rhonda.denton@enron.com</w:t>
            </w:r>
          </w:p>
        </w:tc>
        <w:tc>
          <w:tcPr>
            <w:tcW w:type="dxa" w:w="1584"/>
          </w:tcPr>
          <w:p>
            <w:r/>
            <w:r>
              <w:rPr>
                <w:sz w:val="19"/>
              </w:rPr>
              <w:t>4</w:t>
            </w:r>
          </w:p>
        </w:tc>
        <w:tc>
          <w:tcPr>
            <w:tcW w:type="dxa" w:w="1728"/>
          </w:tcPr>
          <w:p>
            <w:r/>
            <w:r>
              <w:rPr>
                <w:sz w:val="19"/>
              </w:rPr>
              <w:t>2010-12-24</w:t>
            </w:r>
          </w:p>
        </w:tc>
        <w:tc>
          <w:tcPr>
            <w:tcW w:type="dxa" w:w="1152"/>
          </w:tcPr>
          <w:p>
            <w:r/>
            <w:r>
              <w:rPr>
                <w:sz w:val="19"/>
              </w:rPr>
              <w:t>1</w:t>
            </w:r>
          </w:p>
        </w:tc>
        <w:tc>
          <w:tcPr>
            <w:tcW w:type="dxa" w:w="1296"/>
          </w:tcPr>
          <w:p>
            <w:r/>
            <w:r>
              <w:rPr>
                <w:sz w:val="19"/>
              </w:rPr>
              <w:t>12</w:t>
            </w:r>
          </w:p>
        </w:tc>
      </w:tr>
      <w:tr>
        <w:tc>
          <w:tcPr>
            <w:tcW w:type="dxa" w:w="3744"/>
          </w:tcPr>
          <w:p>
            <w:r/>
            <w:r>
              <w:rPr>
                <w:sz w:val="19"/>
              </w:rPr>
              <w:t>sally.beck@enron.com</w:t>
            </w:r>
          </w:p>
        </w:tc>
        <w:tc>
          <w:tcPr>
            <w:tcW w:type="dxa" w:w="1584"/>
          </w:tcPr>
          <w:p>
            <w:r/>
            <w:r>
              <w:rPr>
                <w:sz w:val="19"/>
              </w:rPr>
              <w:t>4</w:t>
            </w:r>
          </w:p>
        </w:tc>
        <w:tc>
          <w:tcPr>
            <w:tcW w:type="dxa" w:w="1728"/>
          </w:tcPr>
          <w:p>
            <w:r/>
            <w:r>
              <w:rPr>
                <w:sz w:val="19"/>
              </w:rPr>
              <w:t>2010-12-15</w:t>
            </w:r>
          </w:p>
        </w:tc>
        <w:tc>
          <w:tcPr>
            <w:tcW w:type="dxa" w:w="1152"/>
          </w:tcPr>
          <w:p>
            <w:r/>
            <w:r>
              <w:rPr>
                <w:sz w:val="19"/>
              </w:rPr>
              <w:t>1</w:t>
            </w:r>
          </w:p>
        </w:tc>
        <w:tc>
          <w:tcPr>
            <w:tcW w:type="dxa" w:w="1296"/>
          </w:tcPr>
          <w:p>
            <w:r/>
            <w:r>
              <w:rPr>
                <w:sz w:val="19"/>
              </w:rPr>
              <w:t>17</w:t>
            </w:r>
          </w:p>
        </w:tc>
      </w:tr>
    </w:tbl>
    <w:p/>
    <w:p>
      <w:pPr>
        <w:pStyle w:val="ListBullet"/>
      </w:pPr>
      <w:r>
        <w:rPr>
          <w:b/>
        </w:rPr>
        <w:t>4 of 10 employees are flagged</w:t>
      </w:r>
      <w:r>
        <w:t xml:space="preserve"> (max negatives in one 30-day window): john.arnold@enron.com (4), patti.thompson@enron.com (4), rhonda.denton@enron.com (4), sally.beck@enron.com (4).</w:t>
      </w:r>
    </w:p>
    <w:p>
      <w:pPr>
        <w:pStyle w:val="ListBullet"/>
      </w:pPr>
      <w:r>
        <w:t xml:space="preserve">A calendar-month count would flag only </w:t>
      </w:r>
      <w:r>
        <w:rPr>
          <w:b/>
        </w:rPr>
        <w:t>2</w:t>
      </w:r>
      <w:r>
        <w:t xml:space="preserve">. The rolling window adds </w:t>
      </w:r>
      <w:r>
        <w:rPr>
          <w:b/>
        </w:rPr>
        <w:t>rhonda.denton@enron.com and sally.beck@enron.com</w:t>
      </w:r>
      <w:r>
        <w:t>, whose negative bursts straddle a month boundary. This is why the brief specifies a rolling window.</w:t>
      </w:r>
    </w:p>
    <w:p>
      <w:pPr>
        <w:pStyle w:val="ListBullet"/>
      </w:pPr>
      <w:r>
        <w:t xml:space="preserve">The flag is deliberately independent of the score: an employee with a high long-run score can still have a short burst of negativity. Every qualifying window is listed in </w:t>
      </w:r>
      <w:r>
        <w:rPr>
          <w:rFonts w:ascii="Consolas" w:hAnsi="Consolas"/>
          <w:sz w:val="20"/>
        </w:rPr>
        <w:t>data/processed/flight_risk_windows.csv</w:t>
      </w:r>
      <w:r>
        <w:t xml:space="preserve"> so that each flag can be reviewed manually.</w:t>
      </w:r>
    </w:p>
    <w:p>
      <w:r>
        <w:drawing>
          <wp:inline xmlns:a="http://schemas.openxmlformats.org/drawingml/2006/main" xmlns:pic="http://schemas.openxmlformats.org/drawingml/2006/picture">
            <wp:extent cx="5029200" cy="2563313"/>
            <wp:docPr id="6" name="Picture 6"/>
            <wp:cNvGraphicFramePr>
              <a:graphicFrameLocks noChangeAspect="1"/>
            </wp:cNvGraphicFramePr>
            <a:graphic>
              <a:graphicData uri="http://schemas.openxmlformats.org/drawingml/2006/picture">
                <pic:pic>
                  <pic:nvPicPr>
                    <pic:cNvPr id="0" name="10_flight_risk.png"/>
                    <pic:cNvPicPr/>
                  </pic:nvPicPr>
                  <pic:blipFill>
                    <a:blip r:embed="rId14"/>
                    <a:stretch>
                      <a:fillRect/>
                    </a:stretch>
                  </pic:blipFill>
                  <pic:spPr>
                    <a:xfrm>
                      <a:off x="0" y="0"/>
                      <a:ext cx="5029200" cy="2563313"/>
                    </a:xfrm>
                    <a:prstGeom prst="rect"/>
                  </pic:spPr>
                </pic:pic>
              </a:graphicData>
            </a:graphic>
          </wp:inline>
        </w:drawing>
      </w:r>
    </w:p>
    <w:p>
      <w:r>
        <w:rPr>
          <w:i/>
          <w:sz w:val="18"/>
        </w:rPr>
        <w:t>Figure 6 — Negative messages per employee; flight risks highlighted.</w:t>
      </w:r>
    </w:p>
    <w:p>
      <w:pPr>
        <w:pStyle w:val="Heading1"/>
      </w:pPr>
      <w:r>
        <w:t>5. Predictive model (Task 6)</w:t>
      </w:r>
    </w:p>
    <w:p>
      <w:r>
        <w:t>Target: the monthly score per employee-month. Features are behavioural and not derived from the sentiment labels (to avoid leakage): message count, average length in characters and words, total words, active days, average exclamation and question marks per message, the previous month's score, and a time index. Model: StandardScaler + LinearRegression (scikit-learn), 80/20 split (random_state=42), 5-fold cross-validation, compared with a mean-only baseline.</w:t>
      </w:r>
    </w:p>
    <w:p>
      <w:r>
        <w:rPr>
          <w:b/>
        </w:rPr>
        <w:t>Table 4 — Model evaluation.</w:t>
      </w:r>
    </w:p>
    <w:tbl>
      <w:tblPr>
        <w:tblStyle w:val="TableGrid"/>
        <w:tblW w:type="auto" w:w="0"/>
        <w:jc w:val="center"/>
        <w:tblLayout w:type="fixed"/>
        <w:tblLook w:firstColumn="1" w:firstRow="1" w:lastColumn="0" w:lastRow="0" w:noHBand="0" w:noVBand="1" w:val="04A0"/>
      </w:tblPr>
      <w:tblGrid>
        <w:gridCol w:w="3600"/>
        <w:gridCol w:w="2880"/>
      </w:tblGrid>
      <w:tr>
        <w:tc>
          <w:tcPr>
            <w:tcW w:type="dxa" w:w="3600"/>
            <w:shd w:val="clear" w:color="auto" w:fill="DCE8F7"/>
          </w:tcPr>
          <w:p>
            <w:r/>
            <w:r>
              <w:rPr>
                <w:b/>
                <w:sz w:val="19"/>
              </w:rPr>
              <w:t>Metric</w:t>
            </w:r>
          </w:p>
        </w:tc>
        <w:tc>
          <w:tcPr>
            <w:tcW w:type="dxa" w:w="2880"/>
            <w:shd w:val="clear" w:color="auto" w:fill="DCE8F7"/>
          </w:tcPr>
          <w:p>
            <w:r/>
            <w:r>
              <w:rPr>
                <w:b/>
                <w:sz w:val="19"/>
              </w:rPr>
              <w:t>Value</w:t>
            </w:r>
          </w:p>
        </w:tc>
      </w:tr>
      <w:tr>
        <w:tc>
          <w:tcPr>
            <w:tcW w:type="dxa" w:w="3600"/>
          </w:tcPr>
          <w:p>
            <w:r/>
            <w:r>
              <w:rPr>
                <w:sz w:val="19"/>
              </w:rPr>
              <w:t>R² (train)</w:t>
            </w:r>
          </w:p>
        </w:tc>
        <w:tc>
          <w:tcPr>
            <w:tcW w:type="dxa" w:w="2880"/>
          </w:tcPr>
          <w:p>
            <w:r/>
            <w:r>
              <w:rPr>
                <w:sz w:val="19"/>
              </w:rPr>
              <w:t>0.254</w:t>
            </w:r>
          </w:p>
        </w:tc>
      </w:tr>
      <w:tr>
        <w:tc>
          <w:tcPr>
            <w:tcW w:type="dxa" w:w="3600"/>
          </w:tcPr>
          <w:p>
            <w:r/>
            <w:r>
              <w:rPr>
                <w:sz w:val="19"/>
              </w:rPr>
              <w:t>R² (test)</w:t>
            </w:r>
          </w:p>
        </w:tc>
        <w:tc>
          <w:tcPr>
            <w:tcW w:type="dxa" w:w="2880"/>
          </w:tcPr>
          <w:p>
            <w:r/>
            <w:r>
              <w:rPr>
                <w:sz w:val="19"/>
              </w:rPr>
              <w:t>0.355</w:t>
            </w:r>
          </w:p>
        </w:tc>
      </w:tr>
      <w:tr>
        <w:tc>
          <w:tcPr>
            <w:tcW w:type="dxa" w:w="3600"/>
          </w:tcPr>
          <w:p>
            <w:r/>
            <w:r>
              <w:rPr>
                <w:sz w:val="19"/>
              </w:rPr>
              <w:t>MAE (test)</w:t>
            </w:r>
          </w:p>
        </w:tc>
        <w:tc>
          <w:tcPr>
            <w:tcW w:type="dxa" w:w="2880"/>
          </w:tcPr>
          <w:p>
            <w:r/>
            <w:r>
              <w:rPr>
                <w:sz w:val="19"/>
              </w:rPr>
              <w:t>1.26</w:t>
            </w:r>
          </w:p>
        </w:tc>
      </w:tr>
      <w:tr>
        <w:tc>
          <w:tcPr>
            <w:tcW w:type="dxa" w:w="3600"/>
          </w:tcPr>
          <w:p>
            <w:r/>
            <w:r>
              <w:rPr>
                <w:sz w:val="19"/>
              </w:rPr>
              <w:t>RMSE (test)</w:t>
            </w:r>
          </w:p>
        </w:tc>
        <w:tc>
          <w:tcPr>
            <w:tcW w:type="dxa" w:w="2880"/>
          </w:tcPr>
          <w:p>
            <w:r/>
            <w:r>
              <w:rPr>
                <w:sz w:val="19"/>
              </w:rPr>
              <w:t>1.74</w:t>
            </w:r>
          </w:p>
        </w:tc>
      </w:tr>
      <w:tr>
        <w:tc>
          <w:tcPr>
            <w:tcW w:type="dxa" w:w="3600"/>
          </w:tcPr>
          <w:p>
            <w:r/>
            <w:r>
              <w:rPr>
                <w:sz w:val="19"/>
              </w:rPr>
              <w:t>Baseline MAE</w:t>
            </w:r>
          </w:p>
        </w:tc>
        <w:tc>
          <w:tcPr>
            <w:tcW w:type="dxa" w:w="2880"/>
          </w:tcPr>
          <w:p>
            <w:r/>
            <w:r>
              <w:rPr>
                <w:sz w:val="19"/>
              </w:rPr>
              <w:t>1.67</w:t>
            </w:r>
          </w:p>
        </w:tc>
      </w:tr>
      <w:tr>
        <w:tc>
          <w:tcPr>
            <w:tcW w:type="dxa" w:w="3600"/>
          </w:tcPr>
          <w:p>
            <w:r/>
            <w:r>
              <w:rPr>
                <w:sz w:val="19"/>
              </w:rPr>
              <w:t>Baseline RMSE</w:t>
            </w:r>
          </w:p>
        </w:tc>
        <w:tc>
          <w:tcPr>
            <w:tcW w:type="dxa" w:w="2880"/>
          </w:tcPr>
          <w:p>
            <w:r/>
            <w:r>
              <w:rPr>
                <w:sz w:val="19"/>
              </w:rPr>
              <w:t>2.17</w:t>
            </w:r>
          </w:p>
        </w:tc>
      </w:tr>
      <w:tr>
        <w:tc>
          <w:tcPr>
            <w:tcW w:type="dxa" w:w="3600"/>
          </w:tcPr>
          <w:p>
            <w:r/>
            <w:r>
              <w:rPr>
                <w:sz w:val="19"/>
              </w:rPr>
              <w:t>5-fold CV R²</w:t>
            </w:r>
          </w:p>
        </w:tc>
        <w:tc>
          <w:tcPr>
            <w:tcW w:type="dxa" w:w="2880"/>
          </w:tcPr>
          <w:p>
            <w:r/>
            <w:r>
              <w:rPr>
                <w:sz w:val="19"/>
              </w:rPr>
              <w:t>0.210 ± 0.116</w:t>
            </w:r>
          </w:p>
        </w:tc>
      </w:tr>
    </w:tbl>
    <w:p/>
    <w:p>
      <w:r>
        <w:rPr>
          <w:b/>
        </w:rPr>
        <w:t>Table 5 — Standardised coefficients (effect of +1 SD on the monthly score).</w:t>
      </w:r>
    </w:p>
    <w:tbl>
      <w:tblPr>
        <w:tblStyle w:val="TableGrid"/>
        <w:tblW w:type="auto" w:w="0"/>
        <w:jc w:val="center"/>
        <w:tblLayout w:type="fixed"/>
        <w:tblLook w:firstColumn="1" w:firstRow="1" w:lastColumn="0" w:lastRow="0" w:noHBand="0" w:noVBand="1" w:val="04A0"/>
      </w:tblPr>
      <w:tblGrid>
        <w:gridCol w:w="3600"/>
        <w:gridCol w:w="2880"/>
      </w:tblGrid>
      <w:tr>
        <w:tc>
          <w:tcPr>
            <w:tcW w:type="dxa" w:w="3600"/>
            <w:shd w:val="clear" w:color="auto" w:fill="DCE8F7"/>
          </w:tcPr>
          <w:p>
            <w:r/>
            <w:r>
              <w:rPr>
                <w:b/>
                <w:sz w:val="19"/>
              </w:rPr>
              <w:t>Feature</w:t>
            </w:r>
          </w:p>
        </w:tc>
        <w:tc>
          <w:tcPr>
            <w:tcW w:type="dxa" w:w="2880"/>
            <w:shd w:val="clear" w:color="auto" w:fill="DCE8F7"/>
          </w:tcPr>
          <w:p>
            <w:r/>
            <w:r>
              <w:rPr>
                <w:b/>
                <w:sz w:val="19"/>
              </w:rPr>
              <w:t>Standardised coefficient</w:t>
            </w:r>
          </w:p>
        </w:tc>
      </w:tr>
      <w:tr>
        <w:tc>
          <w:tcPr>
            <w:tcW w:type="dxa" w:w="3600"/>
          </w:tcPr>
          <w:p>
            <w:r/>
            <w:r>
              <w:rPr>
                <w:sz w:val="19"/>
              </w:rPr>
              <w:t>avg_char_length</w:t>
            </w:r>
          </w:p>
        </w:tc>
        <w:tc>
          <w:tcPr>
            <w:tcW w:type="dxa" w:w="2880"/>
          </w:tcPr>
          <w:p>
            <w:r/>
            <w:r>
              <w:rPr>
                <w:sz w:val="19"/>
              </w:rPr>
              <w:t>-0.389</w:t>
            </w:r>
          </w:p>
        </w:tc>
      </w:tr>
      <w:tr>
        <w:tc>
          <w:tcPr>
            <w:tcW w:type="dxa" w:w="3600"/>
          </w:tcPr>
          <w:p>
            <w:r/>
            <w:r>
              <w:rPr>
                <w:sz w:val="19"/>
              </w:rPr>
              <w:t>message_count</w:t>
            </w:r>
          </w:p>
        </w:tc>
        <w:tc>
          <w:tcPr>
            <w:tcW w:type="dxa" w:w="2880"/>
          </w:tcPr>
          <w:p>
            <w:r/>
            <w:r>
              <w:rPr>
                <w:sz w:val="19"/>
              </w:rPr>
              <w:t>0.315</w:t>
            </w:r>
          </w:p>
        </w:tc>
      </w:tr>
      <w:tr>
        <w:tc>
          <w:tcPr>
            <w:tcW w:type="dxa" w:w="3600"/>
          </w:tcPr>
          <w:p>
            <w:r/>
            <w:r>
              <w:rPr>
                <w:sz w:val="19"/>
              </w:rPr>
              <w:t>avg_word_count</w:t>
            </w:r>
          </w:p>
        </w:tc>
        <w:tc>
          <w:tcPr>
            <w:tcW w:type="dxa" w:w="2880"/>
          </w:tcPr>
          <w:p>
            <w:r/>
            <w:r>
              <w:rPr>
                <w:sz w:val="19"/>
              </w:rPr>
              <w:t>0.296</w:t>
            </w:r>
          </w:p>
        </w:tc>
      </w:tr>
      <w:tr>
        <w:tc>
          <w:tcPr>
            <w:tcW w:type="dxa" w:w="3600"/>
          </w:tcPr>
          <w:p>
            <w:r/>
            <w:r>
              <w:rPr>
                <w:sz w:val="19"/>
              </w:rPr>
              <w:t>active_days</w:t>
            </w:r>
          </w:p>
        </w:tc>
        <w:tc>
          <w:tcPr>
            <w:tcW w:type="dxa" w:w="2880"/>
          </w:tcPr>
          <w:p>
            <w:r/>
            <w:r>
              <w:rPr>
                <w:sz w:val="19"/>
              </w:rPr>
              <w:t>0.288</w:t>
            </w:r>
          </w:p>
        </w:tc>
      </w:tr>
      <w:tr>
        <w:tc>
          <w:tcPr>
            <w:tcW w:type="dxa" w:w="3600"/>
          </w:tcPr>
          <w:p>
            <w:r/>
            <w:r>
              <w:rPr>
                <w:sz w:val="19"/>
              </w:rPr>
              <w:t>avg_exclamations</w:t>
            </w:r>
          </w:p>
        </w:tc>
        <w:tc>
          <w:tcPr>
            <w:tcW w:type="dxa" w:w="2880"/>
          </w:tcPr>
          <w:p>
            <w:r/>
            <w:r>
              <w:rPr>
                <w:sz w:val="19"/>
              </w:rPr>
              <w:t>0.26</w:t>
            </w:r>
          </w:p>
        </w:tc>
      </w:tr>
      <w:tr>
        <w:tc>
          <w:tcPr>
            <w:tcW w:type="dxa" w:w="3600"/>
          </w:tcPr>
          <w:p>
            <w:r/>
            <w:r>
              <w:rPr>
                <w:sz w:val="19"/>
              </w:rPr>
              <w:t>total_words</w:t>
            </w:r>
          </w:p>
        </w:tc>
        <w:tc>
          <w:tcPr>
            <w:tcW w:type="dxa" w:w="2880"/>
          </w:tcPr>
          <w:p>
            <w:r/>
            <w:r>
              <w:rPr>
                <w:sz w:val="19"/>
              </w:rPr>
              <w:t>0.215</w:t>
            </w:r>
          </w:p>
        </w:tc>
      </w:tr>
      <w:tr>
        <w:tc>
          <w:tcPr>
            <w:tcW w:type="dxa" w:w="3600"/>
          </w:tcPr>
          <w:p>
            <w:r/>
            <w:r>
              <w:rPr>
                <w:sz w:val="19"/>
              </w:rPr>
              <w:t>month_index</w:t>
            </w:r>
          </w:p>
        </w:tc>
        <w:tc>
          <w:tcPr>
            <w:tcW w:type="dxa" w:w="2880"/>
          </w:tcPr>
          <w:p>
            <w:r/>
            <w:r>
              <w:rPr>
                <w:sz w:val="19"/>
              </w:rPr>
              <w:t>0.186</w:t>
            </w:r>
          </w:p>
        </w:tc>
      </w:tr>
      <w:tr>
        <w:tc>
          <w:tcPr>
            <w:tcW w:type="dxa" w:w="3600"/>
          </w:tcPr>
          <w:p>
            <w:r/>
            <w:r>
              <w:rPr>
                <w:sz w:val="19"/>
              </w:rPr>
              <w:t>avg_questions</w:t>
            </w:r>
          </w:p>
        </w:tc>
        <w:tc>
          <w:tcPr>
            <w:tcW w:type="dxa" w:w="2880"/>
          </w:tcPr>
          <w:p>
            <w:r/>
            <w:r>
              <w:rPr>
                <w:sz w:val="19"/>
              </w:rPr>
              <w:t>-0.088</w:t>
            </w:r>
          </w:p>
        </w:tc>
      </w:tr>
      <w:tr>
        <w:tc>
          <w:tcPr>
            <w:tcW w:type="dxa" w:w="3600"/>
          </w:tcPr>
          <w:p>
            <w:r/>
            <w:r>
              <w:rPr>
                <w:sz w:val="19"/>
              </w:rPr>
              <w:t>prev_month_score</w:t>
            </w:r>
          </w:p>
        </w:tc>
        <w:tc>
          <w:tcPr>
            <w:tcW w:type="dxa" w:w="2880"/>
          </w:tcPr>
          <w:p>
            <w:r/>
            <w:r>
              <w:rPr>
                <w:sz w:val="19"/>
              </w:rPr>
              <w:t>0.063</w:t>
            </w:r>
          </w:p>
        </w:tc>
      </w:tr>
    </w:tbl>
    <w:p/>
    <w:p>
      <w:pPr>
        <w:pStyle w:val="ListBullet"/>
      </w:pPr>
      <w:r>
        <w:rPr>
          <w:b/>
        </w:rPr>
        <w:t>Performance:</w:t>
      </w:r>
      <w:r>
        <w:t xml:space="preserve"> test R² = </w:t>
      </w:r>
      <w:r>
        <w:rPr>
          <w:b/>
        </w:rPr>
        <w:t>0.35</w:t>
      </w:r>
      <w:r>
        <w:t xml:space="preserve">, MAE = </w:t>
      </w:r>
      <w:r>
        <w:rPr>
          <w:b/>
        </w:rPr>
        <w:t>1.26</w:t>
      </w:r>
      <w:r>
        <w:t xml:space="preserve">, RMSE = </w:t>
      </w:r>
      <w:r>
        <w:rPr>
          <w:b/>
        </w:rPr>
        <w:t>1.74</w:t>
      </w:r>
      <w:r>
        <w:t>, against a mean-only baseline with MAE 1.67 / RMSE 2.17. 5-fold cross-validation R² = 0.21 ± 0.12. Train R² is 0.25, so some overfitting is present.</w:t>
      </w:r>
    </w:p>
    <w:p>
      <w:pPr>
        <w:pStyle w:val="ListBullet"/>
      </w:pPr>
      <w:r>
        <w:rPr>
          <w:b/>
        </w:rPr>
        <w:t>Strongest driver:</w:t>
      </w:r>
      <w:r>
        <w:t xml:space="preserve"> </w:t>
      </w:r>
      <w:r>
        <w:rPr>
          <w:rFonts w:ascii="Consolas" w:hAnsi="Consolas"/>
          <w:sz w:val="20"/>
        </w:rPr>
        <w:t>avg_char_length</w:t>
      </w:r>
      <w:r>
        <w:t xml:space="preserve"> (standardised coefficient -0.39).</w:t>
      </w:r>
    </w:p>
    <w:p>
      <w:pPr>
        <w:pStyle w:val="ListBullet"/>
      </w:pPr>
      <w:r>
        <w:rPr>
          <w:rFonts w:ascii="Consolas" w:hAnsi="Consolas"/>
          <w:sz w:val="20"/>
        </w:rPr>
        <w:t>prev_month_score</w:t>
      </w:r>
      <w:r>
        <w:t xml:space="preserve"> is positive (sentiment momentum); the company-wide average score trends +0.034 points per month.</w:t>
      </w:r>
    </w:p>
    <w:p>
      <w:pPr>
        <w:pStyle w:val="ListBullet"/>
      </w:pPr>
      <w:r>
        <w:rPr>
          <w:b/>
        </w:rPr>
        <w:t>Significance:</w:t>
      </w:r>
      <w:r>
        <w:t xml:space="preserve"> the model describes and forecasts the </w:t>
      </w:r>
      <w:r>
        <w:rPr>
          <w:i/>
        </w:rPr>
        <w:t>level</w:t>
      </w:r>
      <w:r>
        <w:t xml:space="preserve"> of the score well. Because volume drives much of it, a volume-normalised target (average score per message) would better isolate tone, and is the natural next iteration.</w:t>
      </w:r>
    </w:p>
    <w:p>
      <w:r>
        <w:drawing>
          <wp:inline xmlns:a="http://schemas.openxmlformats.org/drawingml/2006/main" xmlns:pic="http://schemas.openxmlformats.org/drawingml/2006/picture">
            <wp:extent cx="3840480" cy="3931464"/>
            <wp:docPr id="7" name="Picture 7"/>
            <wp:cNvGraphicFramePr>
              <a:graphicFrameLocks noChangeAspect="1"/>
            </wp:cNvGraphicFramePr>
            <a:graphic>
              <a:graphicData uri="http://schemas.openxmlformats.org/drawingml/2006/picture">
                <pic:pic>
                  <pic:nvPicPr>
                    <pic:cNvPr id="0" name="11_model_pred_vs_actual.png"/>
                    <pic:cNvPicPr/>
                  </pic:nvPicPr>
                  <pic:blipFill>
                    <a:blip r:embed="rId15"/>
                    <a:stretch>
                      <a:fillRect/>
                    </a:stretch>
                  </pic:blipFill>
                  <pic:spPr>
                    <a:xfrm>
                      <a:off x="0" y="0"/>
                      <a:ext cx="3840480" cy="3931464"/>
                    </a:xfrm>
                    <a:prstGeom prst="rect"/>
                  </pic:spPr>
                </pic:pic>
              </a:graphicData>
            </a:graphic>
          </wp:inline>
        </w:drawing>
      </w:r>
    </w:p>
    <w:p>
      <w:r>
        <w:rPr>
          <w:i/>
          <w:sz w:val="18"/>
        </w:rPr>
        <w:t>Figure 7 — Predicted vs actual monthly score (test set).</w:t>
      </w:r>
    </w:p>
    <w:p>
      <w:r>
        <w:drawing>
          <wp:inline xmlns:a="http://schemas.openxmlformats.org/drawingml/2006/main" xmlns:pic="http://schemas.openxmlformats.org/drawingml/2006/picture">
            <wp:extent cx="4572000" cy="2538694"/>
            <wp:docPr id="8" name="Picture 8"/>
            <wp:cNvGraphicFramePr>
              <a:graphicFrameLocks noChangeAspect="1"/>
            </wp:cNvGraphicFramePr>
            <a:graphic>
              <a:graphicData uri="http://schemas.openxmlformats.org/drawingml/2006/picture">
                <pic:pic>
                  <pic:nvPicPr>
                    <pic:cNvPr id="0" name="13_model_coefficients.png"/>
                    <pic:cNvPicPr/>
                  </pic:nvPicPr>
                  <pic:blipFill>
                    <a:blip r:embed="rId16"/>
                    <a:stretch>
                      <a:fillRect/>
                    </a:stretch>
                  </pic:blipFill>
                  <pic:spPr>
                    <a:xfrm>
                      <a:off x="0" y="0"/>
                      <a:ext cx="4572000" cy="2538694"/>
                    </a:xfrm>
                    <a:prstGeom prst="rect"/>
                  </pic:spPr>
                </pic:pic>
              </a:graphicData>
            </a:graphic>
          </wp:inline>
        </w:drawing>
      </w:r>
    </w:p>
    <w:p>
      <w:r>
        <w:rPr>
          <w:i/>
          <w:sz w:val="18"/>
        </w:rPr>
        <w:t>Figure 8 — Standardised coefficients.</w:t>
      </w:r>
    </w:p>
    <w:p>
      <w:r>
        <w:drawing>
          <wp:inline xmlns:a="http://schemas.openxmlformats.org/drawingml/2006/main" xmlns:pic="http://schemas.openxmlformats.org/drawingml/2006/picture">
            <wp:extent cx="5760720" cy="2595444"/>
            <wp:docPr id="9" name="Picture 9"/>
            <wp:cNvGraphicFramePr>
              <a:graphicFrameLocks noChangeAspect="1"/>
            </wp:cNvGraphicFramePr>
            <a:graphic>
              <a:graphicData uri="http://schemas.openxmlformats.org/drawingml/2006/picture">
                <pic:pic>
                  <pic:nvPicPr>
                    <pic:cNvPr id="0" name="14_company_sentiment_trend.png"/>
                    <pic:cNvPicPr/>
                  </pic:nvPicPr>
                  <pic:blipFill>
                    <a:blip r:embed="rId17"/>
                    <a:stretch>
                      <a:fillRect/>
                    </a:stretch>
                  </pic:blipFill>
                  <pic:spPr>
                    <a:xfrm>
                      <a:off x="0" y="0"/>
                      <a:ext cx="5760720" cy="2595444"/>
                    </a:xfrm>
                    <a:prstGeom prst="rect"/>
                  </pic:spPr>
                </pic:pic>
              </a:graphicData>
            </a:graphic>
          </wp:inline>
        </w:drawing>
      </w:r>
    </w:p>
    <w:p>
      <w:r>
        <w:rPr>
          <w:i/>
          <w:sz w:val="18"/>
        </w:rPr>
        <w:t>Figure 9 — Company-wide sentiment trend.</w:t>
      </w:r>
    </w:p>
    <w:p>
      <w:pPr>
        <w:pStyle w:val="Heading1"/>
      </w:pPr>
      <w:r>
        <w:t>6. Conclusions and recommendations</w:t>
      </w:r>
    </w:p>
    <w:p>
      <w:pPr>
        <w:pStyle w:val="ListNumber"/>
      </w:pPr>
      <w:r>
        <w:t xml:space="preserve">Overall sentiment is mixed (23.7% positive). The risk signal comes from short </w:t>
      </w:r>
      <w:r>
        <w:rPr>
          <w:b/>
        </w:rPr>
        <w:t>bursts</w:t>
      </w:r>
      <w:r>
        <w:t xml:space="preserve"> of negativity rather than persistently negative employees.</w:t>
      </w:r>
    </w:p>
    <w:p>
      <w:pPr>
        <w:pStyle w:val="ListNumber"/>
      </w:pPr>
      <w:r>
        <w:t xml:space="preserve">Prioritise check-ins with </w:t>
      </w:r>
      <w:r>
        <w:rPr>
          <w:b/>
        </w:rPr>
        <w:t>john.arnold@enron.com</w:t>
      </w:r>
      <w:r>
        <w:t xml:space="preserve"> (strongest burst: 4 negatives in 30 days from 2010-06-06) and </w:t>
      </w:r>
      <w:r>
        <w:rPr>
          <w:b/>
        </w:rPr>
        <w:t>don.baughman@enron.com</w:t>
      </w:r>
      <w:r>
        <w:t xml:space="preserve"> (top-3 negative in 12 of 24 months).</w:t>
      </w:r>
    </w:p>
    <w:p>
      <w:pPr>
        <w:pStyle w:val="ListNumber"/>
      </w:pPr>
      <w:r>
        <w:t xml:space="preserve">Use the </w:t>
      </w:r>
      <w:r>
        <w:rPr>
          <w:b/>
        </w:rPr>
        <w:t>rolling-window</w:t>
      </w:r>
      <w:r>
        <w:t xml:space="preserve"> flag operationally. It catches 2 employee(s) a monthly report would miss.</w:t>
      </w:r>
    </w:p>
    <w:p>
      <w:pPr>
        <w:pStyle w:val="ListNumber"/>
      </w:pPr>
      <w:r>
        <w:t>Monthly scores are volume-driven. Report the average score per message alongside the sum, so quiet employees are not mislabelled as disengaged.</w:t>
      </w:r>
    </w:p>
    <w:p>
      <w:pPr>
        <w:pStyle w:val="ListNumber"/>
      </w:pPr>
      <w:r>
        <w:t>Review each flagged window's messages before acting: automated sentiment is a screening tool, not a verdict.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5CA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C5CA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