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Employee Sentiment Analysis — Final Report</w:t>
      </w:r>
    </w:p>
    <w:p>
      <w:r>
        <w:t>Dataset: test.csv — 2,191 employee e-mails from 10 employees, 2010-01-01 to 2011-12-31 (24 months). All numbers below are generated from data/processed/ by src/report.py.</w:t>
      </w:r>
    </w:p>
    <w:p>
      <w:pPr>
        <w:pStyle w:val="Heading1"/>
      </w:pPr>
      <w:r>
        <w:t>Executive summary</w:t>
      </w:r>
    </w:p>
    <w:p>
      <w:pPr>
        <w:pStyle w:val="ListBullet"/>
      </w:pPr>
      <w:r>
        <w:t>Sentiment is predominantly positive: 1,573 positive (72%), 445 neutral (20%), 173 negative (8%).</w:t>
      </w:r>
    </w:p>
    <w:p>
      <w:pPr>
        <w:pStyle w:val="ListBullet"/>
      </w:pPr>
      <w:r>
        <w:t>Latest month (2011-12) — top positive: eric.bass@enron.com (12), patti.thompson@enron.com (12), lydia.delgado@enron.com (10); top negative: johnny.palmer@enron.com (1), bobette.riner@ipgdirect.com (3), john.arnold@enron.com (4).</w:t>
      </w:r>
    </w:p>
    <w:p>
      <w:pPr>
        <w:pStyle w:val="ListBullet"/>
      </w:pPr>
      <w:r>
        <w:t>7 of 10 employees are flight risks (≥4 negative messages in a rolling 30-day window): sally.beck@enron.com, bobette.riner@ipgdirect.com, eric.bass@enron.com, john.arnold@enron.com, johnny.palmer@enron.com, kayne.coulter@enron.com, patti.thompson@enron.com.</w:t>
      </w:r>
    </w:p>
    <w:p>
      <w:pPr>
        <w:pStyle w:val="ListBullet"/>
      </w:pPr>
      <w:r>
        <w:t>Linear regression explains the monthly score well (test R² 0.82, MAE 1.37 vs baseline MAE 3.57); message volume is the dominant driver.</w:t>
      </w:r>
    </w:p>
    <w:p>
      <w:pPr>
        <w:pStyle w:val="ListBullet"/>
      </w:pPr>
      <w:r>
        <w:t>Company-wide average monthly score trends slightly upward (+0.045 per month).</w:t>
      </w:r>
    </w:p>
    <w:p>
      <w:pPr>
        <w:pStyle w:val="Heading1"/>
      </w:pPr>
      <w:r>
        <w:t>1. Approach and methodology</w:t>
      </w:r>
    </w:p>
    <w:p>
      <w:r>
        <w:t>The project is a reproducible Python pipeline. The main notebook (employee_sentiment_analysis.ipynb) runs every step; reusable logic lives in src/ and is covered by unit tests (tests/). run_pipeline.py regenerates every output from the raw CSV with one command.</w:t>
      </w:r>
    </w:p>
    <w:p>
      <w:pPr>
        <w:pStyle w:val="Heading2"/>
      </w:pPr>
      <w:r>
        <w:t>Data preparation</w:t>
      </w:r>
    </w:p>
    <w:p>
      <w:r>
        <w:t>E-mail bodies contain quoted-printable artifacts (=20, soft line breaks, control bytes). These are decoded and removed, together with forwarded/quoted history, URLs and e-mail addresses. The text analysed is the subject plus the cleaned body (so the 70 messages with an empty body are labeled from their subject). Dates are parsed to datetime and truncated to calendar months (YYYY-MM).</w:t>
      </w:r>
    </w:p>
    <w:p>
      <w:pPr>
        <w:pStyle w:val="Heading2"/>
      </w:pPr>
      <w:r>
        <w:t>Sentiment labeling (Task 1)</w:t>
      </w:r>
    </w:p>
    <w:p>
      <w:r>
        <w:t>src/sentiment.py exposes three interchangeable back-ends: VADER (default), a RoBERTa transformer, and an LLM (Anthropic or OpenAI, zero-shot prompt at temperature 0, cached per message). The reported results use VADER, because it is deterministic and runs offline, so any reviewer can reproduce them without API keys. The rule is: compound ≥ 0.05 → Positive, ≤ -0.05 → Negative, else Neutral. The limitation of a lexicon model is that it reads words, not intent: a few factual messages that contain words such as 'warning' or 'risk' are labeled Negative. Setting SENTIMENT_METHOD=llm in .env switches to the LLM labeler without any other code changes.</w:t>
      </w:r>
    </w:p>
    <w:p>
      <w:pPr>
        <w:pStyle w:val="Heading1"/>
      </w:pPr>
      <w:r>
        <w:t>2. Key findings from the EDA (Task 2)</w:t>
      </w:r>
    </w:p>
    <w:p>
      <w:pPr>
        <w:pStyle w:val="ListBullet"/>
      </w:pPr>
      <w:r>
        <w:t>2,191 rows × 4 text columns (Subject, body, date, from); no missing values; 0 fully duplicated rows.</w:t>
      </w:r>
    </w:p>
    <w:p>
      <w:pPr>
        <w:pStyle w:val="ListBullet"/>
      </w:pPr>
      <w:r>
        <w:t>10 employees, each active in all 24 months (240 employee-months).</w:t>
      </w:r>
    </w:p>
    <w:p>
      <w:pPr>
        <w:pStyle w:val="ListBullet"/>
      </w:pPr>
      <w:r>
        <w:t>Anomaly: monthly volume is almost constant (91–92 messages) and weekends are as busy as weekdays, which suggests the dates were assigned synthetically. Time-based conclusions should be read with caution.</w:t>
      </w:r>
    </w:p>
    <w:p>
      <w:pPr>
        <w:pStyle w:val="ListBullet"/>
      </w:pPr>
      <w:r>
        <w:t>Anomaly: 625 messages repeat an earlier subject + body on a different date. They are kept, because each row is a sent message.</w:t>
      </w:r>
    </w:p>
    <w:p>
      <w:pPr>
        <w:pStyle w:val="ListBullet"/>
      </w:pPr>
      <w:r>
        <w:t>Positive messages are the longest (median 35 words) and Neutral the shortest (median 9 words).</w:t>
      </w:r>
    </w:p>
    <w:p>
      <w:pPr>
        <w:pStyle w:val="ListBullet"/>
      </w:pPr>
      <w:r>
        <w:t>The positive share is stable over time; the mean message score rises from 0.62 (2010) to 0.66 (2011).</w:t>
      </w:r>
    </w:p>
    <w:p>
      <w:r>
        <w:drawing>
          <wp:inline xmlns:a="http://schemas.openxmlformats.org/drawingml/2006/main" xmlns:pic="http://schemas.openxmlformats.org/drawingml/2006/picture">
            <wp:extent cx="4389120" cy="2661488"/>
            <wp:docPr id="1" name="Picture 1"/>
            <wp:cNvGraphicFramePr>
              <a:graphicFrameLocks noChangeAspect="1"/>
            </wp:cNvGraphicFramePr>
            <a:graphic>
              <a:graphicData uri="http://schemas.openxmlformats.org/drawingml/2006/picture">
                <pic:pic>
                  <pic:nvPicPr>
                    <pic:cNvPr id="0" name="01_sentiment_distribution.png"/>
                    <pic:cNvPicPr/>
                  </pic:nvPicPr>
                  <pic:blipFill>
                    <a:blip r:embed="rId9"/>
                    <a:stretch>
                      <a:fillRect/>
                    </a:stretch>
                  </pic:blipFill>
                  <pic:spPr>
                    <a:xfrm>
                      <a:off x="0" y="0"/>
                      <a:ext cx="4389120" cy="2661488"/>
                    </a:xfrm>
                    <a:prstGeom prst="rect"/>
                  </pic:spPr>
                </pic:pic>
              </a:graphicData>
            </a:graphic>
          </wp:inline>
        </w:drawing>
      </w:r>
    </w:p>
    <w:p>
      <w:r>
        <w:rPr>
          <w:i/>
          <w:sz w:val="18"/>
        </w:rPr>
        <w:t>Figure 1 — Sentiment distribution.</w:t>
      </w:r>
    </w:p>
    <w:p>
      <w:r>
        <w:drawing>
          <wp:inline xmlns:a="http://schemas.openxmlformats.org/drawingml/2006/main" xmlns:pic="http://schemas.openxmlformats.org/drawingml/2006/picture">
            <wp:extent cx="5760720" cy="2859961"/>
            <wp:docPr id="2" name="Picture 2"/>
            <wp:cNvGraphicFramePr>
              <a:graphicFrameLocks noChangeAspect="1"/>
            </wp:cNvGraphicFramePr>
            <a:graphic>
              <a:graphicData uri="http://schemas.openxmlformats.org/drawingml/2006/picture">
                <pic:pic>
                  <pic:nvPicPr>
                    <pic:cNvPr id="0" name="03_sentiment_share_by_month.png"/>
                    <pic:cNvPicPr/>
                  </pic:nvPicPr>
                  <pic:blipFill>
                    <a:blip r:embed="rId10"/>
                    <a:stretch>
                      <a:fillRect/>
                    </a:stretch>
                  </pic:blipFill>
                  <pic:spPr>
                    <a:xfrm>
                      <a:off x="0" y="0"/>
                      <a:ext cx="5760720" cy="2859961"/>
                    </a:xfrm>
                    <a:prstGeom prst="rect"/>
                  </pic:spPr>
                </pic:pic>
              </a:graphicData>
            </a:graphic>
          </wp:inline>
        </w:drawing>
      </w:r>
    </w:p>
    <w:p>
      <w:r>
        <w:rPr>
          <w:i/>
          <w:sz w:val="18"/>
        </w:rPr>
        <w:t>Figure 2 — Share of sentiment by month.</w:t>
      </w:r>
    </w:p>
    <w:p>
      <w:r>
        <w:drawing>
          <wp:inline xmlns:a="http://schemas.openxmlformats.org/drawingml/2006/main" xmlns:pic="http://schemas.openxmlformats.org/drawingml/2006/picture">
            <wp:extent cx="5029200" cy="2930342"/>
            <wp:docPr id="3" name="Picture 3"/>
            <wp:cNvGraphicFramePr>
              <a:graphicFrameLocks noChangeAspect="1"/>
            </wp:cNvGraphicFramePr>
            <a:graphic>
              <a:graphicData uri="http://schemas.openxmlformats.org/drawingml/2006/picture">
                <pic:pic>
                  <pic:nvPicPr>
                    <pic:cNvPr id="0" name="04_messages_per_employee.png"/>
                    <pic:cNvPicPr/>
                  </pic:nvPicPr>
                  <pic:blipFill>
                    <a:blip r:embed="rId11"/>
                    <a:stretch>
                      <a:fillRect/>
                    </a:stretch>
                  </pic:blipFill>
                  <pic:spPr>
                    <a:xfrm>
                      <a:off x="0" y="0"/>
                      <a:ext cx="5029200" cy="2930342"/>
                    </a:xfrm>
                    <a:prstGeom prst="rect"/>
                  </pic:spPr>
                </pic:pic>
              </a:graphicData>
            </a:graphic>
          </wp:inline>
        </w:drawing>
      </w:r>
    </w:p>
    <w:p>
      <w:r>
        <w:rPr>
          <w:i/>
          <w:sz w:val="18"/>
        </w:rPr>
        <w:t>Figure 3 — Messages per employee by sentiment.</w:t>
      </w:r>
    </w:p>
    <w:p>
      <w:pPr>
        <w:pStyle w:val="Heading1"/>
      </w:pPr>
      <w:r>
        <w:t>3. Employee scoring and ranking (Tasks 3 &amp; 4)</w:t>
      </w:r>
    </w:p>
    <w:p>
      <w:r>
        <w:t>Each message scores Positive +1, Negative −1, Neutral 0. Scores are summed per employee per calendar month; each month is an independent group, so the score resets to 0 at the start of every month. Validation checks confirm that the monthly totals equal the per-message total and that score = positives − negatives. Monthly scores range from -1 to 20 (mean 5.8).</w:t>
      </w:r>
    </w:p>
    <w:p>
      <w:r>
        <w:t>Ranking: for each month, the top-3 positive list sorts by score descending and then employee name alphabetically. The top-3 negative list sorts by score ascending (most negative first) and then alphabetically. The full month-by-month table is in data/processed/monthly_rankings.csv.</w:t>
      </w:r>
    </w:p>
    <w:p>
      <w:r>
        <w:rPr>
          <w:b/>
        </w:rPr>
        <w:t>Table 1 — Rankings for the latest month (2011-12).</w:t>
      </w:r>
    </w:p>
    <w:tbl>
      <w:tblPr>
        <w:tblStyle w:val="TableGrid"/>
        <w:tblW w:type="auto" w:w="0"/>
        <w:jc w:val="center"/>
        <w:tblLayout w:type="fixed"/>
        <w:tblLook w:firstColumn="1" w:firstRow="1" w:lastColumn="0" w:lastRow="0" w:noHBand="0" w:noVBand="1" w:val="04A0"/>
      </w:tblPr>
      <w:tblGrid>
        <w:gridCol w:w="720"/>
        <w:gridCol w:w="3024"/>
        <w:gridCol w:w="1008"/>
        <w:gridCol w:w="3024"/>
        <w:gridCol w:w="1008"/>
      </w:tblGrid>
      <w:tr>
        <w:tc>
          <w:tcPr>
            <w:tcW w:type="dxa" w:w="720"/>
            <w:shd w:val="clear" w:color="auto" w:fill="DCE8F7"/>
          </w:tcPr>
          <w:p>
            <w:r/>
            <w:r>
              <w:rPr>
                <w:b/>
                <w:sz w:val="19"/>
              </w:rPr>
              <w:t>Rank</w:t>
            </w:r>
          </w:p>
        </w:tc>
        <w:tc>
          <w:tcPr>
            <w:tcW w:type="dxa" w:w="3024"/>
            <w:shd w:val="clear" w:color="auto" w:fill="DCE8F7"/>
          </w:tcPr>
          <w:p>
            <w:r/>
            <w:r>
              <w:rPr>
                <w:b/>
                <w:sz w:val="19"/>
              </w:rPr>
              <w:t>Top positive</w:t>
            </w:r>
          </w:p>
        </w:tc>
        <w:tc>
          <w:tcPr>
            <w:tcW w:type="dxa" w:w="1008"/>
            <w:shd w:val="clear" w:color="auto" w:fill="DCE8F7"/>
          </w:tcPr>
          <w:p>
            <w:r/>
            <w:r>
              <w:rPr>
                <w:b/>
                <w:sz w:val="19"/>
              </w:rPr>
              <w:t>Score (+)</w:t>
            </w:r>
          </w:p>
        </w:tc>
        <w:tc>
          <w:tcPr>
            <w:tcW w:type="dxa" w:w="3024"/>
            <w:shd w:val="clear" w:color="auto" w:fill="DCE8F7"/>
          </w:tcPr>
          <w:p>
            <w:r/>
            <w:r>
              <w:rPr>
                <w:b/>
                <w:sz w:val="19"/>
              </w:rPr>
              <w:t>Top negative</w:t>
            </w:r>
          </w:p>
        </w:tc>
        <w:tc>
          <w:tcPr>
            <w:tcW w:type="dxa" w:w="1008"/>
            <w:shd w:val="clear" w:color="auto" w:fill="DCE8F7"/>
          </w:tcPr>
          <w:p>
            <w:r/>
            <w:r>
              <w:rPr>
                <w:b/>
                <w:sz w:val="19"/>
              </w:rPr>
              <w:t>Score (−)</w:t>
            </w:r>
          </w:p>
        </w:tc>
      </w:tr>
      <w:tr>
        <w:tc>
          <w:tcPr>
            <w:tcW w:type="dxa" w:w="720"/>
          </w:tcPr>
          <w:p>
            <w:r/>
            <w:r>
              <w:rPr>
                <w:sz w:val="19"/>
              </w:rPr>
              <w:t>1</w:t>
            </w:r>
          </w:p>
        </w:tc>
        <w:tc>
          <w:tcPr>
            <w:tcW w:type="dxa" w:w="3024"/>
          </w:tcPr>
          <w:p>
            <w:r/>
            <w:r>
              <w:rPr>
                <w:sz w:val="19"/>
              </w:rPr>
              <w:t>eric.bass@enron.com</w:t>
            </w:r>
          </w:p>
        </w:tc>
        <w:tc>
          <w:tcPr>
            <w:tcW w:type="dxa" w:w="1008"/>
          </w:tcPr>
          <w:p>
            <w:r/>
            <w:r>
              <w:rPr>
                <w:sz w:val="19"/>
              </w:rPr>
              <w:t>12</w:t>
            </w:r>
          </w:p>
        </w:tc>
        <w:tc>
          <w:tcPr>
            <w:tcW w:type="dxa" w:w="3024"/>
          </w:tcPr>
          <w:p>
            <w:r/>
            <w:r>
              <w:rPr>
                <w:sz w:val="19"/>
              </w:rPr>
              <w:t>johnny.palmer@enron.com</w:t>
            </w:r>
          </w:p>
        </w:tc>
        <w:tc>
          <w:tcPr>
            <w:tcW w:type="dxa" w:w="1008"/>
          </w:tcPr>
          <w:p>
            <w:r/>
            <w:r>
              <w:rPr>
                <w:sz w:val="19"/>
              </w:rPr>
              <w:t>1</w:t>
            </w:r>
          </w:p>
        </w:tc>
      </w:tr>
      <w:tr>
        <w:tc>
          <w:tcPr>
            <w:tcW w:type="dxa" w:w="720"/>
          </w:tcPr>
          <w:p>
            <w:r/>
            <w:r>
              <w:rPr>
                <w:sz w:val="19"/>
              </w:rPr>
              <w:t>2</w:t>
            </w:r>
          </w:p>
        </w:tc>
        <w:tc>
          <w:tcPr>
            <w:tcW w:type="dxa" w:w="3024"/>
          </w:tcPr>
          <w:p>
            <w:r/>
            <w:r>
              <w:rPr>
                <w:sz w:val="19"/>
              </w:rPr>
              <w:t>patti.thompson@enron.com</w:t>
            </w:r>
          </w:p>
        </w:tc>
        <w:tc>
          <w:tcPr>
            <w:tcW w:type="dxa" w:w="1008"/>
          </w:tcPr>
          <w:p>
            <w:r/>
            <w:r>
              <w:rPr>
                <w:sz w:val="19"/>
              </w:rPr>
              <w:t>12</w:t>
            </w:r>
          </w:p>
        </w:tc>
        <w:tc>
          <w:tcPr>
            <w:tcW w:type="dxa" w:w="3024"/>
          </w:tcPr>
          <w:p>
            <w:r/>
            <w:r>
              <w:rPr>
                <w:sz w:val="19"/>
              </w:rPr>
              <w:t>bobette.riner@ipgdirect.com</w:t>
            </w:r>
          </w:p>
        </w:tc>
        <w:tc>
          <w:tcPr>
            <w:tcW w:type="dxa" w:w="1008"/>
          </w:tcPr>
          <w:p>
            <w:r/>
            <w:r>
              <w:rPr>
                <w:sz w:val="19"/>
              </w:rPr>
              <w:t>3</w:t>
            </w:r>
          </w:p>
        </w:tc>
      </w:tr>
      <w:tr>
        <w:tc>
          <w:tcPr>
            <w:tcW w:type="dxa" w:w="720"/>
          </w:tcPr>
          <w:p>
            <w:r/>
            <w:r>
              <w:rPr>
                <w:sz w:val="19"/>
              </w:rPr>
              <w:t>3</w:t>
            </w:r>
          </w:p>
        </w:tc>
        <w:tc>
          <w:tcPr>
            <w:tcW w:type="dxa" w:w="3024"/>
          </w:tcPr>
          <w:p>
            <w:r/>
            <w:r>
              <w:rPr>
                <w:sz w:val="19"/>
              </w:rPr>
              <w:t>lydia.delgado@enron.com</w:t>
            </w:r>
          </w:p>
        </w:tc>
        <w:tc>
          <w:tcPr>
            <w:tcW w:type="dxa" w:w="1008"/>
          </w:tcPr>
          <w:p>
            <w:r/>
            <w:r>
              <w:rPr>
                <w:sz w:val="19"/>
              </w:rPr>
              <w:t>10</w:t>
            </w:r>
          </w:p>
        </w:tc>
        <w:tc>
          <w:tcPr>
            <w:tcW w:type="dxa" w:w="3024"/>
          </w:tcPr>
          <w:p>
            <w:r/>
            <w:r>
              <w:rPr>
                <w:sz w:val="19"/>
              </w:rPr>
              <w:t>john.arnold@enron.com</w:t>
            </w:r>
          </w:p>
        </w:tc>
        <w:tc>
          <w:tcPr>
            <w:tcW w:type="dxa" w:w="1008"/>
          </w:tcPr>
          <w:p>
            <w:r/>
            <w:r>
              <w:rPr>
                <w:sz w:val="19"/>
              </w:rPr>
              <w:t>4</w:t>
            </w:r>
          </w:p>
        </w:tc>
      </w:tr>
    </w:tbl>
    <w:p/>
    <w:p>
      <w:r>
        <w:rPr>
          <w:b/>
        </w:rPr>
        <w:t>Table 2 — How often each employee appears in the monthly top-3 lists (24 months).</w:t>
      </w:r>
    </w:p>
    <w:tbl>
      <w:tblPr>
        <w:tblStyle w:val="TableGrid"/>
        <w:tblW w:type="auto" w:w="0"/>
        <w:jc w:val="center"/>
        <w:tblLayout w:type="fixed"/>
        <w:tblLook w:firstColumn="1" w:firstRow="1" w:lastColumn="0" w:lastRow="0" w:noHBand="0" w:noVBand="1" w:val="04A0"/>
      </w:tblPr>
      <w:tblGrid>
        <w:gridCol w:w="3744"/>
        <w:gridCol w:w="2592"/>
        <w:gridCol w:w="2592"/>
      </w:tblGrid>
      <w:tr>
        <w:tc>
          <w:tcPr>
            <w:tcW w:type="dxa" w:w="3744"/>
            <w:shd w:val="clear" w:color="auto" w:fill="DCE8F7"/>
          </w:tcPr>
          <w:p>
            <w:r/>
            <w:r>
              <w:rPr>
                <w:b/>
                <w:sz w:val="19"/>
              </w:rPr>
              <w:t>Employee</w:t>
            </w:r>
          </w:p>
        </w:tc>
        <w:tc>
          <w:tcPr>
            <w:tcW w:type="dxa" w:w="2592"/>
            <w:shd w:val="clear" w:color="auto" w:fill="DCE8F7"/>
          </w:tcPr>
          <w:p>
            <w:r/>
            <w:r>
              <w:rPr>
                <w:b/>
                <w:sz w:val="19"/>
              </w:rPr>
              <w:t>Months in top-3 positive</w:t>
            </w:r>
          </w:p>
        </w:tc>
        <w:tc>
          <w:tcPr>
            <w:tcW w:type="dxa" w:w="2592"/>
            <w:shd w:val="clear" w:color="auto" w:fill="DCE8F7"/>
          </w:tcPr>
          <w:p>
            <w:r/>
            <w:r>
              <w:rPr>
                <w:b/>
                <w:sz w:val="19"/>
              </w:rPr>
              <w:t>Months in top-3 negative</w:t>
            </w:r>
          </w:p>
        </w:tc>
      </w:tr>
      <w:tr>
        <w:tc>
          <w:tcPr>
            <w:tcW w:type="dxa" w:w="3744"/>
          </w:tcPr>
          <w:p>
            <w:r/>
            <w:r>
              <w:rPr>
                <w:sz w:val="19"/>
              </w:rPr>
              <w:t>john.arnold@enron.com</w:t>
            </w:r>
          </w:p>
        </w:tc>
        <w:tc>
          <w:tcPr>
            <w:tcW w:type="dxa" w:w="2592"/>
          </w:tcPr>
          <w:p>
            <w:r/>
            <w:r>
              <w:rPr>
                <w:sz w:val="19"/>
              </w:rPr>
              <w:t>13</w:t>
            </w:r>
          </w:p>
        </w:tc>
        <w:tc>
          <w:tcPr>
            <w:tcW w:type="dxa" w:w="2592"/>
          </w:tcPr>
          <w:p>
            <w:r/>
            <w:r>
              <w:rPr>
                <w:sz w:val="19"/>
              </w:rPr>
              <w:t>5</w:t>
            </w:r>
          </w:p>
        </w:tc>
      </w:tr>
      <w:tr>
        <w:tc>
          <w:tcPr>
            <w:tcW w:type="dxa" w:w="3744"/>
          </w:tcPr>
          <w:p>
            <w:r/>
            <w:r>
              <w:rPr>
                <w:sz w:val="19"/>
              </w:rPr>
              <w:t>lydia.delgado@enron.com</w:t>
            </w:r>
          </w:p>
        </w:tc>
        <w:tc>
          <w:tcPr>
            <w:tcW w:type="dxa" w:w="2592"/>
          </w:tcPr>
          <w:p>
            <w:r/>
            <w:r>
              <w:rPr>
                <w:sz w:val="19"/>
              </w:rPr>
              <w:t>10</w:t>
            </w:r>
          </w:p>
        </w:tc>
        <w:tc>
          <w:tcPr>
            <w:tcW w:type="dxa" w:w="2592"/>
          </w:tcPr>
          <w:p>
            <w:r/>
            <w:r>
              <w:rPr>
                <w:sz w:val="19"/>
              </w:rPr>
              <w:t>4</w:t>
            </w:r>
          </w:p>
        </w:tc>
      </w:tr>
      <w:tr>
        <w:tc>
          <w:tcPr>
            <w:tcW w:type="dxa" w:w="3744"/>
          </w:tcPr>
          <w:p>
            <w:r/>
            <w:r>
              <w:rPr>
                <w:sz w:val="19"/>
              </w:rPr>
              <w:t>eric.bass@enron.com</w:t>
            </w:r>
          </w:p>
        </w:tc>
        <w:tc>
          <w:tcPr>
            <w:tcW w:type="dxa" w:w="2592"/>
          </w:tcPr>
          <w:p>
            <w:r/>
            <w:r>
              <w:rPr>
                <w:sz w:val="19"/>
              </w:rPr>
              <w:t>9</w:t>
            </w:r>
          </w:p>
        </w:tc>
        <w:tc>
          <w:tcPr>
            <w:tcW w:type="dxa" w:w="2592"/>
          </w:tcPr>
          <w:p>
            <w:r/>
            <w:r>
              <w:rPr>
                <w:sz w:val="19"/>
              </w:rPr>
              <w:t>8</w:t>
            </w:r>
          </w:p>
        </w:tc>
      </w:tr>
      <w:tr>
        <w:tc>
          <w:tcPr>
            <w:tcW w:type="dxa" w:w="3744"/>
          </w:tcPr>
          <w:p>
            <w:r/>
            <w:r>
              <w:rPr>
                <w:sz w:val="19"/>
              </w:rPr>
              <w:t>don.baughman@enron.com</w:t>
            </w:r>
          </w:p>
        </w:tc>
        <w:tc>
          <w:tcPr>
            <w:tcW w:type="dxa" w:w="2592"/>
          </w:tcPr>
          <w:p>
            <w:r/>
            <w:r>
              <w:rPr>
                <w:sz w:val="19"/>
              </w:rPr>
              <w:t>8</w:t>
            </w:r>
          </w:p>
        </w:tc>
        <w:tc>
          <w:tcPr>
            <w:tcW w:type="dxa" w:w="2592"/>
          </w:tcPr>
          <w:p>
            <w:r/>
            <w:r>
              <w:rPr>
                <w:sz w:val="19"/>
              </w:rPr>
              <w:t>11</w:t>
            </w:r>
          </w:p>
        </w:tc>
      </w:tr>
      <w:tr>
        <w:tc>
          <w:tcPr>
            <w:tcW w:type="dxa" w:w="3744"/>
          </w:tcPr>
          <w:p>
            <w:r/>
            <w:r>
              <w:rPr>
                <w:sz w:val="19"/>
              </w:rPr>
              <w:t>patti.thompson@enron.com</w:t>
            </w:r>
          </w:p>
        </w:tc>
        <w:tc>
          <w:tcPr>
            <w:tcW w:type="dxa" w:w="2592"/>
          </w:tcPr>
          <w:p>
            <w:r/>
            <w:r>
              <w:rPr>
                <w:sz w:val="19"/>
              </w:rPr>
              <w:t>8</w:t>
            </w:r>
          </w:p>
        </w:tc>
        <w:tc>
          <w:tcPr>
            <w:tcW w:type="dxa" w:w="2592"/>
          </w:tcPr>
          <w:p>
            <w:r/>
            <w:r>
              <w:rPr>
                <w:sz w:val="19"/>
              </w:rPr>
              <w:t>5</w:t>
            </w:r>
          </w:p>
        </w:tc>
      </w:tr>
      <w:tr>
        <w:tc>
          <w:tcPr>
            <w:tcW w:type="dxa" w:w="3744"/>
          </w:tcPr>
          <w:p>
            <w:r/>
            <w:r>
              <w:rPr>
                <w:sz w:val="19"/>
              </w:rPr>
              <w:t>bobette.riner@ipgdirect.com</w:t>
            </w:r>
          </w:p>
        </w:tc>
        <w:tc>
          <w:tcPr>
            <w:tcW w:type="dxa" w:w="2592"/>
          </w:tcPr>
          <w:p>
            <w:r/>
            <w:r>
              <w:rPr>
                <w:sz w:val="19"/>
              </w:rPr>
              <w:t>7</w:t>
            </w:r>
          </w:p>
        </w:tc>
        <w:tc>
          <w:tcPr>
            <w:tcW w:type="dxa" w:w="2592"/>
          </w:tcPr>
          <w:p>
            <w:r/>
            <w:r>
              <w:rPr>
                <w:sz w:val="19"/>
              </w:rPr>
              <w:t>9</w:t>
            </w:r>
          </w:p>
        </w:tc>
      </w:tr>
      <w:tr>
        <w:tc>
          <w:tcPr>
            <w:tcW w:type="dxa" w:w="3744"/>
          </w:tcPr>
          <w:p>
            <w:r/>
            <w:r>
              <w:rPr>
                <w:sz w:val="19"/>
              </w:rPr>
              <w:t>johnny.palmer@enron.com</w:t>
            </w:r>
          </w:p>
        </w:tc>
        <w:tc>
          <w:tcPr>
            <w:tcW w:type="dxa" w:w="2592"/>
          </w:tcPr>
          <w:p>
            <w:r/>
            <w:r>
              <w:rPr>
                <w:sz w:val="19"/>
              </w:rPr>
              <w:t>5</w:t>
            </w:r>
          </w:p>
        </w:tc>
        <w:tc>
          <w:tcPr>
            <w:tcW w:type="dxa" w:w="2592"/>
          </w:tcPr>
          <w:p>
            <w:r/>
            <w:r>
              <w:rPr>
                <w:sz w:val="19"/>
              </w:rPr>
              <w:t>7</w:t>
            </w:r>
          </w:p>
        </w:tc>
      </w:tr>
      <w:tr>
        <w:tc>
          <w:tcPr>
            <w:tcW w:type="dxa" w:w="3744"/>
          </w:tcPr>
          <w:p>
            <w:r/>
            <w:r>
              <w:rPr>
                <w:sz w:val="19"/>
              </w:rPr>
              <w:t>kayne.coulter@enron.com</w:t>
            </w:r>
          </w:p>
        </w:tc>
        <w:tc>
          <w:tcPr>
            <w:tcW w:type="dxa" w:w="2592"/>
          </w:tcPr>
          <w:p>
            <w:r/>
            <w:r>
              <w:rPr>
                <w:sz w:val="19"/>
              </w:rPr>
              <w:t>4</w:t>
            </w:r>
          </w:p>
        </w:tc>
        <w:tc>
          <w:tcPr>
            <w:tcW w:type="dxa" w:w="2592"/>
          </w:tcPr>
          <w:p>
            <w:r/>
            <w:r>
              <w:rPr>
                <w:sz w:val="19"/>
              </w:rPr>
              <w:t>11</w:t>
            </w:r>
          </w:p>
        </w:tc>
      </w:tr>
      <w:tr>
        <w:tc>
          <w:tcPr>
            <w:tcW w:type="dxa" w:w="3744"/>
          </w:tcPr>
          <w:p>
            <w:r/>
            <w:r>
              <w:rPr>
                <w:sz w:val="19"/>
              </w:rPr>
              <w:t>rhonda.denton@enron.com</w:t>
            </w:r>
          </w:p>
        </w:tc>
        <w:tc>
          <w:tcPr>
            <w:tcW w:type="dxa" w:w="2592"/>
          </w:tcPr>
          <w:p>
            <w:r/>
            <w:r>
              <w:rPr>
                <w:sz w:val="19"/>
              </w:rPr>
              <w:t>4</w:t>
            </w:r>
          </w:p>
        </w:tc>
        <w:tc>
          <w:tcPr>
            <w:tcW w:type="dxa" w:w="2592"/>
          </w:tcPr>
          <w:p>
            <w:r/>
            <w:r>
              <w:rPr>
                <w:sz w:val="19"/>
              </w:rPr>
              <w:t>7</w:t>
            </w:r>
          </w:p>
        </w:tc>
      </w:tr>
      <w:tr>
        <w:tc>
          <w:tcPr>
            <w:tcW w:type="dxa" w:w="3744"/>
          </w:tcPr>
          <w:p>
            <w:r/>
            <w:r>
              <w:rPr>
                <w:sz w:val="19"/>
              </w:rPr>
              <w:t>sally.beck@enron.com</w:t>
            </w:r>
          </w:p>
        </w:tc>
        <w:tc>
          <w:tcPr>
            <w:tcW w:type="dxa" w:w="2592"/>
          </w:tcPr>
          <w:p>
            <w:r/>
            <w:r>
              <w:rPr>
                <w:sz w:val="19"/>
              </w:rPr>
              <w:t>4</w:t>
            </w:r>
          </w:p>
        </w:tc>
        <w:tc>
          <w:tcPr>
            <w:tcW w:type="dxa" w:w="2592"/>
          </w:tcPr>
          <w:p>
            <w:r/>
            <w:r>
              <w:rPr>
                <w:sz w:val="19"/>
              </w:rPr>
              <w:t>5</w:t>
            </w:r>
          </w:p>
        </w:tc>
      </w:tr>
    </w:tbl>
    <w:p/>
    <w:p>
      <w:r>
        <w:drawing>
          <wp:inline xmlns:a="http://schemas.openxmlformats.org/drawingml/2006/main" xmlns:pic="http://schemas.openxmlformats.org/drawingml/2006/picture">
            <wp:extent cx="5760720" cy="2543494"/>
            <wp:docPr id="4" name="Picture 4"/>
            <wp:cNvGraphicFramePr>
              <a:graphicFrameLocks noChangeAspect="1"/>
            </wp:cNvGraphicFramePr>
            <a:graphic>
              <a:graphicData uri="http://schemas.openxmlformats.org/drawingml/2006/picture">
                <pic:pic>
                  <pic:nvPicPr>
                    <pic:cNvPr id="0" name="07_monthly_score_heatmap.png"/>
                    <pic:cNvPicPr/>
                  </pic:nvPicPr>
                  <pic:blipFill>
                    <a:blip r:embed="rId12"/>
                    <a:stretch>
                      <a:fillRect/>
                    </a:stretch>
                  </pic:blipFill>
                  <pic:spPr>
                    <a:xfrm>
                      <a:off x="0" y="0"/>
                      <a:ext cx="5760720" cy="2543494"/>
                    </a:xfrm>
                    <a:prstGeom prst="rect"/>
                  </pic:spPr>
                </pic:pic>
              </a:graphicData>
            </a:graphic>
          </wp:inline>
        </w:drawing>
      </w:r>
    </w:p>
    <w:p>
      <w:r>
        <w:rPr>
          <w:i/>
          <w:sz w:val="18"/>
        </w:rPr>
        <w:t>Figure 4 — Monthly score per employee.</w:t>
      </w:r>
    </w:p>
    <w:p>
      <w:r>
        <w:drawing>
          <wp:inline xmlns:a="http://schemas.openxmlformats.org/drawingml/2006/main" xmlns:pic="http://schemas.openxmlformats.org/drawingml/2006/picture">
            <wp:extent cx="5760720" cy="2189312"/>
            <wp:docPr id="5" name="Picture 5"/>
            <wp:cNvGraphicFramePr>
              <a:graphicFrameLocks noChangeAspect="1"/>
            </wp:cNvGraphicFramePr>
            <a:graphic>
              <a:graphicData uri="http://schemas.openxmlformats.org/drawingml/2006/picture">
                <pic:pic>
                  <pic:nvPicPr>
                    <pic:cNvPr id="0" name="08_ranking_frequency.png"/>
                    <pic:cNvPicPr/>
                  </pic:nvPicPr>
                  <pic:blipFill>
                    <a:blip r:embed="rId13"/>
                    <a:stretch>
                      <a:fillRect/>
                    </a:stretch>
                  </pic:blipFill>
                  <pic:spPr>
                    <a:xfrm>
                      <a:off x="0" y="0"/>
                      <a:ext cx="5760720" cy="2189312"/>
                    </a:xfrm>
                    <a:prstGeom prst="rect"/>
                  </pic:spPr>
                </pic:pic>
              </a:graphicData>
            </a:graphic>
          </wp:inline>
        </w:drawing>
      </w:r>
    </w:p>
    <w:p>
      <w:r>
        <w:rPr>
          <w:i/>
          <w:sz w:val="18"/>
        </w:rPr>
        <w:t>Figure 5 — Months in the top-3 lists.</w:t>
      </w:r>
    </w:p>
    <w:p>
      <w:pPr>
        <w:pStyle w:val="Heading1"/>
      </w:pPr>
      <w:r>
        <w:t>4. Flight risk identification (Task 5)</w:t>
      </w:r>
    </w:p>
    <w:p>
      <w:r>
        <w:t>Criterion: 4 or more Negative messages within any rolling 30-day period, irrespective of calendar month or score. For each employee, the negative-message dates are sorted and a window is slid over them. The employee is flagged if four consecutive negatives fall within days d to d+29. Unit tests cover month-straddling windows and the exact 30-day boundary.</w:t>
      </w:r>
    </w:p>
    <w:p>
      <w:r>
        <w:rPr>
          <w:b/>
        </w:rPr>
        <w:t>Table 3 — 7 flagged employees.</w:t>
      </w:r>
    </w:p>
    <w:tbl>
      <w:tblPr>
        <w:tblStyle w:val="TableGrid"/>
        <w:tblW w:type="auto" w:w="0"/>
        <w:jc w:val="center"/>
        <w:tblLayout w:type="fixed"/>
        <w:tblLook w:firstColumn="1" w:firstRow="1" w:lastColumn="0" w:lastRow="0" w:noHBand="0" w:noVBand="1" w:val="04A0"/>
      </w:tblPr>
      <w:tblGrid>
        <w:gridCol w:w="3744"/>
        <w:gridCol w:w="1584"/>
        <w:gridCol w:w="1728"/>
        <w:gridCol w:w="1152"/>
        <w:gridCol w:w="1296"/>
      </w:tblGrid>
      <w:tr>
        <w:tc>
          <w:tcPr>
            <w:tcW w:type="dxa" w:w="3744"/>
            <w:shd w:val="clear" w:color="auto" w:fill="DCE8F7"/>
          </w:tcPr>
          <w:p>
            <w:r/>
            <w:r>
              <w:rPr>
                <w:b/>
                <w:sz w:val="19"/>
              </w:rPr>
              <w:t>Employee</w:t>
            </w:r>
          </w:p>
        </w:tc>
        <w:tc>
          <w:tcPr>
            <w:tcW w:type="dxa" w:w="1584"/>
            <w:shd w:val="clear" w:color="auto" w:fill="DCE8F7"/>
          </w:tcPr>
          <w:p>
            <w:r/>
            <w:r>
              <w:rPr>
                <w:b/>
                <w:sz w:val="19"/>
              </w:rPr>
              <w:t>Max negatives in 30 days</w:t>
            </w:r>
          </w:p>
        </w:tc>
        <w:tc>
          <w:tcPr>
            <w:tcW w:type="dxa" w:w="1728"/>
            <w:shd w:val="clear" w:color="auto" w:fill="DCE8F7"/>
          </w:tcPr>
          <w:p>
            <w:r/>
            <w:r>
              <w:rPr>
                <w:b/>
                <w:sz w:val="19"/>
              </w:rPr>
              <w:t>First window start</w:t>
            </w:r>
          </w:p>
        </w:tc>
        <w:tc>
          <w:tcPr>
            <w:tcW w:type="dxa" w:w="1152"/>
            <w:shd w:val="clear" w:color="auto" w:fill="DCE8F7"/>
          </w:tcPr>
          <w:p>
            <w:r/>
            <w:r>
              <w:rPr>
                <w:b/>
                <w:sz w:val="19"/>
              </w:rPr>
              <w:t>Windows</w:t>
            </w:r>
          </w:p>
        </w:tc>
        <w:tc>
          <w:tcPr>
            <w:tcW w:type="dxa" w:w="1296"/>
            <w:shd w:val="clear" w:color="auto" w:fill="DCE8F7"/>
          </w:tcPr>
          <w:p>
            <w:r/>
            <w:r>
              <w:rPr>
                <w:b/>
                <w:sz w:val="19"/>
              </w:rPr>
              <w:t>Total negatives</w:t>
            </w:r>
          </w:p>
        </w:tc>
      </w:tr>
      <w:tr>
        <w:tc>
          <w:tcPr>
            <w:tcW w:type="dxa" w:w="3744"/>
          </w:tcPr>
          <w:p>
            <w:r/>
            <w:r>
              <w:rPr>
                <w:sz w:val="19"/>
              </w:rPr>
              <w:t>sally.beck@enron.com</w:t>
            </w:r>
          </w:p>
        </w:tc>
        <w:tc>
          <w:tcPr>
            <w:tcW w:type="dxa" w:w="1584"/>
          </w:tcPr>
          <w:p>
            <w:r/>
            <w:r>
              <w:rPr>
                <w:sz w:val="19"/>
              </w:rPr>
              <w:t>5</w:t>
            </w:r>
          </w:p>
        </w:tc>
        <w:tc>
          <w:tcPr>
            <w:tcW w:type="dxa" w:w="1728"/>
          </w:tcPr>
          <w:p>
            <w:r/>
            <w:r>
              <w:rPr>
                <w:sz w:val="19"/>
              </w:rPr>
              <w:t>2011-08-06</w:t>
            </w:r>
          </w:p>
        </w:tc>
        <w:tc>
          <w:tcPr>
            <w:tcW w:type="dxa" w:w="1152"/>
          </w:tcPr>
          <w:p>
            <w:r/>
            <w:r>
              <w:rPr>
                <w:sz w:val="19"/>
              </w:rPr>
              <w:t>2</w:t>
            </w:r>
          </w:p>
        </w:tc>
        <w:tc>
          <w:tcPr>
            <w:tcW w:type="dxa" w:w="1296"/>
          </w:tcPr>
          <w:p>
            <w:r/>
            <w:r>
              <w:rPr>
                <w:sz w:val="19"/>
              </w:rPr>
              <w:t>25</w:t>
            </w:r>
          </w:p>
        </w:tc>
      </w:tr>
      <w:tr>
        <w:tc>
          <w:tcPr>
            <w:tcW w:type="dxa" w:w="3744"/>
          </w:tcPr>
          <w:p>
            <w:r/>
            <w:r>
              <w:rPr>
                <w:sz w:val="19"/>
              </w:rPr>
              <w:t>bobette.riner@ipgdirect.com</w:t>
            </w:r>
          </w:p>
        </w:tc>
        <w:tc>
          <w:tcPr>
            <w:tcW w:type="dxa" w:w="1584"/>
          </w:tcPr>
          <w:p>
            <w:r/>
            <w:r>
              <w:rPr>
                <w:sz w:val="19"/>
              </w:rPr>
              <w:t>4</w:t>
            </w:r>
          </w:p>
        </w:tc>
        <w:tc>
          <w:tcPr>
            <w:tcW w:type="dxa" w:w="1728"/>
          </w:tcPr>
          <w:p>
            <w:r/>
            <w:r>
              <w:rPr>
                <w:sz w:val="19"/>
              </w:rPr>
              <w:t>2011-03-26</w:t>
            </w:r>
          </w:p>
        </w:tc>
        <w:tc>
          <w:tcPr>
            <w:tcW w:type="dxa" w:w="1152"/>
          </w:tcPr>
          <w:p>
            <w:r/>
            <w:r>
              <w:rPr>
                <w:sz w:val="19"/>
              </w:rPr>
              <w:t>1</w:t>
            </w:r>
          </w:p>
        </w:tc>
        <w:tc>
          <w:tcPr>
            <w:tcW w:type="dxa" w:w="1296"/>
          </w:tcPr>
          <w:p>
            <w:r/>
            <w:r>
              <w:rPr>
                <w:sz w:val="19"/>
              </w:rPr>
              <w:t>23</w:t>
            </w:r>
          </w:p>
        </w:tc>
      </w:tr>
      <w:tr>
        <w:tc>
          <w:tcPr>
            <w:tcW w:type="dxa" w:w="3744"/>
          </w:tcPr>
          <w:p>
            <w:r/>
            <w:r>
              <w:rPr>
                <w:sz w:val="19"/>
              </w:rPr>
              <w:t>eric.bass@enron.com</w:t>
            </w:r>
          </w:p>
        </w:tc>
        <w:tc>
          <w:tcPr>
            <w:tcW w:type="dxa" w:w="1584"/>
          </w:tcPr>
          <w:p>
            <w:r/>
            <w:r>
              <w:rPr>
                <w:sz w:val="19"/>
              </w:rPr>
              <w:t>4</w:t>
            </w:r>
          </w:p>
        </w:tc>
        <w:tc>
          <w:tcPr>
            <w:tcW w:type="dxa" w:w="1728"/>
          </w:tcPr>
          <w:p>
            <w:r/>
            <w:r>
              <w:rPr>
                <w:sz w:val="19"/>
              </w:rPr>
              <w:t>2011-04-22</w:t>
            </w:r>
          </w:p>
        </w:tc>
        <w:tc>
          <w:tcPr>
            <w:tcW w:type="dxa" w:w="1152"/>
          </w:tcPr>
          <w:p>
            <w:r/>
            <w:r>
              <w:rPr>
                <w:sz w:val="19"/>
              </w:rPr>
              <w:t>2</w:t>
            </w:r>
          </w:p>
        </w:tc>
        <w:tc>
          <w:tcPr>
            <w:tcW w:type="dxa" w:w="1296"/>
          </w:tcPr>
          <w:p>
            <w:r/>
            <w:r>
              <w:rPr>
                <w:sz w:val="19"/>
              </w:rPr>
              <w:t>15</w:t>
            </w:r>
          </w:p>
        </w:tc>
      </w:tr>
      <w:tr>
        <w:tc>
          <w:tcPr>
            <w:tcW w:type="dxa" w:w="3744"/>
          </w:tcPr>
          <w:p>
            <w:r/>
            <w:r>
              <w:rPr>
                <w:sz w:val="19"/>
              </w:rPr>
              <w:t>john.arnold@enron.com</w:t>
            </w:r>
          </w:p>
        </w:tc>
        <w:tc>
          <w:tcPr>
            <w:tcW w:type="dxa" w:w="1584"/>
          </w:tcPr>
          <w:p>
            <w:r/>
            <w:r>
              <w:rPr>
                <w:sz w:val="19"/>
              </w:rPr>
              <w:t>4</w:t>
            </w:r>
          </w:p>
        </w:tc>
        <w:tc>
          <w:tcPr>
            <w:tcW w:type="dxa" w:w="1728"/>
          </w:tcPr>
          <w:p>
            <w:r/>
            <w:r>
              <w:rPr>
                <w:sz w:val="19"/>
              </w:rPr>
              <w:t>2010-05-25</w:t>
            </w:r>
          </w:p>
        </w:tc>
        <w:tc>
          <w:tcPr>
            <w:tcW w:type="dxa" w:w="1152"/>
          </w:tcPr>
          <w:p>
            <w:r/>
            <w:r>
              <w:rPr>
                <w:sz w:val="19"/>
              </w:rPr>
              <w:t>1</w:t>
            </w:r>
          </w:p>
        </w:tc>
        <w:tc>
          <w:tcPr>
            <w:tcW w:type="dxa" w:w="1296"/>
          </w:tcPr>
          <w:p>
            <w:r/>
            <w:r>
              <w:rPr>
                <w:sz w:val="19"/>
              </w:rPr>
              <w:t>12</w:t>
            </w:r>
          </w:p>
        </w:tc>
      </w:tr>
      <w:tr>
        <w:tc>
          <w:tcPr>
            <w:tcW w:type="dxa" w:w="3744"/>
          </w:tcPr>
          <w:p>
            <w:r/>
            <w:r>
              <w:rPr>
                <w:sz w:val="19"/>
              </w:rPr>
              <w:t>johnny.palmer@enron.com</w:t>
            </w:r>
          </w:p>
        </w:tc>
        <w:tc>
          <w:tcPr>
            <w:tcW w:type="dxa" w:w="1584"/>
          </w:tcPr>
          <w:p>
            <w:r/>
            <w:r>
              <w:rPr>
                <w:sz w:val="19"/>
              </w:rPr>
              <w:t>4</w:t>
            </w:r>
          </w:p>
        </w:tc>
        <w:tc>
          <w:tcPr>
            <w:tcW w:type="dxa" w:w="1728"/>
          </w:tcPr>
          <w:p>
            <w:r/>
            <w:r>
              <w:rPr>
                <w:sz w:val="19"/>
              </w:rPr>
              <w:t>2010-02-09</w:t>
            </w:r>
          </w:p>
        </w:tc>
        <w:tc>
          <w:tcPr>
            <w:tcW w:type="dxa" w:w="1152"/>
          </w:tcPr>
          <w:p>
            <w:r/>
            <w:r>
              <w:rPr>
                <w:sz w:val="19"/>
              </w:rPr>
              <w:t>2</w:t>
            </w:r>
          </w:p>
        </w:tc>
        <w:tc>
          <w:tcPr>
            <w:tcW w:type="dxa" w:w="1296"/>
          </w:tcPr>
          <w:p>
            <w:r/>
            <w:r>
              <w:rPr>
                <w:sz w:val="19"/>
              </w:rPr>
              <w:t>21</w:t>
            </w:r>
          </w:p>
        </w:tc>
      </w:tr>
      <w:tr>
        <w:tc>
          <w:tcPr>
            <w:tcW w:type="dxa" w:w="3744"/>
          </w:tcPr>
          <w:p>
            <w:r/>
            <w:r>
              <w:rPr>
                <w:sz w:val="19"/>
              </w:rPr>
              <w:t>kayne.coulter@enron.com</w:t>
            </w:r>
          </w:p>
        </w:tc>
        <w:tc>
          <w:tcPr>
            <w:tcW w:type="dxa" w:w="1584"/>
          </w:tcPr>
          <w:p>
            <w:r/>
            <w:r>
              <w:rPr>
                <w:sz w:val="19"/>
              </w:rPr>
              <w:t>4</w:t>
            </w:r>
          </w:p>
        </w:tc>
        <w:tc>
          <w:tcPr>
            <w:tcW w:type="dxa" w:w="1728"/>
          </w:tcPr>
          <w:p>
            <w:r/>
            <w:r>
              <w:rPr>
                <w:sz w:val="19"/>
              </w:rPr>
              <w:t>2010-04-06</w:t>
            </w:r>
          </w:p>
        </w:tc>
        <w:tc>
          <w:tcPr>
            <w:tcW w:type="dxa" w:w="1152"/>
          </w:tcPr>
          <w:p>
            <w:r/>
            <w:r>
              <w:rPr>
                <w:sz w:val="19"/>
              </w:rPr>
              <w:t>1</w:t>
            </w:r>
          </w:p>
        </w:tc>
        <w:tc>
          <w:tcPr>
            <w:tcW w:type="dxa" w:w="1296"/>
          </w:tcPr>
          <w:p>
            <w:r/>
            <w:r>
              <w:rPr>
                <w:sz w:val="19"/>
              </w:rPr>
              <w:t>18</w:t>
            </w:r>
          </w:p>
        </w:tc>
      </w:tr>
      <w:tr>
        <w:tc>
          <w:tcPr>
            <w:tcW w:type="dxa" w:w="3744"/>
          </w:tcPr>
          <w:p>
            <w:r/>
            <w:r>
              <w:rPr>
                <w:sz w:val="19"/>
              </w:rPr>
              <w:t>patti.thompson@enron.com</w:t>
            </w:r>
          </w:p>
        </w:tc>
        <w:tc>
          <w:tcPr>
            <w:tcW w:type="dxa" w:w="1584"/>
          </w:tcPr>
          <w:p>
            <w:r/>
            <w:r>
              <w:rPr>
                <w:sz w:val="19"/>
              </w:rPr>
              <w:t>4</w:t>
            </w:r>
          </w:p>
        </w:tc>
        <w:tc>
          <w:tcPr>
            <w:tcW w:type="dxa" w:w="1728"/>
          </w:tcPr>
          <w:p>
            <w:r/>
            <w:r>
              <w:rPr>
                <w:sz w:val="19"/>
              </w:rPr>
              <w:t>2011-07-02</w:t>
            </w:r>
          </w:p>
        </w:tc>
        <w:tc>
          <w:tcPr>
            <w:tcW w:type="dxa" w:w="1152"/>
          </w:tcPr>
          <w:p>
            <w:r/>
            <w:r>
              <w:rPr>
                <w:sz w:val="19"/>
              </w:rPr>
              <w:t>1</w:t>
            </w:r>
          </w:p>
        </w:tc>
        <w:tc>
          <w:tcPr>
            <w:tcW w:type="dxa" w:w="1296"/>
          </w:tcPr>
          <w:p>
            <w:r/>
            <w:r>
              <w:rPr>
                <w:sz w:val="19"/>
              </w:rPr>
              <w:t>20</w:t>
            </w:r>
          </w:p>
        </w:tc>
      </w:tr>
    </w:tbl>
    <w:p/>
    <w:p>
      <w:r>
        <w:t>A naive calendar-month count would flag only 4 employees. The rolling window additionally catches bobette.riner@ipgdirect.com, john.arnold@enron.com, johnny.palmer@enron.com, whose bursts of negativity straddle a month boundary. Every qualifying window is listed in data/processed/flight_risk_windows.csv (10 windows) so that flags can be reviewed manually.</w:t>
      </w:r>
    </w:p>
    <w:p>
      <w:r>
        <w:drawing>
          <wp:inline xmlns:a="http://schemas.openxmlformats.org/drawingml/2006/main" xmlns:pic="http://schemas.openxmlformats.org/drawingml/2006/picture">
            <wp:extent cx="5029200" cy="2661913"/>
            <wp:docPr id="6" name="Picture 6"/>
            <wp:cNvGraphicFramePr>
              <a:graphicFrameLocks noChangeAspect="1"/>
            </wp:cNvGraphicFramePr>
            <a:graphic>
              <a:graphicData uri="http://schemas.openxmlformats.org/drawingml/2006/picture">
                <pic:pic>
                  <pic:nvPicPr>
                    <pic:cNvPr id="0" name="10_flight_risk.png"/>
                    <pic:cNvPicPr/>
                  </pic:nvPicPr>
                  <pic:blipFill>
                    <a:blip r:embed="rId14"/>
                    <a:stretch>
                      <a:fillRect/>
                    </a:stretch>
                  </pic:blipFill>
                  <pic:spPr>
                    <a:xfrm>
                      <a:off x="0" y="0"/>
                      <a:ext cx="5029200" cy="2661913"/>
                    </a:xfrm>
                    <a:prstGeom prst="rect"/>
                  </pic:spPr>
                </pic:pic>
              </a:graphicData>
            </a:graphic>
          </wp:inline>
        </w:drawing>
      </w:r>
    </w:p>
    <w:p>
      <w:r>
        <w:rPr>
          <w:i/>
          <w:sz w:val="18"/>
        </w:rPr>
        <w:t>Figure 6 — Negative messages per employee; flight risks highlighted.</w:t>
      </w:r>
    </w:p>
    <w:p>
      <w:pPr>
        <w:pStyle w:val="Heading1"/>
      </w:pPr>
      <w:r>
        <w:t>5. Predictive model (Task 6)</w:t>
      </w:r>
    </w:p>
    <w:p>
      <w:r>
        <w:t>Target: the monthly score per employee (240 employee-months). Features are behavioural and not derived from the sentiment labels (to avoid leakage): message count, average length in characters and words, total words, active days, average exclamation and question marks per message, the previous month's score, and a time index. Model: StandardScaler + LinearRegression (scikit-learn), 80/20 split (random_state=42), 5-fold cross-validation, compared with a mean-only baseline.</w:t>
      </w:r>
    </w:p>
    <w:p>
      <w:r>
        <w:rPr>
          <w:b/>
        </w:rPr>
        <w:t>Table 4 — Model evaluation.</w:t>
      </w:r>
    </w:p>
    <w:tbl>
      <w:tblPr>
        <w:tblStyle w:val="TableGrid"/>
        <w:tblW w:type="auto" w:w="0"/>
        <w:jc w:val="center"/>
        <w:tblLayout w:type="fixed"/>
        <w:tblLook w:firstColumn="1" w:firstRow="1" w:lastColumn="0" w:lastRow="0" w:noHBand="0" w:noVBand="1" w:val="04A0"/>
      </w:tblPr>
      <w:tblGrid>
        <w:gridCol w:w="3600"/>
        <w:gridCol w:w="2880"/>
      </w:tblGrid>
      <w:tr>
        <w:tc>
          <w:tcPr>
            <w:tcW w:type="dxa" w:w="3600"/>
            <w:shd w:val="clear" w:color="auto" w:fill="DCE8F7"/>
          </w:tcPr>
          <w:p>
            <w:r/>
            <w:r>
              <w:rPr>
                <w:b/>
                <w:sz w:val="19"/>
              </w:rPr>
              <w:t>Metric</w:t>
            </w:r>
          </w:p>
        </w:tc>
        <w:tc>
          <w:tcPr>
            <w:tcW w:type="dxa" w:w="2880"/>
            <w:shd w:val="clear" w:color="auto" w:fill="DCE8F7"/>
          </w:tcPr>
          <w:p>
            <w:r/>
            <w:r>
              <w:rPr>
                <w:b/>
                <w:sz w:val="19"/>
              </w:rPr>
              <w:t>Value</w:t>
            </w:r>
          </w:p>
        </w:tc>
      </w:tr>
      <w:tr>
        <w:tc>
          <w:tcPr>
            <w:tcW w:type="dxa" w:w="3600"/>
          </w:tcPr>
          <w:p>
            <w:r/>
            <w:r>
              <w:rPr>
                <w:sz w:val="19"/>
              </w:rPr>
              <w:t>R² (train)</w:t>
            </w:r>
          </w:p>
        </w:tc>
        <w:tc>
          <w:tcPr>
            <w:tcW w:type="dxa" w:w="2880"/>
          </w:tcPr>
          <w:p>
            <w:r/>
            <w:r>
              <w:rPr>
                <w:sz w:val="19"/>
              </w:rPr>
              <w:t>0.816</w:t>
            </w:r>
          </w:p>
        </w:tc>
      </w:tr>
      <w:tr>
        <w:tc>
          <w:tcPr>
            <w:tcW w:type="dxa" w:w="3600"/>
          </w:tcPr>
          <w:p>
            <w:r/>
            <w:r>
              <w:rPr>
                <w:sz w:val="19"/>
              </w:rPr>
              <w:t>R² (test)</w:t>
            </w:r>
          </w:p>
        </w:tc>
        <w:tc>
          <w:tcPr>
            <w:tcW w:type="dxa" w:w="2880"/>
          </w:tcPr>
          <w:p>
            <w:r/>
            <w:r>
              <w:rPr>
                <w:sz w:val="19"/>
              </w:rPr>
              <w:t>0.823</w:t>
            </w:r>
          </w:p>
        </w:tc>
      </w:tr>
      <w:tr>
        <w:tc>
          <w:tcPr>
            <w:tcW w:type="dxa" w:w="3600"/>
          </w:tcPr>
          <w:p>
            <w:r/>
            <w:r>
              <w:rPr>
                <w:sz w:val="19"/>
              </w:rPr>
              <w:t>MAE (test)</w:t>
            </w:r>
          </w:p>
        </w:tc>
        <w:tc>
          <w:tcPr>
            <w:tcW w:type="dxa" w:w="2880"/>
          </w:tcPr>
          <w:p>
            <w:r/>
            <w:r>
              <w:rPr>
                <w:sz w:val="19"/>
              </w:rPr>
              <w:t>1.37</w:t>
            </w:r>
          </w:p>
        </w:tc>
      </w:tr>
      <w:tr>
        <w:tc>
          <w:tcPr>
            <w:tcW w:type="dxa" w:w="3600"/>
          </w:tcPr>
          <w:p>
            <w:r/>
            <w:r>
              <w:rPr>
                <w:sz w:val="19"/>
              </w:rPr>
              <w:t>RMSE (test)</w:t>
            </w:r>
          </w:p>
        </w:tc>
        <w:tc>
          <w:tcPr>
            <w:tcW w:type="dxa" w:w="2880"/>
          </w:tcPr>
          <w:p>
            <w:r/>
            <w:r>
              <w:rPr>
                <w:sz w:val="19"/>
              </w:rPr>
              <w:t>1.79</w:t>
            </w:r>
          </w:p>
        </w:tc>
      </w:tr>
      <w:tr>
        <w:tc>
          <w:tcPr>
            <w:tcW w:type="dxa" w:w="3600"/>
          </w:tcPr>
          <w:p>
            <w:r/>
            <w:r>
              <w:rPr>
                <w:sz w:val="19"/>
              </w:rPr>
              <w:t>Baseline MAE</w:t>
            </w:r>
          </w:p>
        </w:tc>
        <w:tc>
          <w:tcPr>
            <w:tcW w:type="dxa" w:w="2880"/>
          </w:tcPr>
          <w:p>
            <w:r/>
            <w:r>
              <w:rPr>
                <w:sz w:val="19"/>
              </w:rPr>
              <w:t>3.57</w:t>
            </w:r>
          </w:p>
        </w:tc>
      </w:tr>
      <w:tr>
        <w:tc>
          <w:tcPr>
            <w:tcW w:type="dxa" w:w="3600"/>
          </w:tcPr>
          <w:p>
            <w:r/>
            <w:r>
              <w:rPr>
                <w:sz w:val="19"/>
              </w:rPr>
              <w:t>Baseline RMSE</w:t>
            </w:r>
          </w:p>
        </w:tc>
        <w:tc>
          <w:tcPr>
            <w:tcW w:type="dxa" w:w="2880"/>
          </w:tcPr>
          <w:p>
            <w:r/>
            <w:r>
              <w:rPr>
                <w:sz w:val="19"/>
              </w:rPr>
              <w:t>4.25</w:t>
            </w:r>
          </w:p>
        </w:tc>
      </w:tr>
      <w:tr>
        <w:tc>
          <w:tcPr>
            <w:tcW w:type="dxa" w:w="3600"/>
          </w:tcPr>
          <w:p>
            <w:r/>
            <w:r>
              <w:rPr>
                <w:sz w:val="19"/>
              </w:rPr>
              <w:t>5-fold CV R²</w:t>
            </w:r>
          </w:p>
        </w:tc>
        <w:tc>
          <w:tcPr>
            <w:tcW w:type="dxa" w:w="2880"/>
          </w:tcPr>
          <w:p>
            <w:r/>
            <w:r>
              <w:rPr>
                <w:sz w:val="19"/>
              </w:rPr>
              <w:t>0.800 ± 0.033</w:t>
            </w:r>
          </w:p>
        </w:tc>
      </w:tr>
    </w:tbl>
    <w:p/>
    <w:p>
      <w:r>
        <w:rPr>
          <w:b/>
        </w:rPr>
        <w:t>Table 5 — Standardised coefficients (effect of +1 SD on the monthly score).</w:t>
      </w:r>
    </w:p>
    <w:tbl>
      <w:tblPr>
        <w:tblStyle w:val="TableGrid"/>
        <w:tblW w:type="auto" w:w="0"/>
        <w:jc w:val="center"/>
        <w:tblLayout w:type="fixed"/>
        <w:tblLook w:firstColumn="1" w:firstRow="1" w:lastColumn="0" w:lastRow="0" w:noHBand="0" w:noVBand="1" w:val="04A0"/>
      </w:tblPr>
      <w:tblGrid>
        <w:gridCol w:w="3600"/>
        <w:gridCol w:w="2880"/>
      </w:tblGrid>
      <w:tr>
        <w:tc>
          <w:tcPr>
            <w:tcW w:type="dxa" w:w="3600"/>
            <w:shd w:val="clear" w:color="auto" w:fill="DCE8F7"/>
          </w:tcPr>
          <w:p>
            <w:r/>
            <w:r>
              <w:rPr>
                <w:b/>
                <w:sz w:val="19"/>
              </w:rPr>
              <w:t>Feature</w:t>
            </w:r>
          </w:p>
        </w:tc>
        <w:tc>
          <w:tcPr>
            <w:tcW w:type="dxa" w:w="2880"/>
            <w:shd w:val="clear" w:color="auto" w:fill="DCE8F7"/>
          </w:tcPr>
          <w:p>
            <w:r/>
            <w:r>
              <w:rPr>
                <w:b/>
                <w:sz w:val="19"/>
              </w:rPr>
              <w:t>Standardised coefficient</w:t>
            </w:r>
          </w:p>
        </w:tc>
      </w:tr>
      <w:tr>
        <w:tc>
          <w:tcPr>
            <w:tcW w:type="dxa" w:w="3600"/>
          </w:tcPr>
          <w:p>
            <w:r/>
            <w:r>
              <w:rPr>
                <w:sz w:val="19"/>
              </w:rPr>
              <w:t>message_count</w:t>
            </w:r>
          </w:p>
        </w:tc>
        <w:tc>
          <w:tcPr>
            <w:tcW w:type="dxa" w:w="2880"/>
          </w:tcPr>
          <w:p>
            <w:r/>
            <w:r>
              <w:rPr>
                <w:sz w:val="19"/>
              </w:rPr>
              <w:t>4.115</w:t>
            </w:r>
          </w:p>
        </w:tc>
      </w:tr>
      <w:tr>
        <w:tc>
          <w:tcPr>
            <w:tcW w:type="dxa" w:w="3600"/>
          </w:tcPr>
          <w:p>
            <w:r/>
            <w:r>
              <w:rPr>
                <w:sz w:val="19"/>
              </w:rPr>
              <w:t>total_words</w:t>
            </w:r>
          </w:p>
        </w:tc>
        <w:tc>
          <w:tcPr>
            <w:tcW w:type="dxa" w:w="2880"/>
          </w:tcPr>
          <w:p>
            <w:r/>
            <w:r>
              <w:rPr>
                <w:sz w:val="19"/>
              </w:rPr>
              <w:t>-0.45</w:t>
            </w:r>
          </w:p>
        </w:tc>
      </w:tr>
      <w:tr>
        <w:tc>
          <w:tcPr>
            <w:tcW w:type="dxa" w:w="3600"/>
          </w:tcPr>
          <w:p>
            <w:r/>
            <w:r>
              <w:rPr>
                <w:sz w:val="19"/>
              </w:rPr>
              <w:t>active_days</w:t>
            </w:r>
          </w:p>
        </w:tc>
        <w:tc>
          <w:tcPr>
            <w:tcW w:type="dxa" w:w="2880"/>
          </w:tcPr>
          <w:p>
            <w:r/>
            <w:r>
              <w:rPr>
                <w:sz w:val="19"/>
              </w:rPr>
              <w:t>-0.385</w:t>
            </w:r>
          </w:p>
        </w:tc>
      </w:tr>
      <w:tr>
        <w:tc>
          <w:tcPr>
            <w:tcW w:type="dxa" w:w="3600"/>
          </w:tcPr>
          <w:p>
            <w:r/>
            <w:r>
              <w:rPr>
                <w:sz w:val="19"/>
              </w:rPr>
              <w:t>avg_questions</w:t>
            </w:r>
          </w:p>
        </w:tc>
        <w:tc>
          <w:tcPr>
            <w:tcW w:type="dxa" w:w="2880"/>
          </w:tcPr>
          <w:p>
            <w:r/>
            <w:r>
              <w:rPr>
                <w:sz w:val="19"/>
              </w:rPr>
              <w:t>0.375</w:t>
            </w:r>
          </w:p>
        </w:tc>
      </w:tr>
      <w:tr>
        <w:tc>
          <w:tcPr>
            <w:tcW w:type="dxa" w:w="3600"/>
          </w:tcPr>
          <w:p>
            <w:r/>
            <w:r>
              <w:rPr>
                <w:sz w:val="19"/>
              </w:rPr>
              <w:t>prev_month_score</w:t>
            </w:r>
          </w:p>
        </w:tc>
        <w:tc>
          <w:tcPr>
            <w:tcW w:type="dxa" w:w="2880"/>
          </w:tcPr>
          <w:p>
            <w:r/>
            <w:r>
              <w:rPr>
                <w:sz w:val="19"/>
              </w:rPr>
              <w:t>-0.31</w:t>
            </w:r>
          </w:p>
        </w:tc>
      </w:tr>
      <w:tr>
        <w:tc>
          <w:tcPr>
            <w:tcW w:type="dxa" w:w="3600"/>
          </w:tcPr>
          <w:p>
            <w:r/>
            <w:r>
              <w:rPr>
                <w:sz w:val="19"/>
              </w:rPr>
              <w:t>avg_exclamations</w:t>
            </w:r>
          </w:p>
        </w:tc>
        <w:tc>
          <w:tcPr>
            <w:tcW w:type="dxa" w:w="2880"/>
          </w:tcPr>
          <w:p>
            <w:r/>
            <w:r>
              <w:rPr>
                <w:sz w:val="19"/>
              </w:rPr>
              <w:t>0.289</w:t>
            </w:r>
          </w:p>
        </w:tc>
      </w:tr>
      <w:tr>
        <w:tc>
          <w:tcPr>
            <w:tcW w:type="dxa" w:w="3600"/>
          </w:tcPr>
          <w:p>
            <w:r/>
            <w:r>
              <w:rPr>
                <w:sz w:val="19"/>
              </w:rPr>
              <w:t>month_index</w:t>
            </w:r>
          </w:p>
        </w:tc>
        <w:tc>
          <w:tcPr>
            <w:tcW w:type="dxa" w:w="2880"/>
          </w:tcPr>
          <w:p>
            <w:r/>
            <w:r>
              <w:rPr>
                <w:sz w:val="19"/>
              </w:rPr>
              <w:t>0.256</w:t>
            </w:r>
          </w:p>
        </w:tc>
      </w:tr>
      <w:tr>
        <w:tc>
          <w:tcPr>
            <w:tcW w:type="dxa" w:w="3600"/>
          </w:tcPr>
          <w:p>
            <w:r/>
            <w:r>
              <w:rPr>
                <w:sz w:val="19"/>
              </w:rPr>
              <w:t>avg_word_count</w:t>
            </w:r>
          </w:p>
        </w:tc>
        <w:tc>
          <w:tcPr>
            <w:tcW w:type="dxa" w:w="2880"/>
          </w:tcPr>
          <w:p>
            <w:r/>
            <w:r>
              <w:rPr>
                <w:sz w:val="19"/>
              </w:rPr>
              <w:t>0.186</w:t>
            </w:r>
          </w:p>
        </w:tc>
      </w:tr>
      <w:tr>
        <w:tc>
          <w:tcPr>
            <w:tcW w:type="dxa" w:w="3600"/>
          </w:tcPr>
          <w:p>
            <w:r/>
            <w:r>
              <w:rPr>
                <w:sz w:val="19"/>
              </w:rPr>
              <w:t>avg_char_length</w:t>
            </w:r>
          </w:p>
        </w:tc>
        <w:tc>
          <w:tcPr>
            <w:tcW w:type="dxa" w:w="2880"/>
          </w:tcPr>
          <w:p>
            <w:r/>
            <w:r>
              <w:rPr>
                <w:sz w:val="19"/>
              </w:rPr>
              <w:t>-0.017</w:t>
            </w:r>
          </w:p>
        </w:tc>
      </w:tr>
    </w:tbl>
    <w:p/>
    <w:p>
      <w:pPr>
        <w:pStyle w:val="ListBullet"/>
      </w:pPr>
      <w:r>
        <w:t>The model generalises well: train and test R² are almost equal, and cross-validation is stable.</w:t>
      </w:r>
    </w:p>
    <w:p>
      <w:pPr>
        <w:pStyle w:val="ListBullet"/>
      </w:pPr>
      <w:r>
        <w:t>Message count dominates. Because about 72% of messages are positive, each extra message adds about +0.64 on average, so the score largely measures how much an employee communicates.</w:t>
      </w:r>
    </w:p>
    <w:p>
      <w:pPr>
        <w:pStyle w:val="ListBullet"/>
      </w:pPr>
      <w:r>
        <w:t>More exclamation and question marks per message slightly raise the score. The previous month's score is slightly negative (mild mean reversion), and the time index is slightly positive (upward trend).</w:t>
      </w:r>
    </w:p>
    <w:p>
      <w:pPr>
        <w:pStyle w:val="ListBullet"/>
      </w:pPr>
      <w:r>
        <w:t>Next step: model a volume-normalised target (average score per message) to isolate tone from activity.</w:t>
      </w:r>
    </w:p>
    <w:p>
      <w:r>
        <w:drawing>
          <wp:inline xmlns:a="http://schemas.openxmlformats.org/drawingml/2006/main" xmlns:pic="http://schemas.openxmlformats.org/drawingml/2006/picture">
            <wp:extent cx="3840480" cy="3934725"/>
            <wp:docPr id="7" name="Picture 7"/>
            <wp:cNvGraphicFramePr>
              <a:graphicFrameLocks noChangeAspect="1"/>
            </wp:cNvGraphicFramePr>
            <a:graphic>
              <a:graphicData uri="http://schemas.openxmlformats.org/drawingml/2006/picture">
                <pic:pic>
                  <pic:nvPicPr>
                    <pic:cNvPr id="0" name="11_model_pred_vs_actual.png"/>
                    <pic:cNvPicPr/>
                  </pic:nvPicPr>
                  <pic:blipFill>
                    <a:blip r:embed="rId15"/>
                    <a:stretch>
                      <a:fillRect/>
                    </a:stretch>
                  </pic:blipFill>
                  <pic:spPr>
                    <a:xfrm>
                      <a:off x="0" y="0"/>
                      <a:ext cx="3840480" cy="3934725"/>
                    </a:xfrm>
                    <a:prstGeom prst="rect"/>
                  </pic:spPr>
                </pic:pic>
              </a:graphicData>
            </a:graphic>
          </wp:inline>
        </w:drawing>
      </w:r>
    </w:p>
    <w:p>
      <w:r>
        <w:rPr>
          <w:i/>
          <w:sz w:val="18"/>
        </w:rPr>
        <w:t>Figure 7 — Predicted vs actual monthly score (test set).</w:t>
      </w:r>
    </w:p>
    <w:p>
      <w:r>
        <w:drawing>
          <wp:inline xmlns:a="http://schemas.openxmlformats.org/drawingml/2006/main" xmlns:pic="http://schemas.openxmlformats.org/drawingml/2006/picture">
            <wp:extent cx="4572000" cy="2621068"/>
            <wp:docPr id="8" name="Picture 8"/>
            <wp:cNvGraphicFramePr>
              <a:graphicFrameLocks noChangeAspect="1"/>
            </wp:cNvGraphicFramePr>
            <a:graphic>
              <a:graphicData uri="http://schemas.openxmlformats.org/drawingml/2006/picture">
                <pic:pic>
                  <pic:nvPicPr>
                    <pic:cNvPr id="0" name="13_model_coefficients.png"/>
                    <pic:cNvPicPr/>
                  </pic:nvPicPr>
                  <pic:blipFill>
                    <a:blip r:embed="rId16"/>
                    <a:stretch>
                      <a:fillRect/>
                    </a:stretch>
                  </pic:blipFill>
                  <pic:spPr>
                    <a:xfrm>
                      <a:off x="0" y="0"/>
                      <a:ext cx="4572000" cy="2621068"/>
                    </a:xfrm>
                    <a:prstGeom prst="rect"/>
                  </pic:spPr>
                </pic:pic>
              </a:graphicData>
            </a:graphic>
          </wp:inline>
        </w:drawing>
      </w:r>
    </w:p>
    <w:p>
      <w:r>
        <w:rPr>
          <w:i/>
          <w:sz w:val="18"/>
        </w:rPr>
        <w:t>Figure 8 — Standardised coefficients.</w:t>
      </w:r>
    </w:p>
    <w:p>
      <w:r>
        <w:drawing>
          <wp:inline xmlns:a="http://schemas.openxmlformats.org/drawingml/2006/main" xmlns:pic="http://schemas.openxmlformats.org/drawingml/2006/picture">
            <wp:extent cx="5760720" cy="2616621"/>
            <wp:docPr id="9" name="Picture 9"/>
            <wp:cNvGraphicFramePr>
              <a:graphicFrameLocks noChangeAspect="1"/>
            </wp:cNvGraphicFramePr>
            <a:graphic>
              <a:graphicData uri="http://schemas.openxmlformats.org/drawingml/2006/picture">
                <pic:pic>
                  <pic:nvPicPr>
                    <pic:cNvPr id="0" name="14_company_sentiment_trend.png"/>
                    <pic:cNvPicPr/>
                  </pic:nvPicPr>
                  <pic:blipFill>
                    <a:blip r:embed="rId17"/>
                    <a:stretch>
                      <a:fillRect/>
                    </a:stretch>
                  </pic:blipFill>
                  <pic:spPr>
                    <a:xfrm>
                      <a:off x="0" y="0"/>
                      <a:ext cx="5760720" cy="2616621"/>
                    </a:xfrm>
                    <a:prstGeom prst="rect"/>
                  </pic:spPr>
                </pic:pic>
              </a:graphicData>
            </a:graphic>
          </wp:inline>
        </w:drawing>
      </w:r>
    </w:p>
    <w:p>
      <w:r>
        <w:rPr>
          <w:i/>
          <w:sz w:val="18"/>
        </w:rPr>
        <w:t>Figure 9 — Company-wide sentiment trend.</w:t>
      </w:r>
    </w:p>
    <w:p>
      <w:pPr>
        <w:pStyle w:val="Heading1"/>
      </w:pPr>
      <w:r>
        <w:t>6. Conclusions and recommendations</w:t>
      </w:r>
    </w:p>
    <w:p>
      <w:pPr>
        <w:pStyle w:val="ListBullet"/>
      </w:pPr>
      <w:r>
        <w:t>Overall sentiment is healthy and stable. Risk shows up as short bursts of negativity rather than persistently negative employees.</w:t>
      </w:r>
    </w:p>
    <w:p>
      <w:pPr>
        <w:pStyle w:val="ListBullet"/>
      </w:pPr>
      <w:r>
        <w:t>Prioritise check-ins with sally.beck (strongest burst: 5 negatives in 30 days; highest negative share) and kayne.coulter (top-3 negative in 11 of 24 months).</w:t>
      </w:r>
    </w:p>
    <w:p>
      <w:pPr>
        <w:pStyle w:val="ListBullet"/>
      </w:pPr>
      <w:r>
        <w:t>Use the rolling-window flag operationally, since it catches employees a monthly report misses.</w:t>
      </w:r>
    </w:p>
    <w:p>
      <w:pPr>
        <w:pStyle w:val="ListBullet"/>
      </w:pPr>
      <w:r>
        <w:t>Report average score per message alongside the monthly sum, so low-volume employees are not mistaken for disengaged ones.</w:t>
      </w:r>
    </w:p>
    <w:p>
      <w:pPr>
        <w:pStyle w:val="ListBullet"/>
      </w:pPr>
      <w:r>
        <w:t>For production, use the LLM labeler to reduce false negatives on factual messages, and review flagged windows before acting.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C5CA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C5CA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