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24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Customer Transactions Service — Documentation</w:t>
      </w:r>
    </w:p>
    <w:p>
      <w:pPr>
        <w:pBdr>
          <w:bottom w:val="single" w:color="1F4E79" w:sz="6" w:space="5"/>
        </w:pBdr>
        <w:spacing w:after="120" w:line="224"/>
      </w:pPr>
      <w:r>
        <w:rPr>
          <w:i/>
          <w:iCs/>
          <w:color w:val="595959"/>
          <w:sz w:val="16"/>
          <w:szCs w:val="16"/>
          <w:rFonts w:ascii="Calibri" w:cs="Calibri" w:eastAsia="Calibri" w:hAnsi="Calibri"/>
        </w:rPr>
        <w:t xml:space="preserve">Toucan Payments Engineering Challenge 2026  ·  Java 17 · Spring Boot · H2 · JUnit  ·  build &amp; test: ./mvnw clean test  ·  34 tests passing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1 · Understanding of the problem</w:t>
      </w:r>
    </w:p>
    <w:p>
      <w:pPr>
        <w:spacing w:after="60" w:line="224" w:before="0"/>
      </w:pPr>
      <w:r>
        <w:rPr>
          <w:sz w:val="17"/>
          <w:szCs w:val="17"/>
          <w:rFonts w:ascii="Calibri" w:cs="Calibri" w:eastAsia="Calibri" w:hAnsi="Calibri"/>
        </w:rPr>
        <w:t xml:space="preserve">Build the business logic for a service that manages customer transactions (Transaction ID, Customer ID, amount, currency, type, status), exposing four operations: create (validate, store, reject invalid input and duplicate IDs), get one by ID, change the status of an existing transaction under controlled rules, and list all transactions for a customer. The Maven/Spring Boot/H2/JUnit scaffold is given; the assessed work is the model, validation, error handling, structure and tests.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2 · Assumptions</w:t>
      </w:r>
    </w:p>
    <w:p>
      <w:pPr>
        <w:spacing w:after="60" w:line="224" w:before="0"/>
      </w:pPr>
      <w:r>
        <w:rPr>
          <w:sz w:val="17"/>
          <w:szCs w:val="17"/>
          <w:rFonts w:ascii="Calibri" w:cs="Calibri" w:eastAsia="Calibri" w:hAnsi="Calibri"/>
        </w:rPr>
        <w:t xml:space="preserve">The per-candidate variant (currencies, max amount, types, or one extra rule) from the invitation email was not available. Defaults used, all changeable in one place:</w:t>
      </w:r>
    </w:p>
    <w:tbl>
      <w:tblPr>
        <w:tblW w:type="dxa" w:w="103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ADADA" w:sz="2"/>
          <w:insideV w:val="single" w:color="DADADA" w:sz="2"/>
        </w:tblBorders>
      </w:tblPr>
      <w:tblGrid>
        <w:gridCol w:w="2500"/>
        <w:gridCol w:w="2600"/>
        <w:gridCol w:w="52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Setting</w:t>
            </w:r>
          </w:p>
        </w:tc>
        <w:tc>
          <w:tcPr>
            <w:tcW w:type="dxa" w:w="260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Value</w:t>
            </w:r>
          </w:p>
        </w:tc>
        <w:tc>
          <w:tcPr>
            <w:tcW w:type="dxa" w:w="520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Where to change</w:t>
            </w:r>
          </w:p>
        </w:tc>
      </w:tr>
      <w:t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Permitted currencies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GBP, EUR, USD, INR</w:t>
            </w:r>
          </w:p>
        </w:tc>
        <w:tc>
          <w:tcPr>
            <w:tcW w:type="dxa" w:w="5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application.yml → transaction.allowed-currencies</w:t>
            </w:r>
          </w:p>
        </w:tc>
      </w:tr>
      <w:t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Maximum amount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10000.00</w:t>
            </w:r>
          </w:p>
        </w:tc>
        <w:tc>
          <w:tcPr>
            <w:tcW w:type="dxa" w:w="5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application.yml → transaction.max-amount</w:t>
            </w:r>
          </w:p>
        </w:tc>
      </w:tr>
      <w:t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Transaction types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CASH, CARD, UPI, ONLINE</w:t>
            </w:r>
          </w:p>
        </w:tc>
        <w:tc>
          <w:tcPr>
            <w:tcW w:type="dxa" w:w="5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TransactionType enum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Transaction ID is caller-supplied and is the primary key (rejecting a duplicate ID only makes sense for a natural key). </w:t>
      </w:r>
      <w:r>
        <w:rPr>
          <w:b/>
          <w:bCs/>
          <w:sz w:val="17"/>
          <w:szCs w:val="17"/>
          <w:rFonts w:ascii="Calibri" w:cs="Calibri" w:eastAsia="Calibri" w:hAnsi="Calibri"/>
        </w:rPr>
        <w:t xml:space="preserve">New transactions always start PENDING</w:t>
      </w:r>
      <w:r>
        <w:rPr>
          <w:sz w:val="17"/>
          <w:szCs w:val="17"/>
          <w:rFonts w:ascii="Calibri" w:cs="Calibri" w:eastAsia="Calibri" w:hAnsi="Calibri"/>
        </w:rPr>
        <w:t xml:space="preserve"> — the client cannot set the initial status.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Amount stored as BigDecimal scale 2 (</w:t>
      </w:r>
      <w:r>
        <w:rPr>
          <w:sz w:val="17"/>
          <w:szCs w:val="17"/>
          <w:rFonts w:ascii="Consolas" w:cs="Consolas" w:eastAsia="Consolas" w:hAnsi="Consolas"/>
        </w:rPr>
        <w:t xml:space="preserve">10</w:t>
      </w:r>
      <w:r>
        <w:rPr>
          <w:sz w:val="17"/>
          <w:szCs w:val="17"/>
          <w:rFonts w:ascii="Calibri" w:cs="Calibri" w:eastAsia="Calibri" w:hAnsi="Calibri"/>
        </w:rPr>
        <w:t xml:space="preserve"> and </w:t>
      </w:r>
      <w:r>
        <w:rPr>
          <w:sz w:val="17"/>
          <w:szCs w:val="17"/>
          <w:rFonts w:ascii="Consolas" w:cs="Consolas" w:eastAsia="Consolas" w:hAnsi="Consolas"/>
        </w:rPr>
        <w:t xml:space="preserve">10.00</w:t>
      </w:r>
      <w:r>
        <w:rPr>
          <w:sz w:val="17"/>
          <w:szCs w:val="17"/>
          <w:rFonts w:ascii="Calibri" w:cs="Calibri" w:eastAsia="Calibri" w:hAnsi="Calibri"/>
        </w:rPr>
        <w:t xml:space="preserve"> are equal, returned as </w:t>
      </w:r>
      <w:r>
        <w:rPr>
          <w:sz w:val="17"/>
          <w:szCs w:val="17"/>
          <w:rFonts w:ascii="Consolas" w:cs="Consolas" w:eastAsia="Consolas" w:hAnsi="Consolas"/>
        </w:rPr>
        <w:t xml:space="preserve">10.00</w:t>
      </w:r>
      <w:r>
        <w:rPr>
          <w:sz w:val="17"/>
          <w:szCs w:val="17"/>
          <w:rFonts w:ascii="Calibri" w:cs="Calibri" w:eastAsia="Calibri" w:hAnsi="Calibri"/>
        </w:rPr>
        <w:t xml:space="preserve">). Currency is a 3-letter uppercase code, only accepted if in the permitted set.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Listing a customer with no transactions returns 200 and an empty array, not 404. No authentication, no paging, single node — out of scope for the exercise.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3 · Validation rules</w:t>
      </w:r>
    </w:p>
    <w:p>
      <w:pPr>
        <w:spacing w:after="60" w:line="224" w:before="0"/>
      </w:pPr>
      <w:r>
        <w:rPr>
          <w:sz w:val="17"/>
          <w:szCs w:val="17"/>
          <w:rFonts w:ascii="Calibri" w:cs="Calibri" w:eastAsia="Calibri" w:hAnsi="Calibri"/>
        </w:rPr>
        <w:t xml:space="preserve">Two layers: format rules are Bean Validation annotations (fail with 400, malformed request); business rules need the DB or configured limits, live in TransactionService, and fail with 422 (well formed but not acceptable) — or 409 for a conflict with existing state.</w:t>
      </w:r>
    </w:p>
    <w:tbl>
      <w:tblPr>
        <w:tblW w:type="dxa" w:w="103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ADADA" w:sz="2"/>
          <w:insideV w:val="single" w:color="DADADA" w:sz="2"/>
        </w:tblBorders>
      </w:tblPr>
      <w:tblGrid>
        <w:gridCol w:w="1750"/>
        <w:gridCol w:w="4550"/>
        <w:gridCol w:w="2550"/>
        <w:gridCol w:w="1450"/>
      </w:tblGrid>
      <w:tr>
        <w:trPr>
          <w:tblHeader/>
        </w:trPr>
        <w:tc>
          <w:tcPr>
            <w:tcW w:type="dxa" w:w="175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tcW w:type="dxa" w:w="455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Rule</w:t>
            </w:r>
          </w:p>
        </w:tc>
        <w:tc>
          <w:tcPr>
            <w:tcW w:type="dxa" w:w="255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Enforced by</w:t>
            </w:r>
          </w:p>
        </w:tc>
        <w:tc>
          <w:tcPr>
            <w:tcW w:type="dxa" w:w="145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Failure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transactionId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required; ^[A-Za-z0-9-]{1,64}$ ; must not already exist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annotation; service existsById + DB unique constraint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 / 409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customerId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required; ^[A-Za-z0-9-]{1,64}$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annotation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amount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required; &gt; 0; ≤ 2 decimals (400);  ≤ configured maximum 10000.00 (422)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annotation; service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 / 422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currency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required; exactly 3 uppercase letters (400);  in the permitted set (422)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annotation; service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 / 422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required; one of the TransactionType values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annotation + JSON parsing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status (create)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not accepted; server sets PENDING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ignored by DTO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status (update)</w:t>
            </w:r>
          </w:p>
        </w:tc>
        <w:tc>
          <w:tcPr>
            <w:tcW w:type="dxa" w:w="4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valid enum value and an allowed transition</w:t>
            </w:r>
          </w:p>
        </w:tc>
        <w:tc>
          <w:tcPr>
            <w:tcW w:type="dxa" w:w="25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JSON parsing + service</w:t>
            </w:r>
          </w:p>
        </w:tc>
        <w:tc>
          <w:tcPr>
            <w:tcW w:type="dxa" w:w="1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400 / 409</w:t>
            </w:r>
          </w:p>
        </w:tc>
      </w:tr>
    </w:tbl>
    <w:p>
      <w:pPr>
        <w:spacing w:after="60" w:line="224" w:before="40"/>
      </w:pPr>
      <w:r>
        <w:rPr>
          <w:b/>
          <w:bCs/>
          <w:sz w:val="17"/>
          <w:szCs w:val="17"/>
          <w:rFonts w:ascii="Calibri" w:cs="Calibri" w:eastAsia="Calibri" w:hAnsi="Calibri"/>
        </w:rPr>
        <w:t xml:space="preserve">Status transitions: </w:t>
      </w:r>
      <w:r>
        <w:rPr>
          <w:sz w:val="15"/>
          <w:szCs w:val="15"/>
          <w:rFonts w:ascii="Consolas" w:cs="Consolas" w:eastAsia="Consolas" w:hAnsi="Consolas"/>
        </w:rPr>
        <w:t xml:space="preserve">PENDING → COMPLETED | FAILED | CANCELLED ;  COMPLETED → REVERSED ;  FAILED / CANCELLED / REVERSED are terminal.</w:t>
      </w:r>
    </w:p>
    <w:p>
      <w:pPr>
        <w:spacing w:after="60" w:line="224" w:before="0"/>
      </w:pPr>
      <w:r>
        <w:rPr>
          <w:sz w:val="17"/>
          <w:szCs w:val="17"/>
          <w:rFonts w:ascii="Calibri" w:cs="Calibri" w:eastAsia="Calibri" w:hAnsi="Calibri"/>
        </w:rPr>
        <w:t xml:space="preserve">A transaction stays PENDING until it settles, then succeeds (COMPLETED), fails (FAILED) or is pulled before settling (CANCELLED); only a settled transaction can be REVERSED. A transition to the same status is rejected (409). The rules live in the TransactionStatus enum so they are unit-testable without Spring.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4 · API endpoints</w:t>
      </w:r>
    </w:p>
    <w:p>
      <w:pPr>
        <w:spacing w:after="60" w:line="224" w:before="0"/>
      </w:pPr>
      <w:r>
        <w:rPr>
          <w:sz w:val="17"/>
          <w:szCs w:val="17"/>
          <w:rFonts w:ascii="Calibri" w:cs="Calibri" w:eastAsia="Calibri" w:hAnsi="Calibri"/>
        </w:rPr>
        <w:t xml:space="preserve">Base path /api/transactions. JSON bodies. Every error shares one shape: timestamp, status, error, message, path, and fieldErrors for validation failures.</w:t>
      </w:r>
    </w:p>
    <w:tbl>
      <w:tblPr>
        <w:tblW w:type="dxa" w:w="103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ADADA" w:sz="2"/>
          <w:insideV w:val="single" w:color="DADADA" w:sz="2"/>
        </w:tblBorders>
      </w:tblPr>
      <w:tblGrid>
        <w:gridCol w:w="620"/>
        <w:gridCol w:w="3050"/>
        <w:gridCol w:w="6630"/>
      </w:tblGrid>
      <w:tr>
        <w:trPr>
          <w:tblHeader/>
        </w:trPr>
        <w:tc>
          <w:tcPr>
            <w:tcW w:type="dxa" w:w="62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Op</w:t>
            </w:r>
          </w:p>
        </w:tc>
        <w:tc>
          <w:tcPr>
            <w:tcW w:type="dxa" w:w="305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Endpoint</w:t>
            </w:r>
          </w:p>
        </w:tc>
        <w:tc>
          <w:tcPr>
            <w:tcW w:type="dxa" w:w="6630"/>
            <w:shd w:fill="1F4E79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Behaviour</w:t>
            </w:r>
          </w:p>
        </w:tc>
      </w:tr>
      <w:tr>
        <w:tc>
          <w:tcPr>
            <w:tcW w:type="dxa" w:w="6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30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POST /api/transactions</w:t>
            </w:r>
          </w:p>
        </w:tc>
        <w:tc>
          <w:tcPr>
            <w:tcW w:type="dxa" w:w="663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201 + Location header; body is the stored transaction, status PENDING. 400 format failure, 422 business-rule failure (currency, amount limit), 409 if the ID exists.</w:t>
            </w:r>
          </w:p>
        </w:tc>
      </w:tr>
      <w:tr>
        <w:tc>
          <w:tcPr>
            <w:tcW w:type="dxa" w:w="6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30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GET /api/transactions/{id}</w:t>
            </w:r>
          </w:p>
        </w:tc>
        <w:tc>
          <w:tcPr>
            <w:tcW w:type="dxa" w:w="663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 with the transaction, or 404.</w:t>
            </w:r>
          </w:p>
        </w:tc>
      </w:tr>
      <w:tr>
        <w:tc>
          <w:tcPr>
            <w:tcW w:type="dxa" w:w="6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30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PATCH /api/transactions/{id}/status</w:t>
            </w:r>
          </w:p>
        </w:tc>
        <w:tc>
          <w:tcPr>
            <w:tcW w:type="dxa" w:w="663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Body { "status": "COMPLETED" }. 200 with the updated transaction. 404 unknown, 409 forbidden transition, 400 unknown status value.</w:t>
            </w:r>
          </w:p>
        </w:tc>
      </w:tr>
      <w:tr>
        <w:tc>
          <w:tcPr>
            <w:tcW w:type="dxa" w:w="6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30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4"/>
                <w:szCs w:val="14"/>
                <w:rFonts w:ascii="Consolas" w:cs="Consolas" w:eastAsia="Consolas" w:hAnsi="Consolas"/>
              </w:rPr>
              <w:t xml:space="preserve">GET /api/transactions?customerId={id}</w:t>
            </w:r>
          </w:p>
        </w:tc>
        <w:tc>
          <w:tcPr>
            <w:tcW w:type="dxa" w:w="663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line="218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 with a JSON array (oldest first), empty if none. 400 if customerId is missing.</w:t>
            </w:r>
          </w:p>
        </w:tc>
      </w:tr>
    </w:tbl>
    <w:p>
      <w:pPr>
        <w:spacing w:after="60" w:line="224" w:before="40"/>
      </w:pPr>
      <w:r>
        <w:rPr>
          <w:b/>
          <w:bCs/>
          <w:sz w:val="17"/>
          <w:szCs w:val="17"/>
          <w:rFonts w:ascii="Calibri" w:cs="Calibri" w:eastAsia="Calibri" w:hAnsi="Calibri"/>
        </w:rPr>
        <w:t xml:space="preserve">Example create body:  </w:t>
      </w:r>
      <w:r>
        <w:rPr>
          <w:sz w:val="15"/>
          <w:szCs w:val="15"/>
          <w:rFonts w:ascii="Consolas" w:cs="Consolas" w:eastAsia="Consolas" w:hAnsi="Consolas"/>
        </w:rPr>
        <w:t xml:space="preserve">{ "transactionId": "txn-1001", "customerId": "cust-42", "amount": 125.50, "currency": "GBP", "type": "CASH" }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5 · How I approached testing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b/>
          <w:bCs/>
          <w:sz w:val="17"/>
          <w:szCs w:val="17"/>
          <w:rFonts w:ascii="Calibri" w:cs="Calibri" w:eastAsia="Calibri" w:hAnsi="Calibri"/>
        </w:rPr>
        <w:t xml:space="preserve">TransactionStatusTest</w:t>
      </w:r>
      <w:r>
        <w:rPr>
          <w:sz w:val="17"/>
          <w:szCs w:val="17"/>
          <w:rFonts w:ascii="Calibri" w:cs="Calibri" w:eastAsia="Calibri" w:hAnsi="Calibri"/>
        </w:rPr>
        <w:t xml:space="preserve"> — parameterised unit tests for the transition rules (allowed pairs, forbidden pairs, self-transitions, terminal states); no Spring context.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b/>
          <w:bCs/>
          <w:sz w:val="17"/>
          <w:szCs w:val="17"/>
          <w:rFonts w:ascii="Calibri" w:cs="Calibri" w:eastAsia="Calibri" w:hAnsi="Calibri"/>
        </w:rPr>
        <w:t xml:space="preserve">TransactionApiTest</w:t>
      </w:r>
      <w:r>
        <w:rPr>
          <w:sz w:val="17"/>
          <w:szCs w:val="17"/>
          <w:rFonts w:ascii="Calibri" w:cs="Calibri" w:eastAsia="Calibri" w:hAnsi="Calibri"/>
        </w:rPr>
        <w:t xml:space="preserve"> — @SpringBootTest + MockMvc over real HTTP against H2. Covers the four named cases (created OK, validation rejection, duplicate ID, unknown ID) plus unsupported currency, over-limit amount, unknown type, get existing, both status-update outcomes, unknown-ID update, per-customer filtering, empty list, missing parameter. Provided contextLoads kept. Each test clears the table first, so order does not matter.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b/>
          <w:bCs/>
          <w:sz w:val="17"/>
          <w:szCs w:val="17"/>
          <w:rFonts w:ascii="Calibri" w:cs="Calibri" w:eastAsia="Calibri" w:hAnsi="Calibri"/>
        </w:rPr>
        <w:t xml:space="preserve">Latest clean run: 34 tests, 0 failures / 0 errors (TEST_OUTPUT.txt); also verified from a fresh clone and by hand against a running instance.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6 · Known limitations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No authentication or authorisation. No paging on the per-customer list — fine for the exercise, not for real volumes.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Duplicate-ID detection is check-then-write; the DB unique constraint is the real guard against a race and the service maps it back to a 409.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The assigned variant was not applied (see Assumptions). Clock is injectable but time is not asserted precisely in the integration tests.</w:t>
      </w:r>
    </w:p>
    <w:p>
      <w:pPr>
        <w:spacing w:before="92" w:after="40" w:line="224"/>
      </w:pPr>
      <w:r>
        <w:rPr>
          <w:b/>
          <w:bCs/>
          <w:color w:val="1F4E79"/>
          <w:sz w:val="20"/>
          <w:szCs w:val="20"/>
          <w:rFonts w:ascii="Calibri" w:cs="Calibri" w:eastAsia="Calibri" w:hAnsi="Calibri"/>
        </w:rPr>
        <w:t xml:space="preserve">7 · What I would improve with more time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Apply the real assigned variant; add per-field detail to the 422 business-rule errors (currency, amount) so the body points at the offending field.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A TransactionService unit test with a mocked repository and a fixed Clock, separate from the HTTP tests.</w:t>
      </w:r>
    </w:p>
    <w:p>
      <w:pPr>
        <w:pStyle w:val="ListParagraph"/>
        <w:numPr>
          <w:ilvl w:val="0"/>
          <w:numId w:val="1"/>
        </w:numPr>
        <w:spacing w:after="40" w:line="224"/>
      </w:pPr>
      <w:r>
        <w:rPr>
          <w:sz w:val="17"/>
          <w:szCs w:val="17"/>
          <w:rFonts w:ascii="Calibri" w:cs="Calibri" w:eastAsia="Calibri" w:hAnsi="Calibri"/>
        </w:rPr>
        <w:t xml:space="preserve">Idempotency on create (same ID + same body → return the existing resource); OpenAPI/Swagger for the contract; persist a status-change history rather than only the current status.</w:t>
      </w:r>
    </w:p>
    <w:sectPr>
      <w:pgSz w:w="11906" w:h="16838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Calibri" w:cs="Calibri" w:eastAsia="Calibri" w:hAnsi="Calibri"/>
      </w:rPr>
    </w:rPrDefault>
    <w:pPrDefault>
      <w:pPr>
        <w:spacing w:line="22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Transactions Service — Documentation</dc:title>
  <dc:creator>Harshith</dc:creator>
  <cp:lastModifiedBy>Un-named</cp:lastModifiedBy>
  <cp:revision>1</cp:revision>
  <dcterms:created xsi:type="dcterms:W3CDTF">2026-08-30T07:18:20.667Z</dcterms:created>
  <dcterms:modified xsi:type="dcterms:W3CDTF">2026-08-30T07:18:20.668Z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