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16"/>
      </w:pPr>
      <w:r>
        <w:rPr>
          <w:b/>
          <w:bCs/>
          <w:color w:val="1F4E79"/>
          <w:sz w:val="30"/>
          <w:szCs w:val="30"/>
          <w:rFonts w:ascii="Calibri" w:cs="Calibri" w:eastAsia="Calibri" w:hAnsi="Calibri"/>
        </w:rPr>
        <w:t xml:space="preserve">Customer Transactions Service — Documentation</w:t>
      </w:r>
    </w:p>
    <w:p>
      <w:pPr>
        <w:pBdr>
          <w:bottom w:val="single" w:color="1F4E79" w:sz="6" w:space="5"/>
        </w:pBdr>
        <w:spacing w:after="120" w:line="216"/>
      </w:pPr>
      <w:r>
        <w:rPr>
          <w:i/>
          <w:iCs/>
          <w:color w:val="595959"/>
          <w:sz w:val="16"/>
          <w:szCs w:val="16"/>
          <w:rFonts w:ascii="Calibri" w:cs="Calibri" w:eastAsia="Calibri" w:hAnsi="Calibri"/>
        </w:rPr>
        <w:t xml:space="preserve">Toucan Payments Engineering Challenge 2026  ·  Java 17 · Spring Boot · H2 · JUnit  ·  build &amp; test: ./mvnw clean test  ·  73 tests passing</w:t>
      </w:r>
    </w:p>
    <w:p>
      <w:pPr>
        <w:spacing w:before="92" w:after="40" w:line="216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1 · Understanding of the problem</w:t>
      </w:r>
    </w:p>
    <w:p>
      <w:pPr>
        <w:spacing w:after="60" w:line="216" w:before="0"/>
      </w:pPr>
      <w:r>
        <w:rPr>
          <w:sz w:val="17"/>
          <w:szCs w:val="17"/>
          <w:rFonts w:ascii="Calibri" w:cs="Calibri" w:eastAsia="Calibri" w:hAnsi="Calibri"/>
        </w:rPr>
        <w:t xml:space="preserve">Build the business logic for a service that manages customer transactions (Transaction ID, Customer ID, amount, currency, type, status), exposing four operations: create (validate, store, reject invalid input and duplicate IDs), get one by ID, change the status of an existing transaction under controlled rules, and list all transactions for a customer. The Maven/Spring Boot/H2/JUnit scaffold is given; the assessed work is the model, validation, error handling, structure and tests.</w:t>
      </w:r>
    </w:p>
    <w:p>
      <w:pPr>
        <w:spacing w:before="92" w:after="40" w:line="216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2 · Assumptions</w:t>
      </w:r>
    </w:p>
    <w:p>
      <w:pPr>
        <w:spacing w:after="60" w:line="216" w:before="0"/>
      </w:pPr>
      <w:r>
        <w:rPr>
          <w:sz w:val="17"/>
          <w:szCs w:val="17"/>
          <w:rFonts w:ascii="Calibri" w:cs="Calibri" w:eastAsia="Calibri" w:hAnsi="Calibri"/>
        </w:rPr>
        <w:t xml:space="preserve">The per-candidate variant (currencies, max amount, types, or one extra rule) from the invitation email was not available. Defaults used, all changeable in one place:</w:t>
      </w:r>
    </w:p>
    <w:tbl>
      <w:tblPr>
        <w:tblW w:type="dxa" w:w="1030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ADADA" w:sz="2"/>
          <w:insideV w:val="single" w:color="DADADA" w:sz="2"/>
        </w:tblBorders>
      </w:tblPr>
      <w:tblGrid>
        <w:gridCol w:w="2500"/>
        <w:gridCol w:w="2600"/>
        <w:gridCol w:w="5200"/>
      </w:tblGrid>
      <w:tr>
        <w:trPr>
          <w:tblHeader/>
        </w:trPr>
        <w:tc>
          <w:tcPr>
            <w:tcW w:type="dxa" w:w="250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Setting</w:t>
            </w:r>
          </w:p>
        </w:tc>
        <w:tc>
          <w:tcPr>
            <w:tcW w:type="dxa" w:w="260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Value</w:t>
            </w:r>
          </w:p>
        </w:tc>
        <w:tc>
          <w:tcPr>
            <w:tcW w:type="dxa" w:w="520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Where to change</w:t>
            </w:r>
          </w:p>
        </w:tc>
      </w:tr>
      <w:t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Permitted currencies</w:t>
            </w:r>
          </w:p>
        </w:tc>
        <w:tc>
          <w:tcPr>
            <w:tcW w:type="dxa" w:w="26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GBP, EUR, USD, INR</w:t>
            </w:r>
          </w:p>
        </w:tc>
        <w:tc>
          <w:tcPr>
            <w:tcW w:type="dxa" w:w="52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application.yml → transaction.allowed-currencies</w:t>
            </w:r>
          </w:p>
        </w:tc>
      </w:tr>
      <w:t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Maximum amount</w:t>
            </w:r>
          </w:p>
        </w:tc>
        <w:tc>
          <w:tcPr>
            <w:tcW w:type="dxa" w:w="26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40000.00</w:t>
            </w:r>
          </w:p>
        </w:tc>
        <w:tc>
          <w:tcPr>
            <w:tcW w:type="dxa" w:w="52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application.yml → transaction.max-amount</w:t>
            </w:r>
          </w:p>
        </w:tc>
      </w:tr>
      <w:tr>
        <w:tc>
          <w:tcPr>
            <w:tcW w:type="dxa" w:w="25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Transaction types</w:t>
            </w:r>
          </w:p>
        </w:tc>
        <w:tc>
          <w:tcPr>
            <w:tcW w:type="dxa" w:w="26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CASH, CARD, UPI, ONLINE</w:t>
            </w:r>
          </w:p>
        </w:tc>
        <w:tc>
          <w:tcPr>
            <w:tcW w:type="dxa" w:w="520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TransactionType enum</w:t>
            </w:r>
          </w:p>
        </w:tc>
      </w:tr>
    </w:tbl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Transaction ID is caller-supplied and is the primary key (rejecting a duplicate ID only makes sense for a natural key). </w:t>
      </w:r>
      <w:r>
        <w:rPr>
          <w:b/>
          <w:bCs/>
          <w:sz w:val="17"/>
          <w:szCs w:val="17"/>
          <w:rFonts w:ascii="Calibri" w:cs="Calibri" w:eastAsia="Calibri" w:hAnsi="Calibri"/>
        </w:rPr>
        <w:t xml:space="preserve">New transactions always start PENDING</w:t>
      </w:r>
      <w:r>
        <w:rPr>
          <w:sz w:val="17"/>
          <w:szCs w:val="17"/>
          <w:rFonts w:ascii="Calibri" w:cs="Calibri" w:eastAsia="Calibri" w:hAnsi="Calibri"/>
        </w:rPr>
        <w:t xml:space="preserve"> — the client cannot set the initial status.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Amount stored as BigDecimal scale 2 (</w:t>
      </w:r>
      <w:r>
        <w:rPr>
          <w:sz w:val="17"/>
          <w:szCs w:val="17"/>
          <w:rFonts w:ascii="Consolas" w:cs="Consolas" w:eastAsia="Consolas" w:hAnsi="Consolas"/>
        </w:rPr>
        <w:t xml:space="preserve">10</w:t>
      </w:r>
      <w:r>
        <w:rPr>
          <w:sz w:val="17"/>
          <w:szCs w:val="17"/>
          <w:rFonts w:ascii="Calibri" w:cs="Calibri" w:eastAsia="Calibri" w:hAnsi="Calibri"/>
        </w:rPr>
        <w:t xml:space="preserve"> and </w:t>
      </w:r>
      <w:r>
        <w:rPr>
          <w:sz w:val="17"/>
          <w:szCs w:val="17"/>
          <w:rFonts w:ascii="Consolas" w:cs="Consolas" w:eastAsia="Consolas" w:hAnsi="Consolas"/>
        </w:rPr>
        <w:t xml:space="preserve">10.00</w:t>
      </w:r>
      <w:r>
        <w:rPr>
          <w:sz w:val="17"/>
          <w:szCs w:val="17"/>
          <w:rFonts w:ascii="Calibri" w:cs="Calibri" w:eastAsia="Calibri" w:hAnsi="Calibri"/>
        </w:rPr>
        <w:t xml:space="preserve"> are equal, returned as </w:t>
      </w:r>
      <w:r>
        <w:rPr>
          <w:sz w:val="17"/>
          <w:szCs w:val="17"/>
          <w:rFonts w:ascii="Consolas" w:cs="Consolas" w:eastAsia="Consolas" w:hAnsi="Consolas"/>
        </w:rPr>
        <w:t xml:space="preserve">10.00</w:t>
      </w:r>
      <w:r>
        <w:rPr>
          <w:sz w:val="17"/>
          <w:szCs w:val="17"/>
          <w:rFonts w:ascii="Calibri" w:cs="Calibri" w:eastAsia="Calibri" w:hAnsi="Calibri"/>
        </w:rPr>
        <w:t xml:space="preserve">). Currency is a 3-letter uppercase code, only accepted if in the permitted set.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Listing a customer with no transactions returns 200 and an empty array, not 404. No authentication, no paging, single node — out of scope for the exercise.</w:t>
      </w:r>
    </w:p>
    <w:p>
      <w:pPr>
        <w:spacing w:before="92" w:after="40" w:line="216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3 · Validation rules</w:t>
      </w:r>
    </w:p>
    <w:p>
      <w:pPr>
        <w:spacing w:after="60" w:line="216" w:before="0"/>
      </w:pPr>
      <w:r>
        <w:rPr>
          <w:sz w:val="17"/>
          <w:szCs w:val="17"/>
          <w:rFonts w:ascii="Calibri" w:cs="Calibri" w:eastAsia="Calibri" w:hAnsi="Calibri"/>
        </w:rPr>
        <w:t xml:space="preserve">Two layers: format rules are Bean Validation annotations (fail with 400, malformed request); business rules need the DB or configured limits, live in TransactionService, and fail with 422 (well formed but not acceptable) — or 409 for a conflict with existing state.</w:t>
      </w:r>
    </w:p>
    <w:tbl>
      <w:tblPr>
        <w:tblW w:type="dxa" w:w="1030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ADADA" w:sz="2"/>
          <w:insideV w:val="single" w:color="DADADA" w:sz="2"/>
        </w:tblBorders>
      </w:tblPr>
      <w:tblGrid>
        <w:gridCol w:w="1750"/>
        <w:gridCol w:w="4550"/>
        <w:gridCol w:w="2550"/>
        <w:gridCol w:w="1450"/>
      </w:tblGrid>
      <w:tr>
        <w:trPr>
          <w:tblHeader/>
        </w:trPr>
        <w:tc>
          <w:tcPr>
            <w:tcW w:type="dxa" w:w="17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Field</w:t>
            </w:r>
          </w:p>
        </w:tc>
        <w:tc>
          <w:tcPr>
            <w:tcW w:type="dxa" w:w="45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Rule</w:t>
            </w:r>
          </w:p>
        </w:tc>
        <w:tc>
          <w:tcPr>
            <w:tcW w:type="dxa" w:w="25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Enforced by</w:t>
            </w:r>
          </w:p>
        </w:tc>
        <w:tc>
          <w:tcPr>
            <w:tcW w:type="dxa" w:w="14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Failure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transactionId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^[A-Za-z0-9-]{1,64}$ ; must not already exist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annotation; service existsById + DB unique constraint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409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customerId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^[A-Za-z0-9-]{1,64}$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amount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&gt; 0; ≤ 2 decimals (400);  ≤ configured maximum 40000.00 (422)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annotation; service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422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currency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exactly 3 uppercase letters (400);  in the permitted set (422)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annotation; service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422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type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required; one of the TransactionType values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annotation + JSON parsing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status (create)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not accepted; server sets PENDING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ignored by DTO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—</w:t>
            </w:r>
          </w:p>
        </w:tc>
      </w:tr>
      <w:tr>
        <w:tc>
          <w:tcPr>
            <w:tcW w:type="dxa" w:w="17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status (update)</w:t>
            </w:r>
          </w:p>
        </w:tc>
        <w:tc>
          <w:tcPr>
            <w:tcW w:type="dxa" w:w="4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valid enum value and an allowed transition</w:t>
            </w:r>
          </w:p>
        </w:tc>
        <w:tc>
          <w:tcPr>
            <w:tcW w:type="dxa" w:w="25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JSON parsing + service</w:t>
            </w:r>
          </w:p>
        </w:tc>
        <w:tc>
          <w:tcPr>
            <w:tcW w:type="dxa" w:w="14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400 / 409</w:t>
            </w:r>
          </w:p>
        </w:tc>
      </w:tr>
    </w:tbl>
    <w:p>
      <w:pPr>
        <w:spacing w:after="60" w:line="216" w:before="40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Status transitions: </w:t>
      </w:r>
      <w:r>
        <w:rPr>
          <w:sz w:val="15"/>
          <w:szCs w:val="15"/>
          <w:rFonts w:ascii="Consolas" w:cs="Consolas" w:eastAsia="Consolas" w:hAnsi="Consolas"/>
        </w:rPr>
        <w:t xml:space="preserve">PENDING → COMPLETED | FAILED | CANCELLED ;  COMPLETED → REVERSED ;  FAILED / CANCELLED / REVERSED are terminal.</w:t>
      </w:r>
    </w:p>
    <w:p>
      <w:pPr>
        <w:spacing w:after="60" w:line="216" w:before="0"/>
      </w:pPr>
      <w:r>
        <w:rPr>
          <w:sz w:val="17"/>
          <w:szCs w:val="17"/>
          <w:rFonts w:ascii="Calibri" w:cs="Calibri" w:eastAsia="Calibri" w:hAnsi="Calibri"/>
        </w:rPr>
        <w:t xml:space="preserve">A transaction stays PENDING until it settles, then succeeds (COMPLETED), fails (FAILED) or is pulled before settling (CANCELLED); only a settled transaction can be REVERSED. A transition to the same status is rejected (409). The rules live in the TransactionStatus enum so they are unit-testable without Spring.</w:t>
      </w:r>
    </w:p>
    <w:p>
      <w:pPr>
        <w:spacing w:before="92" w:after="40" w:line="216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4 · API endpoints</w:t>
      </w:r>
    </w:p>
    <w:p>
      <w:pPr>
        <w:spacing w:after="60" w:line="216" w:before="0"/>
      </w:pPr>
      <w:r>
        <w:rPr>
          <w:sz w:val="17"/>
          <w:szCs w:val="17"/>
          <w:rFonts w:ascii="Calibri" w:cs="Calibri" w:eastAsia="Calibri" w:hAnsi="Calibri"/>
        </w:rPr>
        <w:t xml:space="preserve">Base path /api/transactions. JSON bodies. Every error shares one shape: timestamp, status, error, message, path, and fieldErrors for validation failures.</w:t>
      </w:r>
    </w:p>
    <w:tbl>
      <w:tblPr>
        <w:tblW w:type="dxa" w:w="10300"/>
        <w:tblBorders>
          <w:top w:val="single" w:color="B0B0B0" w:sz="2"/>
          <w:left w:val="single" w:color="B0B0B0" w:sz="2"/>
          <w:bottom w:val="single" w:color="B0B0B0" w:sz="2"/>
          <w:right w:val="single" w:color="B0B0B0" w:sz="2"/>
          <w:insideH w:val="single" w:color="DADADA" w:sz="2"/>
          <w:insideV w:val="single" w:color="DADADA" w:sz="2"/>
        </w:tblBorders>
      </w:tblPr>
      <w:tblGrid>
        <w:gridCol w:w="620"/>
        <w:gridCol w:w="3050"/>
        <w:gridCol w:w="6630"/>
      </w:tblGrid>
      <w:tr>
        <w:trPr>
          <w:tblHeader/>
        </w:trPr>
        <w:tc>
          <w:tcPr>
            <w:tcW w:type="dxa" w:w="62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Op</w:t>
            </w:r>
          </w:p>
        </w:tc>
        <w:tc>
          <w:tcPr>
            <w:tcW w:type="dxa" w:w="305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Endpoint</w:t>
            </w:r>
          </w:p>
        </w:tc>
        <w:tc>
          <w:tcPr>
            <w:tcW w:type="dxa" w:w="6630"/>
            <w:shd w:fill="1F4E79" w:val="clear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/>
                <w:bCs/>
                <w:color w:val="FFFFFF"/>
                <w:sz w:val="15"/>
                <w:szCs w:val="15"/>
                <w:rFonts w:ascii="Calibri" w:cs="Calibri" w:eastAsia="Calibri" w:hAnsi="Calibri"/>
              </w:rPr>
              <w:t xml:space="preserve">Behaviour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POST /api/transactions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201 + Location header; body is the stored transaction, status PENDING. 400 format failure, 422 business-rule failure (currency, amount limit), 409 if the ID exists.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GET /api/transactions/{id}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 with the transaction, or 404.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C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PATCH /api/transactions/{id}/status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Body { "status": "COMPLETED" }. 200 with the updated transaction. 404 unknown, 409 forbidden transition, 400 unknown status value.</w:t>
            </w:r>
          </w:p>
        </w:tc>
      </w:tr>
      <w:tr>
        <w:tc>
          <w:tcPr>
            <w:tcW w:type="dxa" w:w="62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D</w:t>
            </w:r>
          </w:p>
        </w:tc>
        <w:tc>
          <w:tcPr>
            <w:tcW w:type="dxa" w:w="305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4"/>
                <w:szCs w:val="14"/>
                <w:rFonts w:ascii="Consolas" w:cs="Consolas" w:eastAsia="Consolas" w:hAnsi="Consolas"/>
              </w:rPr>
              <w:t xml:space="preserve">GET /api/transactions?customerId={id}</w:t>
            </w:r>
          </w:p>
        </w:tc>
        <w:tc>
          <w:tcPr>
            <w:tcW w:type="dxa" w:w="6630"/>
            <w:tcMar>
              <w:top w:type="dxa" w:w="20"/>
              <w:left w:type="dxa" w:w="70"/>
              <w:bottom w:type="dxa" w:w="20"/>
              <w:right w:type="dxa" w:w="70"/>
            </w:tcMar>
          </w:tcPr>
          <w:p>
            <w:pPr>
              <w:spacing w:after="0" w:line="218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200 with a JSON array (oldest first), empty if none. 400 if customerId is missing.</w:t>
            </w:r>
          </w:p>
        </w:tc>
      </w:tr>
    </w:tbl>
    <w:p>
      <w:pPr>
        <w:spacing w:after="60" w:line="216" w:before="40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Example create body:  </w:t>
      </w:r>
      <w:r>
        <w:rPr>
          <w:sz w:val="15"/>
          <w:szCs w:val="15"/>
          <w:rFonts w:ascii="Consolas" w:cs="Consolas" w:eastAsia="Consolas" w:hAnsi="Consolas"/>
        </w:rPr>
        <w:t xml:space="preserve">{ "transactionId": "txn-1001", "customerId": "cust-42", "amount": 125.50, "currency": "GBP", "type": "CASH" }</w:t>
      </w:r>
    </w:p>
    <w:p>
      <w:pPr>
        <w:spacing w:before="92" w:after="40" w:line="216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5 · How I approached testing</w:t>
      </w:r>
    </w:p>
    <w:p>
      <w:pPr>
        <w:spacing w:after="60" w:line="216" w:before="0"/>
      </w:pPr>
      <w:r>
        <w:rPr>
          <w:sz w:val="17"/>
          <w:szCs w:val="17"/>
          <w:rFonts w:ascii="Calibri" w:cs="Calibri" w:eastAsia="Calibri" w:hAnsi="Calibri"/>
        </w:rPr>
        <w:t xml:space="preserve">Each rule is tested at the lowest layer it lives in; the integration test only proves the layers are wired together. 73 tests in five classes: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TransactionStatusTest</w:t>
      </w:r>
      <w:r>
        <w:rPr>
          <w:sz w:val="17"/>
          <w:szCs w:val="17"/>
          <w:rFonts w:ascii="Calibri" w:cs="Calibri" w:eastAsia="Calibri" w:hAnsi="Calibri"/>
        </w:rPr>
        <w:t xml:space="preserve"> (17) — transition rules alone, parameterised. No Spring.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CreateTransactionRequestValidationTest</w:t>
      </w:r>
      <w:r>
        <w:rPr>
          <w:sz w:val="17"/>
          <w:szCs w:val="17"/>
          <w:rFonts w:ascii="Calibri" w:cs="Calibri" w:eastAsia="Calibri" w:hAnsi="Calibri"/>
        </w:rPr>
        <w:t xml:space="preserve"> (18) — the DTO annotations alone via a raw Validator, one test per constraint. No Spring.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TransactionServiceTest</w:t>
      </w:r>
      <w:r>
        <w:rPr>
          <w:sz w:val="17"/>
          <w:szCs w:val="17"/>
          <w:rFonts w:ascii="Calibri" w:cs="Calibri" w:eastAsia="Calibri" w:hAnsi="Calibri"/>
        </w:rPr>
        <w:t xml:space="preserve"> (15) — business rules alone, mocked repository + fixed Clock: currency whitelist, amount cap and boundary, scale normalisation, timestamps, duplicate rejected before any write, a DB unique-violation turned into a clean 409, every status-update outcome. verify(never().save()) on each rejection.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TransactionControllerTest</w:t>
      </w:r>
      <w:r>
        <w:rPr>
          <w:sz w:val="17"/>
          <w:szCs w:val="17"/>
          <w:rFonts w:ascii="Calibri" w:cs="Calibri" w:eastAsia="Calibri" w:hAnsi="Calibri"/>
        </w:rPr>
        <w:t xml:space="preserve"> (14) — web layer alone, @WebMvcTest + mocked service: status/exception mapping (201 + Location, 400 / 422 / 409 / 404), a malformed body never reaching the service, a malformed id in the URL as a 400 not a 500.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TransactionApiTest</w:t>
      </w:r>
      <w:r>
        <w:rPr>
          <w:sz w:val="17"/>
          <w:szCs w:val="17"/>
          <w:rFonts w:ascii="Calibri" w:cs="Calibri" w:eastAsia="Calibri" w:hAnsi="Calibri"/>
        </w:rPr>
        <w:t xml:space="preserve"> (8) — whole stack, @SpringBootTest + real H2, @Transactional: the four named scenarios, the full lifecycle, and that data persists between requests.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b/>
          <w:bCs/>
          <w:sz w:val="17"/>
          <w:szCs w:val="17"/>
          <w:rFonts w:ascii="Calibri" w:cs="Calibri" w:eastAsia="Calibri" w:hAnsi="Calibri"/>
        </w:rPr>
        <w:t xml:space="preserve">Latest clean run: 73 tests, 0 failures / 0 errors (TEST_OUTPUT.txt); also verified from a fresh clone.</w:t>
      </w:r>
    </w:p>
    <w:p>
      <w:pPr>
        <w:spacing w:before="92" w:after="40" w:line="216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6 · Known limitations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No authentication or authorisation. No paging on the per-customer list — fine for the exercise, not for real volumes.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Duplicate-ID detection is check-then-write; the DB unique constraint is the real guard against a race and the service maps it back to a 409.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The assigned variant was not applied (see Assumptions). Currency is shape-checked against the permitted set, not a full ISO-4217 register.</w:t>
      </w:r>
    </w:p>
    <w:p>
      <w:pPr>
        <w:spacing w:before="92" w:after="40" w:line="216"/>
      </w:pPr>
      <w:r>
        <w:rPr>
          <w:b/>
          <w:bCs/>
          <w:color w:val="1F4E79"/>
          <w:sz w:val="20"/>
          <w:szCs w:val="20"/>
          <w:rFonts w:ascii="Calibri" w:cs="Calibri" w:eastAsia="Calibri" w:hAnsi="Calibri"/>
        </w:rPr>
        <w:t xml:space="preserve">7 · What I would improve with more time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Apply the real assigned variant; add per-field detail to the 422 business-rule errors so the body points at the offending field.</w:t>
      </w:r>
    </w:p>
    <w:p>
      <w:pPr>
        <w:pStyle w:val="ListParagraph"/>
        <w:numPr>
          <w:ilvl w:val="0"/>
          <w:numId w:val="1"/>
        </w:numPr>
        <w:spacing w:after="40" w:line="216"/>
      </w:pPr>
      <w:r>
        <w:rPr>
          <w:sz w:val="17"/>
          <w:szCs w:val="17"/>
          <w:rFonts w:ascii="Calibri" w:cs="Calibri" w:eastAsia="Calibri" w:hAnsi="Calibri"/>
        </w:rPr>
        <w:t xml:space="preserve">Idempotency on create (same ID + same body → return the existing resource); OpenAPI/Swagger for the contract; persist a status-change history rather than only the current status.</w:t>
      </w:r>
    </w:p>
    <w:sectPr>
      <w:pgSz w:w="11906" w:h="16838" w:orient="portrait"/>
      <w:pgMar w:top="620" w:right="720" w:bottom="5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7"/>
        <w:szCs w:val="17"/>
        <w:rFonts w:ascii="Calibri" w:cs="Calibri" w:eastAsia="Calibri" w:hAnsi="Calibri"/>
      </w:rPr>
    </w:rPrDefault>
    <w:pPrDefault>
      <w:pPr>
        <w:spacing w:line="21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Transactions Service — Documentation</dc:title>
  <dc:creator>Harshith</dc:creator>
  <cp:lastModifiedBy>Un-named</cp:lastModifiedBy>
  <cp:revision>1</cp:revision>
  <dcterms:created xsi:type="dcterms:W3CDTF">2026-08-31T05:58:19.303Z</dcterms:created>
  <dcterms:modified xsi:type="dcterms:W3CDTF">2026-08-31T05:58:19.304Z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