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Enterprise Policy Document</w:t>
      </w:r>
    </w:p>
    <w:p>
      <w:r>
        <w:t>Company: Example Corp</w:t>
      </w:r>
    </w:p>
    <w:p>
      <w:r>
        <w:t>Document Date: January 09, 2026</w:t>
      </w:r>
    </w:p>
    <w:p>
      <w:pPr>
        <w:pStyle w:val="Heading1"/>
      </w:pPr>
      <w:r>
        <w:t>1. HR Policies</w:t>
      </w:r>
    </w:p>
    <w:p>
      <w:r>
        <w:t>This section outlines the company's HR policies, including attendance, conduct, use of company resources, and anti-harassment measures. All employees must comply with these policies to maintain a healthy work environment.</w:t>
      </w:r>
    </w:p>
    <w:p>
      <w:pPr>
        <w:pStyle w:val="Heading1"/>
      </w:pPr>
      <w:r>
        <w:t>2. Financial Policies</w:t>
      </w:r>
    </w:p>
    <w:p>
      <w:r>
        <w:t>All employees must follow the rules regarding company expenditure, reporting, and approval procedures. Company credit cards and funds must be used responsibly.</w:t>
      </w:r>
    </w:p>
    <w:p>
      <w:pPr>
        <w:pStyle w:val="Heading1"/>
      </w:pPr>
      <w:r>
        <w:t>3. Cybersecurity Policies</w:t>
      </w:r>
    </w:p>
    <w:p>
      <w:r>
        <w:t>Employees must ensure the security of company data and passwords. Data breaches should be reported immediately to the IT department.</w:t>
      </w:r>
    </w:p>
    <w:p>
      <w:pPr>
        <w:pStyle w:val="Heading1"/>
      </w:pPr>
      <w:r>
        <w:t>4. Conclusion</w:t>
      </w:r>
    </w:p>
    <w:p>
      <w:r>
        <w:t>This document serves as a baseline for company operations. It should be reviewed regularly and updated according to legal and operational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