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120"/>
              <w:jc w:val="center"/>
            </w:pPr>
            <w:r>
              <w:rPr>
                <w:rFonts w:ascii="Arial" w:cs="Arial" w:eastAsia="Arial" w:hAnsi="Arial"/>
                <w:b/>
                <w:bCs/>
                <w:color w:val="FFFFFF"/>
                <w:sz w:val="64"/>
                <w:szCs w:val="64"/>
              </w:rPr>
              <w:t xml:space="preserve">TenderGraph AI+</w:t>
            </w:r>
          </w:p>
          <w:p>
            <w:pPr>
              <w:spacing w:after="60" w:before="60"/>
              <w:jc w:val="center"/>
            </w:pPr>
            <w:r>
              <w:rPr>
                <w:rFonts w:ascii="Arial" w:cs="Arial" w:eastAsia="Arial" w:hAnsi="Arial"/>
                <w:i/>
                <w:iCs/>
                <w:color w:val="B8D4F0"/>
                <w:sz w:val="28"/>
                <w:szCs w:val="28"/>
              </w:rPr>
              <w:t xml:space="preserve">AI-Powered Tender Evaluation &amp; Bidder Eligibility Platform</w:t>
            </w:r>
          </w:p>
          <w:p>
            <w:pPr>
              <w:spacing w:after="0" w:before="120"/>
              <w:jc w:val="center"/>
            </w:pPr>
            <w:r>
              <w:rPr>
                <w:rFonts w:ascii="Arial" w:cs="Arial" w:eastAsia="Arial" w:hAnsi="Arial"/>
                <w:color w:val="90B8E0"/>
                <w:sz w:val="22"/>
                <w:szCs w:val="22"/>
              </w:rPr>
              <w:t xml:space="preserve">Government Procurement Innovation Hackathon  |  Theme 3  |  CRPF</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B" w:val="clear"/>
            <w:tcMar>
              <w:top w:type="dxa" w:w="240"/>
              <w:left w:type="dxa" w:w="360"/>
              <w:bottom w:type="dxa" w:w="240"/>
              <w:right w:type="dxa" w:w="360"/>
            </w:tcMar>
          </w:tcPr>
          <w:p>
            <w:pPr>
              <w:jc w:val="center"/>
            </w:pPr>
            <w:r>
              <w:rPr>
                <w:rFonts w:ascii="Arial" w:cs="Arial" w:eastAsia="Arial" w:hAnsi="Arial"/>
                <w:b/>
                <w:bCs/>
                <w:i/>
                <w:iCs/>
                <w:color w:val="1B2A4A"/>
                <w:sz w:val="23"/>
                <w:szCs w:val="23"/>
              </w:rPr>
              <w:t xml:space="preserve">"From Hundreds of Pages to One Trusted Decision — Explainable, Auditable, Government-Ready"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5FA3" w:val="clear"/>
            <w:tcMar>
              <w:top w:type="dxa" w:w="160"/>
              <w:left w:type="dxa" w:w="80"/>
              <w:bottom w:type="dxa" w:w="160"/>
              <w:right w:type="dxa" w:w="80"/>
            </w:tcMar>
          </w:tcPr>
          <w:p>
            <w:pPr>
              <w:jc w:val="center"/>
            </w:pPr>
            <w:r>
              <w:rPr>
                <w:rFonts w:ascii="Arial" w:cs="Arial" w:eastAsia="Arial" w:hAnsi="Arial"/>
                <w:b/>
                <w:bCs/>
                <w:color w:val="FFFFFF"/>
                <w:sz w:val="20"/>
                <w:szCs w:val="20"/>
              </w:rPr>
              <w:t xml:space="preserve">Criterion-Level
Explainability</w:t>
            </w:r>
          </w:p>
        </w:tc>
        <w:tc>
          <w:tcPr>
            <w:tcW w:type="dxa" w:w="2340"/>
            <w:tcBorders>
              <w:top w:val="none" w:color="FFFFFF" w:sz="0"/>
              <w:left w:val="none" w:color="FFFFFF" w:sz="0"/>
              <w:bottom w:val="none" w:color="FFFFFF" w:sz="0"/>
              <w:right w:val="none" w:color="FFFFFF" w:sz="0"/>
            </w:tcBorders>
            <w:shd w:fill="217645" w:val="clear"/>
            <w:tcMar>
              <w:top w:type="dxa" w:w="160"/>
              <w:left w:type="dxa" w:w="80"/>
              <w:bottom w:type="dxa" w:w="160"/>
              <w:right w:type="dxa" w:w="80"/>
            </w:tcMar>
          </w:tcPr>
          <w:p>
            <w:pPr>
              <w:jc w:val="center"/>
            </w:pPr>
            <w:r>
              <w:rPr>
                <w:rFonts w:ascii="Arial" w:cs="Arial" w:eastAsia="Arial" w:hAnsi="Arial"/>
                <w:b/>
                <w:bCs/>
                <w:color w:val="FFFFFF"/>
                <w:sz w:val="20"/>
                <w:szCs w:val="20"/>
              </w:rPr>
              <w:t xml:space="preserve">Zero Silent
Rejections</w:t>
            </w:r>
          </w:p>
        </w:tc>
        <w:tc>
          <w:tcPr>
            <w:tcW w:type="dxa" w:w="2340"/>
            <w:tcBorders>
              <w:top w:val="none" w:color="FFFFFF" w:sz="0"/>
              <w:left w:val="none" w:color="FFFFFF" w:sz="0"/>
              <w:bottom w:val="none" w:color="FFFFFF" w:sz="0"/>
              <w:right w:val="none" w:color="FFFFFF" w:sz="0"/>
            </w:tcBorders>
            <w:shd w:fill="1A7FC1" w:val="clear"/>
            <w:tcMar>
              <w:top w:type="dxa" w:w="160"/>
              <w:left w:type="dxa" w:w="80"/>
              <w:bottom w:type="dxa" w:w="160"/>
              <w:right w:type="dxa" w:w="80"/>
            </w:tcMar>
          </w:tcPr>
          <w:p>
            <w:pPr>
              <w:jc w:val="center"/>
            </w:pPr>
            <w:r>
              <w:rPr>
                <w:rFonts w:ascii="Arial" w:cs="Arial" w:eastAsia="Arial" w:hAnsi="Arial"/>
                <w:b/>
                <w:bCs/>
                <w:color w:val="FFFFFF"/>
                <w:sz w:val="20"/>
                <w:szCs w:val="20"/>
              </w:rPr>
              <w:t xml:space="preserve">Multi-Format
OCR + Vision</w:t>
            </w:r>
          </w:p>
        </w:tc>
        <w:tc>
          <w:tcPr>
            <w:tcW w:type="dxa" w:w="2340"/>
            <w:tcBorders>
              <w:top w:val="none" w:color="FFFFFF" w:sz="0"/>
              <w:left w:val="none" w:color="FFFFFF" w:sz="0"/>
              <w:bottom w:val="none" w:color="FFFFFF" w:sz="0"/>
              <w:right w:val="none" w:color="FFFFFF" w:sz="0"/>
            </w:tcBorders>
            <w:shd w:fill="1B2A4A" w:val="clear"/>
            <w:tcMar>
              <w:top w:type="dxa" w:w="160"/>
              <w:left w:type="dxa" w:w="80"/>
              <w:bottom w:type="dxa" w:w="160"/>
              <w:right w:type="dxa" w:w="80"/>
            </w:tcMar>
          </w:tcPr>
          <w:p>
            <w:pPr>
              <w:jc w:val="center"/>
            </w:pPr>
            <w:r>
              <w:rPr>
                <w:rFonts w:ascii="Arial" w:cs="Arial" w:eastAsia="Arial" w:hAnsi="Arial"/>
                <w:b/>
                <w:bCs/>
                <w:color w:val="FFFFFF"/>
                <w:sz w:val="20"/>
                <w:szCs w:val="20"/>
              </w:rPr>
              <w:t xml:space="preserve">Full Audit
Trail</w:t>
            </w:r>
          </w:p>
        </w:tc>
      </w:tr>
    </w:tbl>
    <w:p>
      <w:pPr>
        <w:spacing w:after="0" w:before="0"/>
      </w:pPr>
      <w:r>
        <w:t xml:space="preserve"/>
      </w:r>
    </w:p>
    <w:p>
      <w:pPr>
        <w:spacing w:after="0" w:before="0"/>
      </w:pPr>
      <w:r>
        <w:t xml:space="preserve"/>
      </w:r>
    </w:p>
    <w:p>
      <w:pPr>
        <w:pBdr>
          <w:bottom w:val="single" w:color="2E5FA3" w:sz="4" w:space="1"/>
        </w:pBdr>
        <w:spacing w:after="120" w:before="120"/>
      </w:pPr>
    </w:p>
    <w:p>
      <w:pPr>
        <w:spacing w:after="0" w:before="0"/>
      </w:pPr>
      <w:r>
        <w:t xml:space="preserve"/>
      </w:r>
    </w:p>
    <w:p>
      <w:pPr>
        <w:jc w:val="center"/>
      </w:pPr>
      <w:r>
        <w:rPr>
          <w:rFonts w:ascii="Arial" w:cs="Arial" w:eastAsia="Arial" w:hAnsi="Arial"/>
          <w:b/>
          <w:bCs/>
          <w:color w:val="555555"/>
          <w:sz w:val="22"/>
          <w:szCs w:val="22"/>
        </w:rPr>
        <w:t xml:space="preserve">Round 1 Written Submission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EX</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Executive Summary</w:t>
            </w:r>
          </w:p>
        </w:tc>
      </w:tr>
    </w:tbl>
    <w:p>
      <w:pPr>
        <w:spacing w:after="0" w:before="0"/>
      </w:pPr>
      <w:r>
        <w:t xml:space="preserve"/>
      </w:r>
    </w:p>
    <w:p>
      <w:pPr>
        <w:spacing w:after="100" w:before="80"/>
      </w:pPr>
      <w:r>
        <w:rPr>
          <w:rFonts w:ascii="Arial" w:cs="Arial" w:eastAsia="Arial" w:hAnsi="Arial"/>
          <w:b w:val="false"/>
          <w:bCs w:val="false"/>
          <w:i w:val="false"/>
          <w:iCs w:val="false"/>
          <w:color w:val="000000"/>
          <w:sz w:val="22"/>
          <w:szCs w:val="22"/>
        </w:rPr>
        <w:t xml:space="preserve">TenderGraph AI+ is a production-grade, government-deployable platform that transforms the manual, error-prone process of tender evaluation into a structured, explainable, and auditable AI-assisted workflow. Designed specifically for the procurement realities of agencies like CRPF, the platform ingests tender documents of any format, extracts structured eligibility criteria, parses bidder submissions — including handwritten or scanned documents — and produces criterion-level eligibility verdicts that every procurement officer can trust, verify, and sign off on.</w:t>
      </w:r>
    </w:p>
    <w:p>
      <w:pPr>
        <w:spacing w:after="0" w:before="0"/>
      </w:pPr>
      <w:r>
        <w:t xml:space="preserve"/>
      </w:r>
    </w:p>
    <w:p>
      <w:pPr>
        <w:spacing w:after="100" w:before="80"/>
      </w:pPr>
      <w:r>
        <w:rPr>
          <w:rFonts w:ascii="Arial" w:cs="Arial" w:eastAsia="Arial" w:hAnsi="Arial"/>
          <w:b w:val="false"/>
          <w:bCs w:val="false"/>
          <w:i w:val="false"/>
          <w:iCs w:val="false"/>
          <w:color w:val="000000"/>
          <w:sz w:val="22"/>
          <w:szCs w:val="22"/>
        </w:rPr>
        <w:t xml:space="preserve">The platform is built on three non-negotiable principles:</w:t>
      </w:r>
    </w:p>
    <w:p>
      <w:pPr>
        <w:pStyle w:val="ListParagraph"/>
        <w:numPr>
          <w:ilvl w:val="0"/>
          <w:numId w:val="2"/>
        </w:numPr>
        <w:spacing w:after="60" w:before="60"/>
      </w:pPr>
      <w:r>
        <w:rPr>
          <w:rFonts w:ascii="Arial" w:cs="Arial" w:eastAsia="Arial" w:hAnsi="Arial"/>
          <w:b w:val="false"/>
          <w:bCs w:val="false"/>
          <w:color w:val="000000"/>
          <w:sz w:val="22"/>
          <w:szCs w:val="22"/>
        </w:rPr>
        <w:t xml:space="preserve">No silent disqualification — every ambiguous case is surfaced for human review with a full explanation of why human judgment is needed.</w:t>
      </w:r>
    </w:p>
    <w:p>
      <w:pPr>
        <w:pStyle w:val="ListParagraph"/>
        <w:numPr>
          <w:ilvl w:val="0"/>
          <w:numId w:val="2"/>
        </w:numPr>
        <w:spacing w:after="60" w:before="60"/>
      </w:pPr>
      <w:r>
        <w:rPr>
          <w:rFonts w:ascii="Arial" w:cs="Arial" w:eastAsia="Arial" w:hAnsi="Arial"/>
          <w:b w:val="false"/>
          <w:bCs w:val="false"/>
          <w:color w:val="000000"/>
          <w:sz w:val="22"/>
          <w:szCs w:val="22"/>
        </w:rPr>
        <w:t xml:space="preserve">Criterion-level explainability — every verdict cites the exact tender clause, the bidder document, the page number, and the extracted value that drove the decision.</w:t>
      </w:r>
    </w:p>
    <w:p>
      <w:pPr>
        <w:pStyle w:val="ListParagraph"/>
        <w:numPr>
          <w:ilvl w:val="0"/>
          <w:numId w:val="2"/>
        </w:numPr>
        <w:spacing w:after="60" w:before="60"/>
      </w:pPr>
      <w:r>
        <w:rPr>
          <w:rFonts w:ascii="Arial" w:cs="Arial" w:eastAsia="Arial" w:hAnsi="Arial"/>
          <w:b w:val="false"/>
          <w:bCs w:val="false"/>
          <w:color w:val="000000"/>
          <w:sz w:val="22"/>
          <w:szCs w:val="22"/>
        </w:rPr>
        <w:t xml:space="preserve">Immutable auditability — every automated and manual decision is logged with timestamps, actor identity, and a cryptographic hash chain suitable for formal government procurement records.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SCOPE</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This submission addresses: (1) Tender clause extraction, (2) Bidder document understanding across all formats, (3) Hybrid AI + rule-based eligibility matching, (4) Explainability engine, (5) Human review workflow, (6) Audit trail, (7) Export-ready procurement report.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Problem Understanding — The Realities of Government Procurement</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1.1  What Actually Happens Today</w:t>
      </w:r>
    </w:p>
    <w:p>
      <w:pPr>
        <w:spacing w:after="100" w:before="80"/>
      </w:pPr>
      <w:r>
        <w:rPr>
          <w:rFonts w:ascii="Arial" w:cs="Arial" w:eastAsia="Arial" w:hAnsi="Arial"/>
          <w:b w:val="false"/>
          <w:bCs w:val="false"/>
          <w:i w:val="false"/>
          <w:iCs w:val="false"/>
          <w:color w:val="000000"/>
          <w:sz w:val="22"/>
          <w:szCs w:val="22"/>
        </w:rPr>
        <w:t xml:space="preserve">A procurement officer at CRPF or any central government body receives a tender document that can span 80–200 pages. The document is drafted in formal legal Hindi or English, uses conditional language throughout ('subject to', 'provided that', 'as applicable'), and contains eligibility conditions scattered across multiple sections — the Notice Inviting Tender (NIT), General Conditions of Contract (GCC), Special Conditions, Technical Specifications, and financial annexures.</w:t>
      </w:r>
    </w:p>
    <w:p>
      <w:pPr>
        <w:spacing w:after="100" w:before="80"/>
      </w:pPr>
      <w:r>
        <w:rPr>
          <w:rFonts w:ascii="Arial" w:cs="Arial" w:eastAsia="Arial" w:hAnsi="Arial"/>
          <w:b w:val="false"/>
          <w:bCs w:val="false"/>
          <w:i w:val="false"/>
          <w:iCs w:val="false"/>
          <w:color w:val="000000"/>
          <w:sz w:val="22"/>
          <w:szCs w:val="22"/>
        </w:rPr>
        <w:t xml:space="preserve">When bidder submissions arrive — often 5 to 30 separate uploads per bidder, in formats ranging from digitally signed PDFs to photographs of physical certificates — each officer must manually cross-reference every submitted document against every stated eligibility condition. For a competitive tender with 10 bidders and 12 eligibility criteria, that is 120 individual checks, each requiring a human to locate a document, find the relevant number or date, and compare it against the tender clause.</w:t>
      </w:r>
    </w:p>
    <w:p>
      <w:pPr>
        <w:spacing w:after="100" w:before="80"/>
      </w:pPr>
      <w:r>
        <w:rPr>
          <w:rFonts w:ascii="Arial" w:cs="Arial" w:eastAsia="Arial" w:hAnsi="Arial"/>
          <w:b w:val="false"/>
          <w:bCs w:val="false"/>
          <w:i w:val="false"/>
          <w:iCs w:val="false"/>
          <w:color w:val="000000"/>
          <w:sz w:val="22"/>
          <w:szCs w:val="22"/>
        </w:rPr>
        <w:t xml:space="preserve">The resulting problems are well-documented in government procurement audit reports:</w:t>
      </w:r>
    </w:p>
    <w:p>
      <w:pPr>
        <w:pStyle w:val="ListParagraph"/>
        <w:numPr>
          <w:ilvl w:val="0"/>
          <w:numId w:val="2"/>
        </w:numPr>
        <w:spacing w:after="60" w:before="60"/>
      </w:pPr>
      <w:r>
        <w:rPr>
          <w:rFonts w:ascii="Arial" w:cs="Arial" w:eastAsia="Arial" w:hAnsi="Arial"/>
          <w:b w:val="false"/>
          <w:bCs w:val="false"/>
          <w:color w:val="000000"/>
          <w:sz w:val="22"/>
          <w:szCs w:val="22"/>
        </w:rPr>
        <w:t xml:space="preserve">Inconsistency: Two evaluators may reach different conclusions from the same set of documents, especially on ambiguous criteria like 'similar work' or 'substantially equivalent turnover'.</w:t>
      </w:r>
    </w:p>
    <w:p>
      <w:pPr>
        <w:pStyle w:val="ListParagraph"/>
        <w:numPr>
          <w:ilvl w:val="0"/>
          <w:numId w:val="2"/>
        </w:numPr>
        <w:spacing w:after="60" w:before="60"/>
      </w:pPr>
      <w:r>
        <w:rPr>
          <w:rFonts w:ascii="Arial" w:cs="Arial" w:eastAsia="Arial" w:hAnsi="Arial"/>
          <w:b w:val="false"/>
          <w:bCs w:val="false"/>
          <w:color w:val="000000"/>
          <w:sz w:val="22"/>
          <w:szCs w:val="22"/>
        </w:rPr>
        <w:t xml:space="preserve">Oversight: Officers miss criteria — particularly when conditions are buried in sub-clauses or cross-referenced across sections — leading to either wrongful disqualification or allowing ineligible bidders through.</w:t>
      </w:r>
    </w:p>
    <w:p>
      <w:pPr>
        <w:pStyle w:val="ListParagraph"/>
        <w:numPr>
          <w:ilvl w:val="0"/>
          <w:numId w:val="2"/>
        </w:numPr>
        <w:spacing w:after="60" w:before="60"/>
      </w:pPr>
      <w:r>
        <w:rPr>
          <w:rFonts w:ascii="Arial" w:cs="Arial" w:eastAsia="Arial" w:hAnsi="Arial"/>
          <w:b w:val="false"/>
          <w:bCs w:val="false"/>
          <w:color w:val="000000"/>
          <w:sz w:val="22"/>
          <w:szCs w:val="22"/>
        </w:rPr>
        <w:t xml:space="preserve">Slowness: A typical tender evaluation committee spends 3–7 working days on a single medium-complexity tender. Procurement delays cascade into project delays.</w:t>
      </w:r>
    </w:p>
    <w:p>
      <w:pPr>
        <w:pStyle w:val="ListParagraph"/>
        <w:numPr>
          <w:ilvl w:val="0"/>
          <w:numId w:val="2"/>
        </w:numPr>
        <w:spacing w:after="60" w:before="60"/>
      </w:pPr>
      <w:r>
        <w:rPr>
          <w:rFonts w:ascii="Arial" w:cs="Arial" w:eastAsia="Arial" w:hAnsi="Arial"/>
          <w:b w:val="false"/>
          <w:bCs w:val="false"/>
          <w:color w:val="000000"/>
          <w:sz w:val="22"/>
          <w:szCs w:val="22"/>
        </w:rPr>
        <w:t xml:space="preserve">Non-auditability: Manual checklists are often reconstructed after the fact, making it impossible to trace why a specific decision was made about a specific bidder on a specific criterion.</w:t>
      </w:r>
    </w:p>
    <w:p>
      <w:pPr>
        <w:pStyle w:val="ListParagraph"/>
        <w:numPr>
          <w:ilvl w:val="0"/>
          <w:numId w:val="2"/>
        </w:numPr>
        <w:spacing w:after="60" w:before="60"/>
      </w:pPr>
      <w:r>
        <w:rPr>
          <w:rFonts w:ascii="Arial" w:cs="Arial" w:eastAsia="Arial" w:hAnsi="Arial"/>
          <w:b w:val="false"/>
          <w:bCs w:val="false"/>
          <w:color w:val="000000"/>
          <w:sz w:val="22"/>
          <w:szCs w:val="22"/>
        </w:rPr>
        <w:t xml:space="preserve">Legal exposure: Any of the above can result in successful legal challenges to the award decision, causing further delay and reputational harm to the procuring entity.</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1.2  Why Explainability is Non-Negotiable</w:t>
      </w:r>
    </w:p>
    <w:p>
      <w:pPr>
        <w:spacing w:after="100" w:before="80"/>
      </w:pPr>
      <w:r>
        <w:rPr>
          <w:rFonts w:ascii="Arial" w:cs="Arial" w:eastAsia="Arial" w:hAnsi="Arial"/>
          <w:b w:val="false"/>
          <w:bCs w:val="false"/>
          <w:i w:val="false"/>
          <w:iCs w:val="false"/>
          <w:color w:val="000000"/>
          <w:sz w:val="22"/>
          <w:szCs w:val="22"/>
        </w:rPr>
        <w:t xml:space="preserve">Government procurement decisions carry legal weight. When a vendor challenges an award at the Central Vigilance Commission or in a High Court, the procuring entity must demonstrate a documented, traceable, criterion-by-criterion evaluation. A system that produces only a verdict — Eligible or Not Eligible — without a traceable chain of evidence is legally inadequate.</w:t>
      </w:r>
    </w:p>
    <w:p>
      <w:pPr>
        <w:spacing w:after="100" w:before="80"/>
      </w:pPr>
      <w:r>
        <w:rPr>
          <w:rFonts w:ascii="Arial" w:cs="Arial" w:eastAsia="Arial" w:hAnsi="Arial"/>
          <w:b w:val="false"/>
          <w:bCs w:val="false"/>
          <w:i w:val="false"/>
          <w:iCs w:val="false"/>
          <w:color w:val="000000"/>
          <w:sz w:val="22"/>
          <w:szCs w:val="22"/>
        </w:rPr>
        <w:t xml:space="preserve">Explainability in TenderGraph AI+ is therefore not a feature — it is a foundational design constraint. Every single automated decision in the platform is required to answer four questions: Which criterion was evaluated? Which document was used? What value was extracted? Why did the system assign this verdict? These four answers are stored, displayed, and exported alongside every decision.</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1.3  Why Pure AI Cannot Be Trusted Alone</w:t>
      </w:r>
    </w:p>
    <w:p>
      <w:pPr>
        <w:spacing w:after="100" w:before="80"/>
      </w:pPr>
      <w:r>
        <w:rPr>
          <w:rFonts w:ascii="Arial" w:cs="Arial" w:eastAsia="Arial" w:hAnsi="Arial"/>
          <w:b w:val="false"/>
          <w:bCs w:val="false"/>
          <w:i w:val="false"/>
          <w:iCs w:val="false"/>
          <w:color w:val="000000"/>
          <w:sz w:val="22"/>
          <w:szCs w:val="22"/>
        </w:rPr>
        <w:t xml:space="preserve">Large language models (LLMs) are powerful at understanding language, extracting values from unstructured text, and reasoning across documents. However, they are unsuitable as sole decision-makers in procurement for the following reasons:</w:t>
      </w:r>
    </w:p>
    <w:p>
      <w:pPr>
        <w:pStyle w:val="ListParagraph"/>
        <w:numPr>
          <w:ilvl w:val="0"/>
          <w:numId w:val="2"/>
        </w:numPr>
        <w:spacing w:after="60" w:before="60"/>
      </w:pPr>
      <w:r>
        <w:rPr>
          <w:rFonts w:ascii="Arial" w:cs="Arial" w:eastAsia="Arial" w:hAnsi="Arial"/>
          <w:b w:val="false"/>
          <w:bCs w:val="false"/>
          <w:color w:val="000000"/>
          <w:sz w:val="22"/>
          <w:szCs w:val="22"/>
        </w:rPr>
        <w:t xml:space="preserve">Hallucination risk: An LLM may generate a plausible-sounding number or date that does not appear in the submitted document, leading to a wrongfully favourable or adverse verdict.</w:t>
      </w:r>
    </w:p>
    <w:p>
      <w:pPr>
        <w:pStyle w:val="ListParagraph"/>
        <w:numPr>
          <w:ilvl w:val="0"/>
          <w:numId w:val="2"/>
        </w:numPr>
        <w:spacing w:after="60" w:before="60"/>
      </w:pPr>
      <w:r>
        <w:rPr>
          <w:rFonts w:ascii="Arial" w:cs="Arial" w:eastAsia="Arial" w:hAnsi="Arial"/>
          <w:b w:val="false"/>
          <w:bCs w:val="false"/>
          <w:color w:val="000000"/>
          <w:sz w:val="22"/>
          <w:szCs w:val="22"/>
        </w:rPr>
        <w:t xml:space="preserve">Non-determinism: The same inputs fed to an LLM twice may produce different conclusions, which is unacceptable in a system where every decision must be fully reproducible.</w:t>
      </w:r>
    </w:p>
    <w:p>
      <w:pPr>
        <w:pStyle w:val="ListParagraph"/>
        <w:numPr>
          <w:ilvl w:val="0"/>
          <w:numId w:val="2"/>
        </w:numPr>
        <w:spacing w:after="60" w:before="60"/>
      </w:pPr>
      <w:r>
        <w:rPr>
          <w:rFonts w:ascii="Arial" w:cs="Arial" w:eastAsia="Arial" w:hAnsi="Arial"/>
          <w:b w:val="false"/>
          <w:bCs w:val="false"/>
          <w:color w:val="000000"/>
          <w:sz w:val="22"/>
          <w:szCs w:val="22"/>
        </w:rPr>
        <w:t xml:space="preserve">Lack of auditability: An LLM's internal reasoning is not externally inspectable in the way required by procurement rules.</w:t>
      </w:r>
    </w:p>
    <w:p>
      <w:pPr>
        <w:spacing w:after="100" w:before="80"/>
      </w:pPr>
      <w:r>
        <w:rPr>
          <w:rFonts w:ascii="Arial" w:cs="Arial" w:eastAsia="Arial" w:hAnsi="Arial"/>
          <w:b w:val="false"/>
          <w:bCs w:val="false"/>
          <w:i w:val="false"/>
          <w:iCs w:val="false"/>
          <w:color w:val="000000"/>
          <w:sz w:val="22"/>
          <w:szCs w:val="22"/>
        </w:rPr>
        <w:t xml:space="preserve">TenderGraph AI+ therefore uses AI only for the tasks where it excels — reading unstructured language, extracting values, resolving ambiguous phrasing — and routes all final eligibility decisions through a deterministic, rule-based engine. The AI extracts; the rule engine decides. This hybrid architecture is the central design principle of the platform.</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1.4  Why Scanned Documents Are a Distinct Technical Problem</w:t>
      </w:r>
    </w:p>
    <w:p>
      <w:pPr>
        <w:spacing w:after="100" w:before="80"/>
      </w:pPr>
      <w:r>
        <w:rPr>
          <w:rFonts w:ascii="Arial" w:cs="Arial" w:eastAsia="Arial" w:hAnsi="Arial"/>
          <w:b w:val="false"/>
          <w:bCs w:val="false"/>
          <w:i w:val="false"/>
          <w:iCs w:val="false"/>
          <w:color w:val="000000"/>
          <w:sz w:val="22"/>
          <w:szCs w:val="22"/>
        </w:rPr>
        <w:t xml:space="preserve">A significant fraction of bidder submissions in real government procurement are not clean digital text. They are photographs of printed certificates, low-resolution scans of balance sheets stamped by a CA firm, or mobile camera images of GST registration printouts. Each of these presents specific technical challenges:</w:t>
      </w:r>
    </w:p>
    <w:p>
      <w:pPr>
        <w:pStyle w:val="ListParagraph"/>
        <w:numPr>
          <w:ilvl w:val="0"/>
          <w:numId w:val="2"/>
        </w:numPr>
        <w:spacing w:after="60" w:before="60"/>
      </w:pPr>
      <w:r>
        <w:rPr>
          <w:rFonts w:ascii="Arial" w:cs="Arial" w:eastAsia="Arial" w:hAnsi="Arial"/>
          <w:b w:val="false"/>
          <w:bCs w:val="false"/>
          <w:color w:val="000000"/>
          <w:sz w:val="22"/>
          <w:szCs w:val="22"/>
        </w:rPr>
        <w:t xml:space="preserve">Noise, skew, and blur: Physical scanning introduces artefacts that degrade OCR accuracy. A figure of Rs. 5,12,45,000 may be read as Rs. 5,12,45,0O0 (capital O instead of zero) or fragmented.</w:t>
      </w:r>
    </w:p>
    <w:p>
      <w:pPr>
        <w:pStyle w:val="ListParagraph"/>
        <w:numPr>
          <w:ilvl w:val="0"/>
          <w:numId w:val="2"/>
        </w:numPr>
        <w:spacing w:after="60" w:before="60"/>
      </w:pPr>
      <w:r>
        <w:rPr>
          <w:rFonts w:ascii="Arial" w:cs="Arial" w:eastAsia="Arial" w:hAnsi="Arial"/>
          <w:b w:val="false"/>
          <w:bCs w:val="false"/>
          <w:color w:val="000000"/>
          <w:sz w:val="22"/>
          <w:szCs w:val="22"/>
        </w:rPr>
        <w:t xml:space="preserve">Layout complexity: Certificates have free-form layouts with stamps, logos, signatures, and tables that do not follow a uniform schema.</w:t>
      </w:r>
    </w:p>
    <w:p>
      <w:pPr>
        <w:pStyle w:val="ListParagraph"/>
        <w:numPr>
          <w:ilvl w:val="0"/>
          <w:numId w:val="2"/>
        </w:numPr>
        <w:spacing w:after="60" w:before="60"/>
      </w:pPr>
      <w:r>
        <w:rPr>
          <w:rFonts w:ascii="Arial" w:cs="Arial" w:eastAsia="Arial" w:hAnsi="Arial"/>
          <w:b w:val="false"/>
          <w:bCs w:val="false"/>
          <w:color w:val="000000"/>
          <w:sz w:val="22"/>
          <w:szCs w:val="22"/>
        </w:rPr>
        <w:t xml:space="preserve">Language mixing: Many certificates are in Hindi or contain Hindi proper nouns (city names, company names, government departments) that require Devanagari OCR alongside English.</w:t>
      </w:r>
    </w:p>
    <w:p>
      <w:pPr>
        <w:pStyle w:val="ListParagraph"/>
        <w:numPr>
          <w:ilvl w:val="0"/>
          <w:numId w:val="2"/>
        </w:numPr>
        <w:spacing w:after="60" w:before="60"/>
      </w:pPr>
      <w:r>
        <w:rPr>
          <w:rFonts w:ascii="Arial" w:cs="Arial" w:eastAsia="Arial" w:hAnsi="Arial"/>
          <w:b w:val="false"/>
          <w:bCs w:val="false"/>
          <w:color w:val="000000"/>
          <w:sz w:val="22"/>
          <w:szCs w:val="22"/>
        </w:rPr>
        <w:t xml:space="preserve">Verification gap: The OCR output is a best-effort reading; when OCR confidence is low, the system cannot determine the correct value and must escalate to a human rather than proceeding with an uncertain extraction.</w:t>
      </w:r>
    </w:p>
    <w:p>
      <w:pPr>
        <w:spacing w:after="100" w:before="80"/>
      </w:pPr>
      <w:r>
        <w:rPr>
          <w:rFonts w:ascii="Arial" w:cs="Arial" w:eastAsia="Arial" w:hAnsi="Arial"/>
          <w:b w:val="false"/>
          <w:bCs w:val="false"/>
          <w:i w:val="false"/>
          <w:iCs w:val="false"/>
          <w:color w:val="000000"/>
          <w:sz w:val="22"/>
          <w:szCs w:val="22"/>
        </w:rPr>
        <w:t xml:space="preserve">TenderGraph AI+ addresses this through a multi-stage document processing pipeline with confidence scoring at every extraction step, and a defined escalation threshold above which human review is mandatory.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Document Taxonomy — Tenders and Bidder Submissions</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2.1  Anatomy of a Government Tender Document</w:t>
      </w:r>
    </w:p>
    <w:p>
      <w:pPr>
        <w:spacing w:after="100" w:before="80"/>
      </w:pPr>
      <w:r>
        <w:rPr>
          <w:rFonts w:ascii="Arial" w:cs="Arial" w:eastAsia="Arial" w:hAnsi="Arial"/>
          <w:b w:val="false"/>
          <w:bCs w:val="false"/>
          <w:i w:val="false"/>
          <w:iCs w:val="false"/>
          <w:color w:val="000000"/>
          <w:sz w:val="22"/>
          <w:szCs w:val="22"/>
        </w:rPr>
        <w:t xml:space="preserve">A central government tender document (NIT or RFP format) typically contains the following sections, each of which may contain eligibility-relevant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Section</w:t>
            </w:r>
          </w:p>
        </w:tc>
        <w:tc>
          <w:tcPr>
            <w:tcW w:type="dxa" w:w="33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Typical Content</w:t>
            </w:r>
          </w:p>
        </w:tc>
        <w:tc>
          <w:tcPr>
            <w:tcW w:type="dxa" w:w="30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Eligibility Relevance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Notice Inviting Tender (NIT)</w:t>
            </w:r>
          </w:p>
        </w:tc>
        <w:tc>
          <w:tcPr>
            <w:tcW w:type="dxa" w:w="33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Tender number, issuing authority, closing date, EMD amount, bid validity</w:t>
            </w:r>
          </w:p>
        </w:tc>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EMD amount, bid validity period, submission deadline</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Eligibility / Pre-Qualification Criteria</w:t>
            </w:r>
          </w:p>
        </w:tc>
        <w:tc>
          <w:tcPr>
            <w:tcW w:type="dxa" w:w="33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Turnover thresholds, experience requirements, certifications, legal status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Primary source of mandatory and optional criteria</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General Conditions of Contract (GCC)</w:t>
            </w:r>
          </w:p>
        </w:tc>
        <w:tc>
          <w:tcPr>
            <w:tcW w:type="dxa" w:w="33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Legal obligations, penalty clauses, jurisdiction</w:t>
            </w:r>
          </w:p>
        </w:tc>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Compliance and legal eligibility conditions</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Special Conditions of Contract (SCC)</w:t>
            </w:r>
          </w:p>
        </w:tc>
        <w:tc>
          <w:tcPr>
            <w:tcW w:type="dxa" w:w="33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Domain-specific rules, local conditions, specific certifications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Technical and domain certifications</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Technical Specifications</w:t>
            </w:r>
          </w:p>
        </w:tc>
        <w:tc>
          <w:tcPr>
            <w:tcW w:type="dxa" w:w="33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Scope of work, quality standards, delivery norms</w:t>
            </w:r>
          </w:p>
        </w:tc>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Technical capability criteria</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Financial Bid / BOQ</w:t>
            </w:r>
          </w:p>
        </w:tc>
        <w:tc>
          <w:tcPr>
            <w:tcW w:type="dxa" w:w="33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Pricing schedules, rate format</w:t>
            </w:r>
          </w:p>
        </w:tc>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Bid security, financial compliance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Document Checklist</w:t>
            </w:r>
          </w:p>
        </w:tc>
        <w:tc>
          <w:tcPr>
            <w:tcW w:type="dxa" w:w="33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List of required documents to be submitted</w:t>
            </w:r>
          </w:p>
        </w:tc>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Completeness check for bidder submissions</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2.2  Anatomy of Bidder Submission Documents</w:t>
      </w:r>
    </w:p>
    <w:p>
      <w:pPr>
        <w:spacing w:after="100" w:before="80"/>
      </w:pPr>
      <w:r>
        <w:rPr>
          <w:rFonts w:ascii="Arial" w:cs="Arial" w:eastAsia="Arial" w:hAnsi="Arial"/>
          <w:b w:val="false"/>
          <w:bCs w:val="false"/>
          <w:i w:val="false"/>
          <w:iCs w:val="false"/>
          <w:color w:val="000000"/>
          <w:sz w:val="22"/>
          <w:szCs w:val="22"/>
        </w:rPr>
        <w:t xml:space="preserve">Each bidder submission is a package of heterogeneous documents. The table below details each document type, its typical format, and the specific technical challenges it presents: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Document Type</w:t>
            </w:r>
          </w:p>
        </w:tc>
        <w:tc>
          <w:tcPr>
            <w:tcW w:type="dxa" w:w="37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Typical Format &amp; Content</w:t>
            </w:r>
          </w:p>
        </w:tc>
        <w:tc>
          <w:tcPr>
            <w:tcW w:type="dxa" w:w="34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OCR / Extraction Challenges</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GST Registration Certificate</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PDF (government-issued); contains GSTIN, business name, registration date, address</w:t>
            </w:r>
          </w:p>
        </w:tc>
        <w:tc>
          <w:tcPr>
            <w:tcW w:type="dxa" w:w="3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Machine-readable in most cases; validate GSTIN format (15-char alphanumeric) programmatically</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PAN Card</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Scanned image / photo; name, PAN number, date of birth</w:t>
            </w:r>
          </w:p>
        </w:tc>
        <w:tc>
          <w:tcPr>
            <w:tcW w:type="dxa" w:w="3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Low contrast, small font; must extract 10-char alphanumeric PAN; cross-validate with company name</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Financial Statements / Balance Sheet</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PDF (typed or scanned); CA-certified; annual turnover figures, net worth</w:t>
            </w:r>
          </w:p>
        </w:tc>
        <w:tc>
          <w:tcPr>
            <w:tcW w:type="dxa" w:w="3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Multi-page tables; figures in Indian numeral system (crore/lakh); CA stamp overlays figures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CA Certificate on Turnover</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Scanned letterhead; certifies average annual turnover for specified years</w:t>
            </w:r>
          </w:p>
        </w:tc>
        <w:tc>
          <w:tcPr>
            <w:tcW w:type="dxa" w:w="3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Letterhead noise; requires extracting specific year-wise figures and aggregate</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Work Order / Project Completion Letter</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Typed PDF or scanned; project name, client name, contract value, completion date</w:t>
            </w:r>
          </w:p>
        </w:tc>
        <w:tc>
          <w:tcPr>
            <w:tcW w:type="dxa" w:w="3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Variant formats per client; 'similar work' classification requires semantic matching</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ISO / Quality Certifications</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Typed PDF; certificate number, issuing body, scope, validity date</w:t>
            </w:r>
          </w:p>
        </w:tc>
        <w:tc>
          <w:tcPr>
            <w:tcW w:type="dxa" w:w="3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Must verify: scope of certification matches tender domain; expiry date is future-dated</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EMD / Bid Security Proof</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Bank guarantee PDF; amount, validity, issuing bank name</w:t>
            </w:r>
          </w:p>
        </w:tc>
        <w:tc>
          <w:tcPr>
            <w:tcW w:type="dxa" w:w="3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Validate amount against tender requirement; validate bank is scheduled / approved</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Affidavit on Stamp Paper</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Scanned image; declaratory statements, notary stamp, date</w:t>
            </w:r>
          </w:p>
        </w:tc>
        <w:tc>
          <w:tcPr>
            <w:tcW w:type="dxa" w:w="3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High noise; extract key declarations; validate stamp paper denomination</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Company Registration / Incorporation Certificate</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Scanned or typed PDF; CIN, company name, registered office</w:t>
            </w:r>
          </w:p>
        </w:tc>
        <w:tc>
          <w:tcPr>
            <w:tcW w:type="dxa" w:w="3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Cross-validate company name consistency across all documents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Power of Attorney</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Scanned legal document; authorised signatory name, scope</w:t>
            </w:r>
          </w:p>
        </w:tc>
        <w:tc>
          <w:tcPr>
            <w:tcW w:type="dxa" w:w="3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Extract signatory name; verify document is dated; identify notarisation</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2.3  Representative Tender Clauses and Bidder Evidence (Mock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CLAUSE</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Tender Clause 4.2 (Financial Eligibility): The bidder shall have an average annual turnover of not less than INR 5,00,00,000 (Rupees Five Crore) during the last three consecutive financial years (2021-22, 2022-23, 2023-24), as certified by a Chartered Accountant. Turnover from similar works shall be specifically indicated.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EVIDENCE</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Bidder A — CA Certificate: 'This is to certify that M/s XYZ Construction Pvt. Ltd., GSTIN 07AABCX1234D1Z5, has achieved an average annual turnover of INR 6.82 crores from similar works during FY 2021-22, 2022-23, and 2023-24 as per the audited accounts.' [CA Firm letterhead, stamped, signed, dated 12/04/2024]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AMBIGUITY</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Ambiguity Case — Bidder C: The CA certificate states total company turnover of INR 8.1 crores but does not separately certify turnover from similar works. The tender clause specifically requires similar-works turnover. Automated decision: NEEDS MANUAL REVIEW — criterion for similar-works turnover breakdown is not met with available evidence, but total turnover exceeds threshold. Human officer must determine whether to request clarification or disqualify.</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System Architecture — TenderGraph AI+ Platform</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3.1  Architectural Philosophy</w:t>
      </w:r>
    </w:p>
    <w:p>
      <w:pPr>
        <w:spacing w:after="100" w:before="80"/>
      </w:pPr>
      <w:r>
        <w:rPr>
          <w:rFonts w:ascii="Arial" w:cs="Arial" w:eastAsia="Arial" w:hAnsi="Arial"/>
          <w:b w:val="false"/>
          <w:bCs w:val="false"/>
          <w:i w:val="false"/>
          <w:iCs w:val="false"/>
          <w:color w:val="000000"/>
          <w:sz w:val="22"/>
          <w:szCs w:val="22"/>
        </w:rPr>
        <w:t xml:space="preserve">TenderGraph AI+ follows a service-oriented, event-driven architecture. Processing is asynchronous: document uploads are immediately acknowledged, and processing happens via a queue-based pipeline. This ensures the platform scales horizontally under high load (large tenders with many bidders) and remains responsive even during heavy OCR or LLM inference workloads.</w:t>
      </w:r>
    </w:p>
    <w:p>
      <w:pPr>
        <w:spacing w:after="100" w:before="80"/>
      </w:pPr>
      <w:r>
        <w:rPr>
          <w:rFonts w:ascii="Arial" w:cs="Arial" w:eastAsia="Arial" w:hAnsi="Arial"/>
          <w:b w:val="false"/>
          <w:bCs w:val="false"/>
          <w:i w:val="false"/>
          <w:iCs w:val="false"/>
          <w:color w:val="000000"/>
          <w:sz w:val="22"/>
          <w:szCs w:val="22"/>
        </w:rPr>
        <w:t xml:space="preserve">A central design decision is the strict separation between the AI extraction layer and the rule-based decision layer. AI is never given the authority to emit a final eligibility verdict. It extracts structured data from unstructured documents. The rule engine applies deterministic logic to that structured data. This separation is what makes the platform auditable and legally defensible.</w:t>
      </w:r>
    </w:p>
    <w:p>
      <w:pPr>
        <w:spacing w:after="0" w:before="0"/>
      </w:pPr>
      <w:r>
        <w:t xml:space="preserve"/>
      </w:r>
    </w:p>
    <w:p>
      <w:pPr>
        <w:pStyle w:val="Heading2"/>
        <w:spacing w:after="120" w:before="280"/>
      </w:pPr>
      <w:r>
        <w:rPr>
          <w:rFonts w:ascii="Arial" w:cs="Arial" w:eastAsia="Arial" w:hAnsi="Arial"/>
          <w:b/>
          <w:bCs/>
          <w:color w:val="2E5FA3"/>
          <w:sz w:val="26"/>
          <w:szCs w:val="26"/>
        </w:rPr>
        <w:t xml:space="preserve">3.2  Full Architecture Overview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F8FAFD" w:val="clear"/>
            <w:tcMar>
              <w:top w:type="dxa" w:w="120"/>
              <w:left w:type="dxa" w:w="160"/>
              <w:bottom w:type="dxa" w:w="120"/>
              <w:right w:type="dxa" w:w="160"/>
            </w:tcMar>
          </w:tcPr>
          <w:p>
            <w:pPr>
              <w:spacing w:after="40" w:before="6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PROCUREMENT OFFICER  (Web Browser)              │</w:t>
            </w:r>
          </w:p>
          <w:p>
            <w:pPr>
              <w:spacing w:after="0" w:before="0"/>
            </w:pPr>
            <w:r>
              <w:rPr>
                <w:rFonts w:ascii="Courier New" w:cs="Courier New" w:eastAsia="Courier New" w:hAnsi="Courier New"/>
                <w:color w:val="1B2A4A"/>
                <w:sz w:val="16"/>
                <w:szCs w:val="16"/>
              </w:rPr>
              <w:t xml:space="preserve">│  Upload Tender │ Upload Bidder Docs │ Review Results │ Export Report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  HTTPS (TLS 1.3)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LAYER 1: API GATEWAY (FastAPI + NGINX)                │</w:t>
            </w:r>
          </w:p>
          <w:p>
            <w:pPr>
              <w:spacing w:after="0" w:before="0"/>
            </w:pPr>
            <w:r>
              <w:rPr>
                <w:rFonts w:ascii="Courier New" w:cs="Courier New" w:eastAsia="Courier New" w:hAnsi="Courier New"/>
                <w:color w:val="1B2A4A"/>
                <w:sz w:val="16"/>
                <w:szCs w:val="16"/>
              </w:rPr>
              <w:t xml:space="preserve">│  Auth (JWT/OAuth2) │ Rate Limiting │ File Validation │ RBAC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                      </w:t>
            </w:r>
          </w:p>
          <w:p>
            <w:pPr>
              <w:spacing w:after="0" w:before="0"/>
            </w:pPr>
            <w:r>
              <w:rPr>
                <w:rFonts w:ascii="Courier New" w:cs="Courier New" w:eastAsia="Courier New" w:hAnsi="Courier New"/>
                <w:color w:val="1B2A4A"/>
                <w:sz w:val="16"/>
                <w:szCs w:val="16"/>
              </w:rPr>
              <w:t xml:space="preserve">              │                                 │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LAYER 2A: TENDER      │    │ LAYER 2B: DOCUMENT INGESTION QUEUE    │</w:t>
            </w:r>
          </w:p>
          <w:p>
            <w:pPr>
              <w:spacing w:after="0" w:before="0"/>
            </w:pPr>
            <w:r>
              <w:rPr>
                <w:rFonts w:ascii="Courier New" w:cs="Courier New" w:eastAsia="Courier New" w:hAnsi="Courier New"/>
                <w:color w:val="1B2A4A"/>
                <w:sz w:val="16"/>
                <w:szCs w:val="16"/>
              </w:rPr>
              <w:t xml:space="preserve">│  UNDERSTANDING SERVICE │    │ (Celery + Redis)                      │</w:t>
            </w:r>
          </w:p>
          <w:p>
            <w:pPr>
              <w:spacing w:after="0" w:before="0"/>
            </w:pPr>
            <w:r>
              <w:rPr>
                <w:rFonts w:ascii="Courier New" w:cs="Courier New" w:eastAsia="Courier New" w:hAnsi="Courier New"/>
                <w:color w:val="1B2A4A"/>
                <w:sz w:val="16"/>
                <w:szCs w:val="16"/>
              </w:rPr>
              <w:t xml:space="preserve">│  ─ Clause segmenter    │    │ ─ OCR Workers (Tesseract / Azure)     │</w:t>
            </w:r>
          </w:p>
          <w:p>
            <w:pPr>
              <w:spacing w:after="0" w:before="0"/>
            </w:pPr>
            <w:r>
              <w:rPr>
                <w:rFonts w:ascii="Courier New" w:cs="Courier New" w:eastAsia="Courier New" w:hAnsi="Courier New"/>
                <w:color w:val="1B2A4A"/>
                <w:sz w:val="16"/>
                <w:szCs w:val="16"/>
              </w:rPr>
              <w:t xml:space="preserve">│  ─ Criterion extractor │    │ ─ Layout Parser (LayoutLM / Unstructd)│</w:t>
            </w:r>
          </w:p>
          <w:p>
            <w:pPr>
              <w:spacing w:after="0" w:before="0"/>
            </w:pPr>
            <w:r>
              <w:rPr>
                <w:rFonts w:ascii="Courier New" w:cs="Courier New" w:eastAsia="Courier New" w:hAnsi="Courier New"/>
                <w:color w:val="1B2A4A"/>
                <w:sz w:val="16"/>
                <w:szCs w:val="16"/>
              </w:rPr>
              <w:t xml:space="preserve">│  ─ JSON schema builder │    │ ─ Table Extractor (Camelot/pdfplumber)│</w:t>
            </w:r>
          </w:p>
          <w:p>
            <w:pPr>
              <w:spacing w:after="0" w:before="0"/>
            </w:pPr>
            <w:r>
              <w:rPr>
                <w:rFonts w:ascii="Courier New" w:cs="Courier New" w:eastAsia="Courier New" w:hAnsi="Courier New"/>
                <w:color w:val="1B2A4A"/>
                <w:sz w:val="16"/>
                <w:szCs w:val="16"/>
              </w:rPr>
              <w:t xml:space="preserve">│  ─ Mandatory/Optional  │    │ ─ Confidence Scorer                  │</w:t>
            </w:r>
          </w:p>
          <w:p>
            <w:pPr>
              <w:spacing w:after="0" w:before="0"/>
            </w:pPr>
            <w:r>
              <w:rPr>
                <w:rFonts w:ascii="Courier New" w:cs="Courier New" w:eastAsia="Courier New" w:hAnsi="Courier New"/>
                <w:color w:val="1B2A4A"/>
                <w:sz w:val="16"/>
                <w:szCs w:val="16"/>
              </w:rPr>
              <w:t xml:space="preserve">│    classification      │    │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                              │                        </w:t>
            </w:r>
          </w:p>
          <w:p>
            <w:pPr>
              <w:spacing w:after="0" w:before="0"/>
            </w:pPr>
            <w:r>
              <w:rPr>
                <w:rFonts w:ascii="Courier New" w:cs="Courier New" w:eastAsia="Courier New" w:hAnsi="Courier New"/>
                <w:color w:val="1B2A4A"/>
                <w:sz w:val="16"/>
                <w:szCs w:val="16"/>
              </w:rPr>
              <w:t xml:space="preserve">              └──────────────┬───────────────┘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LAYER 3: AI EXTRACTION ENGINE                           │</w:t>
            </w:r>
          </w:p>
          <w:p>
            <w:pPr>
              <w:spacing w:after="0" w:before="0"/>
            </w:pPr>
            <w:r>
              <w:rPr>
                <w:rFonts w:ascii="Courier New" w:cs="Courier New" w:eastAsia="Courier New" w:hAnsi="Courier New"/>
                <w:color w:val="1B2A4A"/>
                <w:sz w:val="16"/>
                <w:szCs w:val="16"/>
              </w:rPr>
              <w:t xml:space="preserve">│  LLM (Claude claude-sonnet-4-20250514 / GPT-4o) with structured output│</w:t>
            </w:r>
          </w:p>
          <w:p>
            <w:pPr>
              <w:spacing w:after="0" w:before="0"/>
            </w:pPr>
            <w:r>
              <w:rPr>
                <w:rFonts w:ascii="Courier New" w:cs="Courier New" w:eastAsia="Courier New" w:hAnsi="Courier New"/>
                <w:color w:val="1B2A4A"/>
                <w:sz w:val="16"/>
                <w:szCs w:val="16"/>
              </w:rPr>
              <w:t xml:space="preserve">│  ─ Named Entity Recognition  ─ Value Normaliser  ─ Evidence Linker  │</w:t>
            </w:r>
          </w:p>
          <w:p>
            <w:pPr>
              <w:spacing w:after="0" w:before="0"/>
            </w:pPr>
            <w:r>
              <w:rPr>
                <w:rFonts w:ascii="Courier New" w:cs="Courier New" w:eastAsia="Courier New" w:hAnsi="Courier New"/>
                <w:color w:val="1B2A4A"/>
                <w:sz w:val="16"/>
                <w:szCs w:val="16"/>
              </w:rPr>
              <w:t xml:space="preserve">│  ─ Semantic similarity via Embedding DB (pgvector / Qdrant)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LAYER 4: HYBRID ELIGIBILITY VERIFICATION ENGINE              │</w:t>
            </w:r>
          </w:p>
          <w:p>
            <w:pPr>
              <w:spacing w:after="0" w:before="0"/>
            </w:pPr>
            <w:r>
              <w:rPr>
                <w:rFonts w:ascii="Courier New" w:cs="Courier New" w:eastAsia="Courier New" w:hAnsi="Courier New"/>
                <w:color w:val="1B2A4A"/>
                <w:sz w:val="16"/>
                <w:szCs w:val="16"/>
              </w:rPr>
              <w:t xml:space="preserve">│  Rule Engine (threshold checks, date validation, format checks)     │</w:t>
            </w:r>
          </w:p>
          <w:p>
            <w:pPr>
              <w:spacing w:after="0" w:before="0"/>
            </w:pPr>
            <w:r>
              <w:rPr>
                <w:rFonts w:ascii="Courier New" w:cs="Courier New" w:eastAsia="Courier New" w:hAnsi="Courier New"/>
                <w:color w:val="1B2A4A"/>
                <w:sz w:val="16"/>
                <w:szCs w:val="16"/>
              </w:rPr>
              <w:t xml:space="preserve">│  Confidence Gates (escalate if extraction confidence &lt; threshold)   │</w:t>
            </w:r>
          </w:p>
          <w:p>
            <w:pPr>
              <w:spacing w:after="0" w:before="0"/>
            </w:pPr>
            <w:r>
              <w:rPr>
                <w:rFonts w:ascii="Courier New" w:cs="Courier New" w:eastAsia="Courier New" w:hAnsi="Courier New"/>
                <w:color w:val="1B2A4A"/>
                <w:sz w:val="16"/>
                <w:szCs w:val="16"/>
              </w:rPr>
              <w:t xml:space="preserve">│  Verdict Emitter: ELIGIBLE | NOT_ELIGIBLE | NEEDS_MANUAL_REVIEW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                                       │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LAYER 5: EXPLAINABI- │         │  LAYER 6: HUMAN REVIEW WORKFLOW   │</w:t>
            </w:r>
          </w:p>
          <w:p>
            <w:pPr>
              <w:spacing w:after="0" w:before="0"/>
            </w:pPr>
            <w:r>
              <w:rPr>
                <w:rFonts w:ascii="Courier New" w:cs="Courier New" w:eastAsia="Courier New" w:hAnsi="Courier New"/>
                <w:color w:val="1B2A4A"/>
                <w:sz w:val="16"/>
                <w:szCs w:val="16"/>
              </w:rPr>
              <w:t xml:space="preserve">│  LITY &amp; AUDIT ENGINE  │         │  (Assigned review tasks, override │</w:t>
            </w:r>
          </w:p>
          <w:p>
            <w:pPr>
              <w:spacing w:after="0" w:before="0"/>
            </w:pPr>
            <w:r>
              <w:rPr>
                <w:rFonts w:ascii="Courier New" w:cs="Courier New" w:eastAsia="Courier New" w:hAnsi="Courier New"/>
                <w:color w:val="1B2A4A"/>
                <w:sz w:val="16"/>
                <w:szCs w:val="16"/>
              </w:rPr>
              <w:t xml:space="preserve">│  Immutable audit log  │         │  logging, dual-officer sign-off)  │</w:t>
            </w:r>
          </w:p>
          <w:p>
            <w:pPr>
              <w:spacing w:after="0" w:before="0"/>
            </w:pPr>
            <w:r>
              <w:rPr>
                <w:rFonts w:ascii="Courier New" w:cs="Courier New" w:eastAsia="Courier New" w:hAnsi="Courier New"/>
                <w:color w:val="1B2A4A"/>
                <w:sz w:val="16"/>
                <w:szCs w:val="16"/>
              </w:rPr>
              <w:t xml:space="preserve">│  Criterion evidence   │         │                                   │</w:t>
            </w:r>
          </w:p>
          <w:p>
            <w:pPr>
              <w:spacing w:after="0" w:before="0"/>
            </w:pPr>
            <w:r>
              <w:rPr>
                <w:rFonts w:ascii="Courier New" w:cs="Courier New" w:eastAsia="Courier New" w:hAnsi="Courier New"/>
                <w:color w:val="1B2A4A"/>
                <w:sz w:val="16"/>
                <w:szCs w:val="16"/>
              </w:rPr>
              <w:t xml:space="preserve">│  report generator     │         │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                        </w:t>
            </w:r>
          </w:p>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LAYER 7: REPORTING &amp; EXPORT ENGINE                             │</w:t>
            </w:r>
          </w:p>
          <w:p>
            <w:pPr>
              <w:spacing w:after="0" w:before="0"/>
            </w:pPr>
            <w:r>
              <w:rPr>
                <w:rFonts w:ascii="Courier New" w:cs="Courier New" w:eastAsia="Courier New" w:hAnsi="Courier New"/>
                <w:color w:val="1B2A4A"/>
                <w:sz w:val="16"/>
                <w:szCs w:val="16"/>
              </w:rPr>
              <w:t xml:space="preserve">│  PDF Report │ Excel Evaluation Matrix │ JSON Export │ Digital Sign    │</w:t>
            </w:r>
          </w:p>
          <w:p>
            <w:pPr>
              <w:spacing w:after="20" w:before="0"/>
            </w:pPr>
            <w:r>
              <w:rPr>
                <w:rFonts w:ascii="Courier New" w:cs="Courier New" w:eastAsia="Courier New" w:hAnsi="Courier New"/>
                <w:color w:val="1B2A4A"/>
                <w:sz w:val="16"/>
                <w:szCs w:val="16"/>
              </w:rPr>
              <w:t xml:space="preserv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3.3  Data Flow Summary</w:t>
      </w:r>
    </w:p>
    <w:p>
      <w:pPr>
        <w:pStyle w:val="ListParagraph"/>
        <w:numPr>
          <w:ilvl w:val="0"/>
          <w:numId w:val="3"/>
        </w:numPr>
        <w:spacing w:after="60" w:before="60"/>
      </w:pPr>
      <w:r>
        <w:rPr>
          <w:rFonts w:ascii="Arial" w:cs="Arial" w:eastAsia="Arial" w:hAnsi="Arial"/>
          <w:b w:val="false"/>
          <w:bCs w:val="false"/>
          <w:color w:val="000000"/>
          <w:sz w:val="22"/>
          <w:szCs w:val="22"/>
        </w:rPr>
        <w:t xml:space="preserve">Procurement officer uploads tender document → stored in Object Storage (MinIO/S3), job queued in Redis.</w:t>
      </w:r>
    </w:p>
    <w:p>
      <w:pPr>
        <w:pStyle w:val="ListParagraph"/>
        <w:numPr>
          <w:ilvl w:val="0"/>
          <w:numId w:val="3"/>
        </w:numPr>
        <w:spacing w:after="60" w:before="60"/>
      </w:pPr>
      <w:r>
        <w:rPr>
          <w:rFonts w:ascii="Arial" w:cs="Arial" w:eastAsia="Arial" w:hAnsi="Arial"/>
          <w:b w:val="false"/>
          <w:bCs w:val="false"/>
          <w:color w:val="000000"/>
          <w:sz w:val="22"/>
          <w:szCs w:val="22"/>
        </w:rPr>
        <w:t xml:space="preserve">Tender Understanding Service dequeues job, runs clause segmentation and criterion extraction via LLM, writes structured CriteriaSchema JSON to PostgreSQL.</w:t>
      </w:r>
    </w:p>
    <w:p>
      <w:pPr>
        <w:pStyle w:val="ListParagraph"/>
        <w:numPr>
          <w:ilvl w:val="0"/>
          <w:numId w:val="3"/>
        </w:numPr>
        <w:spacing w:after="60" w:before="60"/>
      </w:pPr>
      <w:r>
        <w:rPr>
          <w:rFonts w:ascii="Arial" w:cs="Arial" w:eastAsia="Arial" w:hAnsi="Arial"/>
          <w:b w:val="false"/>
          <w:bCs w:val="false"/>
          <w:color w:val="000000"/>
          <w:sz w:val="22"/>
          <w:szCs w:val="22"/>
        </w:rPr>
        <w:t xml:space="preserve">Officer uploads bidder submission package → each file stored in Object Storage, per-file ingestion jobs queued.</w:t>
      </w:r>
    </w:p>
    <w:p>
      <w:pPr>
        <w:pStyle w:val="ListParagraph"/>
        <w:numPr>
          <w:ilvl w:val="0"/>
          <w:numId w:val="3"/>
        </w:numPr>
        <w:spacing w:after="60" w:before="60"/>
      </w:pPr>
      <w:r>
        <w:rPr>
          <w:rFonts w:ascii="Arial" w:cs="Arial" w:eastAsia="Arial" w:hAnsi="Arial"/>
          <w:b w:val="false"/>
          <w:bCs w:val="false"/>
          <w:color w:val="000000"/>
          <w:sz w:val="22"/>
          <w:szCs w:val="22"/>
        </w:rPr>
        <w:t xml:space="preserve">OCR Worker processes each file → text + layout extracted, stored in PostgreSQL (text chunks) and Qdrant (embeddings).</w:t>
      </w:r>
    </w:p>
    <w:p>
      <w:pPr>
        <w:pStyle w:val="ListParagraph"/>
        <w:numPr>
          <w:ilvl w:val="0"/>
          <w:numId w:val="3"/>
        </w:numPr>
        <w:spacing w:after="60" w:before="60"/>
      </w:pPr>
      <w:r>
        <w:rPr>
          <w:rFonts w:ascii="Arial" w:cs="Arial" w:eastAsia="Arial" w:hAnsi="Arial"/>
          <w:b w:val="false"/>
          <w:bCs w:val="false"/>
          <w:color w:val="000000"/>
          <w:sz w:val="22"/>
          <w:szCs w:val="22"/>
        </w:rPr>
        <w:t xml:space="preserve">AI Extraction Engine retrieves relevant chunks per criterion via semantic search, extracts values, writes BidderEvidence records with confidence scores.</w:t>
      </w:r>
    </w:p>
    <w:p>
      <w:pPr>
        <w:pStyle w:val="ListParagraph"/>
        <w:numPr>
          <w:ilvl w:val="0"/>
          <w:numId w:val="3"/>
        </w:numPr>
        <w:spacing w:after="60" w:before="60"/>
      </w:pPr>
      <w:r>
        <w:rPr>
          <w:rFonts w:ascii="Arial" w:cs="Arial" w:eastAsia="Arial" w:hAnsi="Arial"/>
          <w:b w:val="false"/>
          <w:bCs w:val="false"/>
          <w:color w:val="000000"/>
          <w:sz w:val="22"/>
          <w:szCs w:val="22"/>
        </w:rPr>
        <w:t xml:space="preserve">Rule Engine reads CriteriaSchema + BidderEvidence, applies deterministic checks, emits CriterionVerdict per bidder-criterion pair.</w:t>
      </w:r>
    </w:p>
    <w:p>
      <w:pPr>
        <w:pStyle w:val="ListParagraph"/>
        <w:numPr>
          <w:ilvl w:val="0"/>
          <w:numId w:val="3"/>
        </w:numPr>
        <w:spacing w:after="60" w:before="60"/>
      </w:pPr>
      <w:r>
        <w:rPr>
          <w:rFonts w:ascii="Arial" w:cs="Arial" w:eastAsia="Arial" w:hAnsi="Arial"/>
          <w:b w:val="false"/>
          <w:bCs w:val="false"/>
          <w:color w:val="000000"/>
          <w:sz w:val="22"/>
          <w:szCs w:val="22"/>
        </w:rPr>
        <w:t xml:space="preserve">Confidence Gate flags any verdict where extraction confidence &lt; 0.75 as NEEDS_MANUAL_REVIEW with reason string.</w:t>
      </w:r>
    </w:p>
    <w:p>
      <w:pPr>
        <w:pStyle w:val="ListParagraph"/>
        <w:numPr>
          <w:ilvl w:val="0"/>
          <w:numId w:val="3"/>
        </w:numPr>
        <w:spacing w:after="60" w:before="60"/>
      </w:pPr>
      <w:r>
        <w:rPr>
          <w:rFonts w:ascii="Arial" w:cs="Arial" w:eastAsia="Arial" w:hAnsi="Arial"/>
          <w:b w:val="false"/>
          <w:bCs w:val="false"/>
          <w:color w:val="000000"/>
          <w:sz w:val="22"/>
          <w:szCs w:val="22"/>
        </w:rPr>
        <w:t xml:space="preserve">Audit Engine writes immutable AuditEvent record with SHA-256 hash chained to previous record.</w:t>
      </w:r>
    </w:p>
    <w:p>
      <w:pPr>
        <w:pStyle w:val="ListParagraph"/>
        <w:numPr>
          <w:ilvl w:val="0"/>
          <w:numId w:val="3"/>
        </w:numPr>
        <w:spacing w:after="60" w:before="60"/>
      </w:pPr>
      <w:r>
        <w:rPr>
          <w:rFonts w:ascii="Arial" w:cs="Arial" w:eastAsia="Arial" w:hAnsi="Arial"/>
          <w:b w:val="false"/>
          <w:bCs w:val="false"/>
          <w:color w:val="000000"/>
          <w:sz w:val="22"/>
          <w:szCs w:val="22"/>
        </w:rPr>
        <w:t xml:space="preserve">Human review officer reviews flagged cases, overrides verdict if needed (override also logged immutably).</w:t>
      </w:r>
    </w:p>
    <w:p>
      <w:pPr>
        <w:pStyle w:val="ListParagraph"/>
        <w:numPr>
          <w:ilvl w:val="0"/>
          <w:numId w:val="3"/>
        </w:numPr>
        <w:spacing w:after="60" w:before="60"/>
      </w:pPr>
      <w:r>
        <w:rPr>
          <w:rFonts w:ascii="Arial" w:cs="Arial" w:eastAsia="Arial" w:hAnsi="Arial"/>
          <w:b w:val="false"/>
          <w:bCs w:val="false"/>
          <w:color w:val="000000"/>
          <w:sz w:val="22"/>
          <w:szCs w:val="22"/>
        </w:rPr>
        <w:t xml:space="preserve">Reporting Engine generates final Evaluation Report (PDF + Excel) for officer sign-off.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Technology Stack</w:t>
            </w:r>
          </w:p>
        </w:tc>
      </w:tr>
    </w:tbl>
    <w:p>
      <w:pPr>
        <w:spacing w:after="0" w:before="0"/>
      </w:pPr>
      <w:r>
        <w:t xml:space="preserve"/>
      </w:r>
    </w:p>
    <w:p>
      <w:pPr>
        <w:spacing w:after="100" w:before="80"/>
      </w:pPr>
      <w:r>
        <w:rPr>
          <w:rFonts w:ascii="Arial" w:cs="Arial" w:eastAsia="Arial" w:hAnsi="Arial"/>
          <w:b w:val="false"/>
          <w:bCs w:val="false"/>
          <w:i w:val="false"/>
          <w:iCs w:val="false"/>
          <w:color w:val="000000"/>
          <w:sz w:val="22"/>
          <w:szCs w:val="22"/>
        </w:rPr>
        <w:t xml:space="preserve">Every technology choice in TenderGraph AI+ is governed by two constraints: (a) it must work reliably in an on-premise or government cloud deployment, and (b) it must be open-source-first wherever possible, to avoid vendor lock-in and allow NIC or CDAC-level deployment without proprietary licensing complications.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26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45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Reason for Selection</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Frontend Framework</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React 18 + TypeScript</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Component-based, strongly typed; NIC-approved stack; large talent pool for government teams inheriting the codebase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UI Design System</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Tailwind CSS + shadcn/ui</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Utility-first CSS with accessible, government-neutral components; no proprietary SaaS dependency</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State Management</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Zustand + React Query</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Lightweight; React Query handles async server state with caching, essential for polling-based job status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Tables &amp; Charts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AG Grid Community + Recharts</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AG Grid handles large bidder comparison matrices natively; Recharts for summary visualisations</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Backend API</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FastAPI (Python 3.11)</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Async-native, type-annotated, OpenAPI docs auto-generated; fastest Python framework for I/O-heavy workloads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Async Task Queue</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Celery + Redis</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Battle-tested for OCR/LLM workload distribution; Redis Sentinel for HA; retry/backoff built-in</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Primary Database</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PostgreSQL 16 + pgvector</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ACID-compliant; pgvector enables vector search without separate infra; widely supported in government deployments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Vector / Semantic Search</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Qdrant (self-hosted)</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Dedicated vector DB for high-volume embedding queries; outperforms pgvector at scale; Docker-native deployment</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Object Storage</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MinIO (S3-compatible)</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Fully on-premise; NIC-deployable; S3 API compatibility means no code change if moved to NIC Object Storage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OCR — Typed PDFs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pdfplumber + PyMuPDF</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Reliable text + layout extraction from native PDFs; preserves table structure; no API calls required</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OCR — Scanned / Images</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Tesseract 5 (primary) + Azure Form Recognizer (fallback)</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Tesseract is open-source and handles English + Devanagari; Azure FR used for low-confidence documents when internet-accessible deployment permits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Layout Analysis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Unstructured.io (self-hosted) + LayoutLMv3</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Unstructured partitions headers, tables, paragraphs; LayoutLM understands document layout as vision+text</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LLM (Extraction)</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Claude claude-sonnet-4-20250514 (API) / Llama 3.1 70B (on-prem)</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Claude Sonnet for best extraction accuracy; Llama 3.1 70B as air-gapped fallback on NIC GPU infrastructure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Embedding Model</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text-embedding-3-small (OpenAI) / nomic-embed-text (on-prem)</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nomic-embed-text runs on CPU; used for on-premise deployments where API access is unavailable</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Rule Engine</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Python custom DSL + SQLAlchemy</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Transparent, versioned rules stored in DB; each rule is a named Python function with deterministic output</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Authentication</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Keycloak (OAuth2/OIDC)</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Government SSO compatible; LDAP/AD integration for NIC directory; role-based access control via JWT</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Containerisation</w:t>
            </w:r>
          </w:p>
        </w:tc>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Docker + Docker Compose (dev) / Kubernetes (prod)</w:t>
            </w:r>
          </w:p>
        </w:tc>
        <w:tc>
          <w:tcPr>
            <w:tcW w:type="dxa" w:w="4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Standard deployment; NIC cloud supports Kubernetes; Helm charts for repeatable deployment</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Monitoring</w:t>
            </w:r>
          </w:p>
        </w:tc>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Prometheus + Grafana + Loki</w:t>
            </w:r>
          </w:p>
        </w:tc>
        <w:tc>
          <w:tcPr>
            <w:tcW w:type="dxa" w:w="4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Full observability stack; all open-source; govcloud deployable; audit-relevant metrics tracked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Tender Understanding Pipeline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5.1  Stage 1 — Document Ingestion and Pre-processing</w:t>
      </w:r>
    </w:p>
    <w:p>
      <w:pPr>
        <w:spacing w:after="100" w:before="80"/>
      </w:pPr>
      <w:r>
        <w:rPr>
          <w:rFonts w:ascii="Arial" w:cs="Arial" w:eastAsia="Arial" w:hAnsi="Arial"/>
          <w:b w:val="false"/>
          <w:bCs w:val="false"/>
          <w:i w:val="false"/>
          <w:iCs w:val="false"/>
          <w:color w:val="000000"/>
          <w:sz w:val="22"/>
          <w:szCs w:val="22"/>
        </w:rPr>
        <w:t xml:space="preserve">The tender document is uploaded as PDF, DOCX, or scanned image. The system determines file type and routes it through the appropriate pre-processing path:</w:t>
      </w:r>
    </w:p>
    <w:p>
      <w:pPr>
        <w:pStyle w:val="ListParagraph"/>
        <w:numPr>
          <w:ilvl w:val="0"/>
          <w:numId w:val="2"/>
        </w:numPr>
        <w:spacing w:after="60" w:before="60"/>
      </w:pPr>
      <w:r>
        <w:rPr>
          <w:rFonts w:ascii="Arial" w:cs="Arial" w:eastAsia="Arial" w:hAnsi="Arial"/>
          <w:b w:val="false"/>
          <w:bCs w:val="false"/>
          <w:color w:val="000000"/>
          <w:sz w:val="22"/>
          <w:szCs w:val="22"/>
        </w:rPr>
        <w:t xml:space="preserve">Native PDF: PyMuPDF extracts text with full positional metadata (page number, bounding box per word). pdfplumber extracts tables.</w:t>
      </w:r>
    </w:p>
    <w:p>
      <w:pPr>
        <w:pStyle w:val="ListParagraph"/>
        <w:numPr>
          <w:ilvl w:val="0"/>
          <w:numId w:val="2"/>
        </w:numPr>
        <w:spacing w:after="60" w:before="60"/>
      </w:pPr>
      <w:r>
        <w:rPr>
          <w:rFonts w:ascii="Arial" w:cs="Arial" w:eastAsia="Arial" w:hAnsi="Arial"/>
          <w:b w:val="false"/>
          <w:bCs w:val="false"/>
          <w:color w:val="000000"/>
          <w:sz w:val="22"/>
          <w:szCs w:val="22"/>
        </w:rPr>
        <w:t xml:space="preserve">DOCX: python-docx parses the document tree, preserving heading hierarchy, table structures, and paragraph numbering.</w:t>
      </w:r>
    </w:p>
    <w:p>
      <w:pPr>
        <w:pStyle w:val="ListParagraph"/>
        <w:numPr>
          <w:ilvl w:val="0"/>
          <w:numId w:val="2"/>
        </w:numPr>
        <w:spacing w:after="60" w:before="60"/>
      </w:pPr>
      <w:r>
        <w:rPr>
          <w:rFonts w:ascii="Arial" w:cs="Arial" w:eastAsia="Arial" w:hAnsi="Arial"/>
          <w:b w:val="false"/>
          <w:bCs w:val="false"/>
          <w:color w:val="000000"/>
          <w:sz w:val="22"/>
          <w:szCs w:val="22"/>
        </w:rPr>
        <w:t xml:space="preserve">Scanned PDF / Image: Tesseract is applied after deskewing and denoising (OpenCV pipeline). Output is positionally annotated text.</w:t>
      </w:r>
    </w:p>
    <w:p>
      <w:pPr>
        <w:spacing w:after="100" w:before="80"/>
      </w:pPr>
      <w:r>
        <w:rPr>
          <w:rFonts w:ascii="Arial" w:cs="Arial" w:eastAsia="Arial" w:hAnsi="Arial"/>
          <w:b w:val="false"/>
          <w:bCs w:val="false"/>
          <w:i w:val="false"/>
          <w:iCs w:val="false"/>
          <w:color w:val="000000"/>
          <w:sz w:val="22"/>
          <w:szCs w:val="22"/>
        </w:rPr>
        <w:t xml:space="preserve">The output of Stage 1 is a normalised document object: a list of pages, each containing text blocks with coordinates, tables (as arrays), and metadata (page number, font size hints for heading detection).</w:t>
      </w:r>
    </w:p>
    <w:p>
      <w:pPr>
        <w:spacing w:after="0" w:before="0"/>
      </w:pPr>
      <w:r>
        <w:t xml:space="preserve"/>
      </w:r>
    </w:p>
    <w:p>
      <w:pPr>
        <w:pStyle w:val="Heading2"/>
        <w:spacing w:after="120" w:before="280"/>
      </w:pPr>
      <w:r>
        <w:rPr>
          <w:rFonts w:ascii="Arial" w:cs="Arial" w:eastAsia="Arial" w:hAnsi="Arial"/>
          <w:b/>
          <w:bCs/>
          <w:color w:val="2E5FA3"/>
          <w:sz w:val="26"/>
          <w:szCs w:val="26"/>
        </w:rPr>
        <w:t xml:space="preserve">5.2  Stage 2 — Clause Segmentation</w:t>
      </w:r>
    </w:p>
    <w:p>
      <w:pPr>
        <w:spacing w:after="100" w:before="80"/>
      </w:pPr>
      <w:r>
        <w:rPr>
          <w:rFonts w:ascii="Arial" w:cs="Arial" w:eastAsia="Arial" w:hAnsi="Arial"/>
          <w:b w:val="false"/>
          <w:bCs w:val="false"/>
          <w:i w:val="false"/>
          <w:iCs w:val="false"/>
          <w:color w:val="000000"/>
          <w:sz w:val="22"/>
          <w:szCs w:val="22"/>
        </w:rPr>
        <w:t xml:space="preserve">The normalised document is segmented into clauses using a combination of:</w:t>
      </w:r>
    </w:p>
    <w:p>
      <w:pPr>
        <w:pStyle w:val="ListParagraph"/>
        <w:numPr>
          <w:ilvl w:val="0"/>
          <w:numId w:val="2"/>
        </w:numPr>
        <w:spacing w:after="60" w:before="60"/>
      </w:pPr>
      <w:r>
        <w:rPr>
          <w:rFonts w:ascii="Arial" w:cs="Arial" w:eastAsia="Arial" w:hAnsi="Arial"/>
          <w:b w:val="false"/>
          <w:bCs w:val="false"/>
          <w:color w:val="000000"/>
          <w:sz w:val="22"/>
          <w:szCs w:val="22"/>
        </w:rPr>
        <w:t xml:space="preserve">Structural signals: Numbered headings (e.g., '4.', '4.1', '4.1.1'), ALL-CAPS headings, and font-size increases (in typed PDFs) are used to delimit clause boundaries.</w:t>
      </w:r>
    </w:p>
    <w:p>
      <w:pPr>
        <w:pStyle w:val="ListParagraph"/>
        <w:numPr>
          <w:ilvl w:val="0"/>
          <w:numId w:val="2"/>
        </w:numPr>
        <w:spacing w:after="60" w:before="60"/>
      </w:pPr>
      <w:r>
        <w:rPr>
          <w:rFonts w:ascii="Arial" w:cs="Arial" w:eastAsia="Arial" w:hAnsi="Arial"/>
          <w:b w:val="false"/>
          <w:bCs w:val="false"/>
          <w:color w:val="000000"/>
          <w:sz w:val="22"/>
          <w:szCs w:val="22"/>
        </w:rPr>
        <w:t xml:space="preserve">Section classification: Each segment is classified into one of the known sections (NIT, GCC, SCC, Technical Specs, Checklist) using a fine-tuned text classifier trained on representative government tender documents.</w:t>
      </w:r>
    </w:p>
    <w:p>
      <w:pPr>
        <w:pStyle w:val="ListParagraph"/>
        <w:numPr>
          <w:ilvl w:val="0"/>
          <w:numId w:val="2"/>
        </w:numPr>
        <w:spacing w:after="60" w:before="60"/>
      </w:pPr>
      <w:r>
        <w:rPr>
          <w:rFonts w:ascii="Arial" w:cs="Arial" w:eastAsia="Arial" w:hAnsi="Arial"/>
          <w:b w:val="false"/>
          <w:bCs w:val="false"/>
          <w:color w:val="000000"/>
          <w:sz w:val="22"/>
          <w:szCs w:val="22"/>
        </w:rPr>
        <w:t xml:space="preserve">Cross-reference resolution: References like 'as per Clause 4.2 above' are resolved and the referenced content appended to the referring clause for extraction purposes.</w:t>
      </w:r>
    </w:p>
    <w:p>
      <w:pPr>
        <w:spacing w:after="0" w:before="0"/>
      </w:pPr>
      <w:r>
        <w:t xml:space="preserve"/>
      </w:r>
    </w:p>
    <w:p>
      <w:pPr>
        <w:pStyle w:val="Heading2"/>
        <w:spacing w:after="120" w:before="280"/>
      </w:pPr>
      <w:r>
        <w:rPr>
          <w:rFonts w:ascii="Arial" w:cs="Arial" w:eastAsia="Arial" w:hAnsi="Arial"/>
          <w:b/>
          <w:bCs/>
          <w:color w:val="2E5FA3"/>
          <w:sz w:val="26"/>
          <w:szCs w:val="26"/>
        </w:rPr>
        <w:t xml:space="preserve">5.3  Stage 3 — Criterion Extraction (LLM with Structured Output)</w:t>
      </w:r>
    </w:p>
    <w:p>
      <w:pPr>
        <w:spacing w:after="100" w:before="80"/>
      </w:pPr>
      <w:r>
        <w:rPr>
          <w:rFonts w:ascii="Arial" w:cs="Arial" w:eastAsia="Arial" w:hAnsi="Arial"/>
          <w:b w:val="false"/>
          <w:bCs w:val="false"/>
          <w:i w:val="false"/>
          <w:iCs w:val="false"/>
          <w:color w:val="000000"/>
          <w:sz w:val="22"/>
          <w:szCs w:val="22"/>
        </w:rPr>
        <w:t xml:space="preserve">Each clause is passed to the LLM with a structured extraction prompt. The system uses Claude Sonnet's JSON mode (or equivalent structured output capability) to force a deterministic schema: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C1" w:sz="2"/>
              <w:left w:val="single" w:color="1A7FC1" w:sz="6"/>
              <w:bottom w:val="single" w:color="1A7FC1" w:sz="2"/>
              <w:right w:val="single" w:color="1A7FC1" w:sz="2"/>
            </w:tcBorders>
            <w:shd w:fill="F0F6FF" w:val="clear"/>
            <w:tcMar>
              <w:top w:type="dxa" w:w="120"/>
              <w:left w:type="dxa" w:w="160"/>
              <w:bottom w:type="dxa" w:w="120"/>
              <w:right w:type="dxa" w:w="160"/>
            </w:tcMar>
          </w:tcPr>
          <w:p>
            <w:pPr>
              <w:spacing w:after="100" w:before="80"/>
            </w:pPr>
            <w:r>
              <w:rPr>
                <w:rFonts w:ascii="Arial" w:cs="Arial" w:eastAsia="Arial" w:hAnsi="Arial"/>
                <w:b/>
                <w:bCs/>
                <w:i w:val="false"/>
                <w:iCs w:val="false"/>
                <w:color w:val="1B2A4A"/>
                <w:sz w:val="22"/>
                <w:szCs w:val="22"/>
              </w:rPr>
              <w:t xml:space="preserve">EXAMPLE: Extracted Criterion JSON Schema</w:t>
            </w:r>
          </w:p>
          <w:p>
            <w:pPr>
              <w:spacing w:after="20" w:before="6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"criterion_id": "CRPF-2024-CONST-C04",</w:t>
            </w:r>
          </w:p>
          <w:p>
            <w:pPr>
              <w:spacing w:after="0" w:before="0"/>
            </w:pPr>
            <w:r>
              <w:rPr>
                <w:rFonts w:ascii="Courier New" w:cs="Courier New" w:eastAsia="Courier New" w:hAnsi="Courier New"/>
                <w:color w:val="222222"/>
                <w:sz w:val="18"/>
                <w:szCs w:val="18"/>
              </w:rPr>
              <w:t xml:space="preserve">  "category": "FINANCIAL",</w:t>
            </w:r>
          </w:p>
          <w:p>
            <w:pPr>
              <w:spacing w:after="0" w:before="0"/>
            </w:pPr>
            <w:r>
              <w:rPr>
                <w:rFonts w:ascii="Courier New" w:cs="Courier New" w:eastAsia="Courier New" w:hAnsi="Courier New"/>
                <w:color w:val="222222"/>
                <w:sz w:val="18"/>
                <w:szCs w:val="18"/>
              </w:rPr>
              <w:t xml:space="preserve">  "mandatory": true,</w:t>
            </w:r>
          </w:p>
          <w:p>
            <w:pPr>
              <w:spacing w:after="0" w:before="0"/>
            </w:pPr>
            <w:r>
              <w:rPr>
                <w:rFonts w:ascii="Courier New" w:cs="Courier New" w:eastAsia="Courier New" w:hAnsi="Courier New"/>
                <w:color w:val="222222"/>
                <w:sz w:val="18"/>
                <w:szCs w:val="18"/>
              </w:rPr>
              <w:t xml:space="preserve">  "description": "Average annual turnover from similar works",</w:t>
            </w:r>
          </w:p>
          <w:p>
            <w:pPr>
              <w:spacing w:after="0" w:before="0"/>
            </w:pPr>
            <w:r>
              <w:rPr>
                <w:rFonts w:ascii="Courier New" w:cs="Courier New" w:eastAsia="Courier New" w:hAnsi="Courier New"/>
                <w:color w:val="222222"/>
                <w:sz w:val="18"/>
                <w:szCs w:val="18"/>
              </w:rPr>
              <w:t xml:space="preserve">  "threshold": { "type": "MINIMUM_CURRENCY_INR", "value": 50000000 },</w:t>
            </w:r>
          </w:p>
          <w:p>
            <w:pPr>
              <w:spacing w:after="0" w:before="0"/>
            </w:pPr>
            <w:r>
              <w:rPr>
                <w:rFonts w:ascii="Courier New" w:cs="Courier New" w:eastAsia="Courier New" w:hAnsi="Courier New"/>
                <w:color w:val="222222"/>
                <w:sz w:val="18"/>
                <w:szCs w:val="18"/>
              </w:rPr>
              <w:t xml:space="preserve">  "reference_period": { "years": ["2021-22","2022-23","2023-24"], "mode": "AVERAGE" },</w:t>
            </w:r>
          </w:p>
          <w:p>
            <w:pPr>
              <w:spacing w:after="0" w:before="0"/>
            </w:pPr>
            <w:r>
              <w:rPr>
                <w:rFonts w:ascii="Courier New" w:cs="Courier New" w:eastAsia="Courier New" w:hAnsi="Courier New"/>
                <w:color w:val="222222"/>
                <w:sz w:val="18"/>
                <w:szCs w:val="18"/>
              </w:rPr>
              <w:t xml:space="preserve">  "required_document": "CA Certificate or Audited Balance Sheet",</w:t>
            </w:r>
          </w:p>
          <w:p>
            <w:pPr>
              <w:spacing w:after="0" w:before="0"/>
            </w:pPr>
            <w:r>
              <w:rPr>
                <w:rFonts w:ascii="Courier New" w:cs="Courier New" w:eastAsia="Courier New" w:hAnsi="Courier New"/>
                <w:color w:val="222222"/>
                <w:sz w:val="18"/>
                <w:szCs w:val="18"/>
              </w:rPr>
              <w:t xml:space="preserve">  "source_clause": "4.2",</w:t>
            </w:r>
          </w:p>
          <w:p>
            <w:pPr>
              <w:spacing w:after="0" w:before="0"/>
            </w:pPr>
            <w:r>
              <w:rPr>
                <w:rFonts w:ascii="Courier New" w:cs="Courier New" w:eastAsia="Courier New" w:hAnsi="Courier New"/>
                <w:color w:val="222222"/>
                <w:sz w:val="18"/>
                <w:szCs w:val="18"/>
              </w:rPr>
              <w:t xml:space="preserve">  "source_page": 12,</w:t>
            </w:r>
          </w:p>
          <w:p>
            <w:pPr>
              <w:spacing w:after="0" w:before="0"/>
            </w:pPr>
            <w:r>
              <w:rPr>
                <w:rFonts w:ascii="Courier New" w:cs="Courier New" w:eastAsia="Courier New" w:hAnsi="Courier New"/>
                <w:color w:val="222222"/>
                <w:sz w:val="18"/>
                <w:szCs w:val="18"/>
              </w:rPr>
              <w:t xml:space="preserve">  "extraction_confidence": 0.97,</w:t>
            </w:r>
          </w:p>
          <w:p>
            <w:pPr>
              <w:spacing w:after="20" w:before="0"/>
            </w:pPr>
            <w:r>
              <w:rPr>
                <w:rFonts w:ascii="Courier New" w:cs="Courier New" w:eastAsia="Courier New" w:hAnsi="Courier New"/>
                <w:color w:val="222222"/>
                <w:sz w:val="18"/>
                <w:szCs w:val="18"/>
              </w:rPr>
              <w:t xml:space="preserve">  "ambiguity_flags": []</w:t>
            </w:r>
          </w:p>
          <w:p>
            <w:pPr>
              <w:spacing w:after="60" w:before="0"/>
            </w:pPr>
            <w:r>
              <w:rPr>
                <w:rFonts w:ascii="Courier New" w:cs="Courier New" w:eastAsia="Courier New" w:hAnsi="Courier New"/>
                <w:color w:val="222222"/>
                <w:sz w:val="18"/>
                <w:szCs w:val="18"/>
              </w:rPr>
              <w:t xml:space="preserv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5.4  Stage 4 — Mandatory vs Optional Classification</w:t>
      </w:r>
    </w:p>
    <w:p>
      <w:pPr>
        <w:spacing w:after="100" w:before="80"/>
      </w:pPr>
      <w:r>
        <w:rPr>
          <w:rFonts w:ascii="Arial" w:cs="Arial" w:eastAsia="Arial" w:hAnsi="Arial"/>
          <w:b w:val="false"/>
          <w:bCs w:val="false"/>
          <w:i w:val="false"/>
          <w:iCs w:val="false"/>
          <w:color w:val="000000"/>
          <w:sz w:val="22"/>
          <w:szCs w:val="22"/>
        </w:rPr>
        <w:t xml:space="preserve">The LLM is explicitly prompted to classify each criterion as mandatory or optional based on the linguistic markers in the tender text. A secondary deterministic rule layer enforces known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Linguistic Pattern</w:t>
            </w:r>
          </w:p>
        </w:tc>
        <w:tc>
          <w:tcPr>
            <w:tcW w:type="dxa" w:w="2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Classification</w:t>
            </w:r>
          </w:p>
        </w:tc>
        <w:tc>
          <w:tcPr>
            <w:tcW w:type="dxa" w:w="41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'shall', 'must', 'is required', 'essential condition'</w:t>
            </w:r>
          </w:p>
        </w:tc>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MANDATORY</w:t>
            </w:r>
          </w:p>
        </w:tc>
        <w:tc>
          <w:tcPr>
            <w:tcW w:type="dxa" w:w="41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'The bidder shall possess a valid ISO 9001 certificate'</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'should', 'is desirable', 'preferred', 'advantageous'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OPTIONAL_PREFERRED</w:t>
            </w:r>
          </w:p>
        </w:tc>
        <w:tc>
          <w:tcPr>
            <w:tcW w:type="dxa" w:w="41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'Experience in government contracts is desirable'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'may', 'is encouraged', 'additional marks'</w:t>
            </w:r>
          </w:p>
        </w:tc>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OPTIONAL_SCORED</w:t>
            </w:r>
          </w:p>
        </w:tc>
        <w:tc>
          <w:tcPr>
            <w:tcW w:type="dxa" w:w="41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'Bidders with ISO 14001 certification may receive additional technical score'</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'if applicable', 'where relevant', 'as the case may be'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CONDITIONAL</w:t>
            </w:r>
          </w:p>
        </w:tc>
        <w:tc>
          <w:tcPr>
            <w:tcW w:type="dxa" w:w="41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'Minority enterprise declaration, if applicable'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5.5  Stage 5 — Financial, Technical, and Compliance Separation</w:t>
      </w:r>
    </w:p>
    <w:p>
      <w:pPr>
        <w:spacing w:after="100" w:before="80"/>
      </w:pPr>
      <w:r>
        <w:rPr>
          <w:rFonts w:ascii="Arial" w:cs="Arial" w:eastAsia="Arial" w:hAnsi="Arial"/>
          <w:b w:val="false"/>
          <w:bCs w:val="false"/>
          <w:i w:val="false"/>
          <w:iCs w:val="false"/>
          <w:color w:val="000000"/>
          <w:sz w:val="22"/>
          <w:szCs w:val="22"/>
        </w:rPr>
        <w:t xml:space="preserve">Each extracted criterion is tagged with a category. This drives how the verification engine processes it and how it is displayed in the dashboard:</w:t>
      </w:r>
    </w:p>
    <w:p>
      <w:pPr>
        <w:pStyle w:val="ListParagraph"/>
        <w:numPr>
          <w:ilvl w:val="0"/>
          <w:numId w:val="2"/>
        </w:numPr>
        <w:spacing w:after="60" w:before="60"/>
      </w:pPr>
      <w:r>
        <w:rPr>
          <w:rFonts w:ascii="Arial" w:cs="Arial" w:eastAsia="Arial" w:hAnsi="Arial"/>
          <w:b w:val="false"/>
          <w:bCs w:val="false"/>
          <w:color w:val="000000"/>
          <w:sz w:val="22"/>
          <w:szCs w:val="22"/>
        </w:rPr>
        <w:t xml:space="preserve">FINANCIAL: Turnover thresholds, EMD amount, net worth, working capital. Verification is numeric comparison with currency normalisation (crore/lakh to absolute INR).</w:t>
      </w:r>
    </w:p>
    <w:p>
      <w:pPr>
        <w:pStyle w:val="ListParagraph"/>
        <w:numPr>
          <w:ilvl w:val="0"/>
          <w:numId w:val="2"/>
        </w:numPr>
        <w:spacing w:after="60" w:before="60"/>
      </w:pPr>
      <w:r>
        <w:rPr>
          <w:rFonts w:ascii="Arial" w:cs="Arial" w:eastAsia="Arial" w:hAnsi="Arial"/>
          <w:b w:val="false"/>
          <w:bCs w:val="false"/>
          <w:color w:val="000000"/>
          <w:sz w:val="22"/>
          <w:szCs w:val="22"/>
        </w:rPr>
        <w:t xml:space="preserve">TECHNICAL: Project count, similar works experience, personnel qualifications, machinery availability. Verification combines numeric comparison with semantic similarity matching.</w:t>
      </w:r>
    </w:p>
    <w:p>
      <w:pPr>
        <w:pStyle w:val="ListParagraph"/>
        <w:numPr>
          <w:ilvl w:val="0"/>
          <w:numId w:val="2"/>
        </w:numPr>
        <w:spacing w:after="60" w:before="60"/>
      </w:pPr>
      <w:r>
        <w:rPr>
          <w:rFonts w:ascii="Arial" w:cs="Arial" w:eastAsia="Arial" w:hAnsi="Arial"/>
          <w:b w:val="false"/>
          <w:bCs w:val="false"/>
          <w:color w:val="000000"/>
          <w:sz w:val="22"/>
          <w:szCs w:val="22"/>
        </w:rPr>
        <w:t xml:space="preserve">COMPLIANCE: Valid registrations (GST, PAN, Shops &amp; Establishments), certifications (ISO, BIS), blacklist declarations, labour law compliance. Verification checks document presence, expiry dates, and format validity.</w:t>
      </w:r>
    </w:p>
    <w:p>
      <w:pPr>
        <w:pStyle w:val="ListParagraph"/>
        <w:numPr>
          <w:ilvl w:val="0"/>
          <w:numId w:val="2"/>
        </w:numPr>
        <w:spacing w:after="60" w:before="60"/>
      </w:pPr>
      <w:r>
        <w:rPr>
          <w:rFonts w:ascii="Arial" w:cs="Arial" w:eastAsia="Arial" w:hAnsi="Arial"/>
          <w:b w:val="false"/>
          <w:bCs w:val="false"/>
          <w:color w:val="000000"/>
          <w:sz w:val="22"/>
          <w:szCs w:val="22"/>
        </w:rPr>
        <w:t xml:space="preserve">COMPLETENESS: Document checklist items. Verification checks that each required document type is present in the submission package.</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06</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Bidder Document Understanding Pipeline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6.1  Multi-Format Ingestion and OCR</w:t>
      </w:r>
    </w:p>
    <w:p>
      <w:pPr>
        <w:spacing w:after="100" w:before="80"/>
      </w:pPr>
      <w:r>
        <w:rPr>
          <w:rFonts w:ascii="Arial" w:cs="Arial" w:eastAsia="Arial" w:hAnsi="Arial"/>
          <w:b w:val="false"/>
          <w:bCs w:val="false"/>
          <w:i w:val="false"/>
          <w:iCs w:val="false"/>
          <w:color w:val="000000"/>
          <w:sz w:val="22"/>
          <w:szCs w:val="22"/>
        </w:rPr>
        <w:t xml:space="preserve">Every file in a bidder submission package is independently processed through a format-aware pipeline. The pipeline classifies the input file by type, applies the appropriate extraction method, and produces a normalised set of text chunks with metadata.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File Type</w:t>
            </w:r>
          </w:p>
        </w:tc>
        <w:tc>
          <w:tcPr>
            <w:tcW w:type="dxa" w:w="35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Extraction Method</w:t>
            </w:r>
          </w:p>
        </w:tc>
        <w:tc>
          <w:tcPr>
            <w:tcW w:type="dxa" w:w="36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Native text PDF</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PyMuPDF → direct text extraction with positional metadata</w:t>
            </w:r>
          </w:p>
        </w:tc>
        <w:tc>
          <w:tcPr>
            <w:tcW w:type="dxa" w:w="3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Text chunks with page, x, y, font-size annotations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Scanned PDF / low-res image</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OpenCV deskew/denoise → Tesseract 5 with HOCR output → bounding box mapped text</w:t>
            </w:r>
          </w:p>
        </w:tc>
        <w:tc>
          <w:tcPr>
            <w:tcW w:type="dxa" w:w="3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Text with word-level bounding boxes and confidence scores per word</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High-quality scan / photograph</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Azure Form Recognizer (if available) or LayoutLMv3 → semantic layout detection</w:t>
            </w:r>
          </w:p>
        </w:tc>
        <w:tc>
          <w:tcPr>
            <w:tcW w:type="dxa" w:w="3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Typed regions: header, body, table, signature; text per region</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DOCX / DOC</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python-docx → paragraph/table tree walk</w:t>
            </w:r>
          </w:p>
        </w:tc>
        <w:tc>
          <w:tcPr>
            <w:tcW w:type="dxa" w:w="3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Structured content preserving heading hierarchy and table cells</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Table / Spreadsheet</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Camelot (lattice/stream) + pdfplumber → pandas DataFrame</w:t>
            </w:r>
          </w:p>
        </w:tc>
        <w:tc>
          <w:tcPr>
            <w:tcW w:type="dxa" w:w="3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Structured rows/columns with header inference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Hindi / bilingual documents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Tesseract Hindi model (hin) + transliteration → English-normalised output</w:t>
            </w:r>
          </w:p>
        </w:tc>
        <w:tc>
          <w:tcPr>
            <w:tcW w:type="dxa" w:w="3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Text in Roman transliteration where extraction is needed</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6.2  Chunking and Embedding Strategy</w:t>
      </w:r>
    </w:p>
    <w:p>
      <w:pPr>
        <w:spacing w:after="100" w:before="80"/>
      </w:pPr>
      <w:r>
        <w:rPr>
          <w:rFonts w:ascii="Arial" w:cs="Arial" w:eastAsia="Arial" w:hAnsi="Arial"/>
          <w:b w:val="false"/>
          <w:bCs w:val="false"/>
          <w:i w:val="false"/>
          <w:iCs w:val="false"/>
          <w:color w:val="000000"/>
          <w:sz w:val="22"/>
          <w:szCs w:val="22"/>
        </w:rPr>
        <w:t xml:space="preserve">After OCR, the text is chunked and embedded for semantic retrieval. The chunking strategy balances semantic coherence with retrieval precision:</w:t>
      </w:r>
    </w:p>
    <w:p>
      <w:pPr>
        <w:pStyle w:val="ListParagraph"/>
        <w:numPr>
          <w:ilvl w:val="0"/>
          <w:numId w:val="2"/>
        </w:numPr>
        <w:spacing w:after="60" w:before="60"/>
      </w:pPr>
      <w:r>
        <w:rPr>
          <w:rFonts w:ascii="Arial" w:cs="Arial" w:eastAsia="Arial" w:hAnsi="Arial"/>
          <w:b w:val="false"/>
          <w:bCs w:val="false"/>
          <w:color w:val="000000"/>
          <w:sz w:val="22"/>
          <w:szCs w:val="22"/>
        </w:rPr>
        <w:t xml:space="preserve">Structural chunk: One chunk per logical document section (e.g., one CA certificate, one page of a balance sheet). Maximum 800 tokens.</w:t>
      </w:r>
    </w:p>
    <w:p>
      <w:pPr>
        <w:pStyle w:val="ListParagraph"/>
        <w:numPr>
          <w:ilvl w:val="0"/>
          <w:numId w:val="2"/>
        </w:numPr>
        <w:spacing w:after="60" w:before="60"/>
      </w:pPr>
      <w:r>
        <w:rPr>
          <w:rFonts w:ascii="Arial" w:cs="Arial" w:eastAsia="Arial" w:hAnsi="Arial"/>
          <w:b w:val="false"/>
          <w:bCs w:val="false"/>
          <w:color w:val="000000"/>
          <w:sz w:val="22"/>
          <w:szCs w:val="22"/>
        </w:rPr>
        <w:t xml:space="preserve">Sliding window overlap: 15% overlap between adjacent chunks to prevent criterion-relevant information from being split at chunk boundaries.</w:t>
      </w:r>
    </w:p>
    <w:p>
      <w:pPr>
        <w:pStyle w:val="ListParagraph"/>
        <w:numPr>
          <w:ilvl w:val="0"/>
          <w:numId w:val="2"/>
        </w:numPr>
        <w:spacing w:after="60" w:before="60"/>
      </w:pPr>
      <w:r>
        <w:rPr>
          <w:rFonts w:ascii="Arial" w:cs="Arial" w:eastAsia="Arial" w:hAnsi="Arial"/>
          <w:b w:val="false"/>
          <w:bCs w:val="false"/>
          <w:color w:val="000000"/>
          <w:sz w:val="22"/>
          <w:szCs w:val="22"/>
        </w:rPr>
        <w:t xml:space="preserve">Table rows as atomic chunks: Each table row (e.g., a financial statement line item) is stored as its own chunk with the table header prepended, so numeric values can be retrieved in context.</w:t>
      </w:r>
    </w:p>
    <w:p>
      <w:pPr>
        <w:spacing w:after="100" w:before="80"/>
      </w:pPr>
      <w:r>
        <w:rPr>
          <w:rFonts w:ascii="Arial" w:cs="Arial" w:eastAsia="Arial" w:hAnsi="Arial"/>
          <w:b w:val="false"/>
          <w:bCs w:val="false"/>
          <w:i w:val="false"/>
          <w:iCs w:val="false"/>
          <w:color w:val="000000"/>
          <w:sz w:val="22"/>
          <w:szCs w:val="22"/>
        </w:rPr>
        <w:t xml:space="preserve">Each chunk is embedded using nomic-embed-text (768-dimensional dense vector) and stored in Qdrant with metadata: bidder_id, document_id, doc_type, page_number, chunk_index, extraction_confidence.</w:t>
      </w:r>
    </w:p>
    <w:p>
      <w:pPr>
        <w:spacing w:after="0" w:before="0"/>
      </w:pPr>
      <w:r>
        <w:t xml:space="preserve"/>
      </w:r>
    </w:p>
    <w:p>
      <w:pPr>
        <w:pStyle w:val="Heading2"/>
        <w:spacing w:after="120" w:before="280"/>
      </w:pPr>
      <w:r>
        <w:rPr>
          <w:rFonts w:ascii="Arial" w:cs="Arial" w:eastAsia="Arial" w:hAnsi="Arial"/>
          <w:b/>
          <w:bCs/>
          <w:color w:val="2E5FA3"/>
          <w:sz w:val="26"/>
          <w:szCs w:val="26"/>
        </w:rPr>
        <w:t xml:space="preserve">6.3  Criterion-Targeted Extraction</w:t>
      </w:r>
    </w:p>
    <w:p>
      <w:pPr>
        <w:spacing w:after="100" w:before="80"/>
      </w:pPr>
      <w:r>
        <w:rPr>
          <w:rFonts w:ascii="Arial" w:cs="Arial" w:eastAsia="Arial" w:hAnsi="Arial"/>
          <w:b w:val="false"/>
          <w:bCs w:val="false"/>
          <w:i w:val="false"/>
          <w:iCs w:val="false"/>
          <w:color w:val="000000"/>
          <w:sz w:val="22"/>
          <w:szCs w:val="22"/>
        </w:rPr>
        <w:t xml:space="preserve">For each criterion in the CriteriaSchema, the system performs a targeted extraction pass against the bidder's document corpus:</w:t>
      </w:r>
    </w:p>
    <w:p>
      <w:pPr>
        <w:pStyle w:val="ListParagraph"/>
        <w:numPr>
          <w:ilvl w:val="0"/>
          <w:numId w:val="4"/>
        </w:numPr>
        <w:spacing w:after="60" w:before="60"/>
      </w:pPr>
      <w:r>
        <w:rPr>
          <w:rFonts w:ascii="Arial" w:cs="Arial" w:eastAsia="Arial" w:hAnsi="Arial"/>
          <w:b w:val="false"/>
          <w:bCs w:val="false"/>
          <w:color w:val="000000"/>
          <w:sz w:val="22"/>
          <w:szCs w:val="22"/>
        </w:rPr>
        <w:t xml:space="preserve">The criterion description is embedded and used to query Qdrant for the top-5 most semantically similar chunks from the bidder's documents.</w:t>
      </w:r>
    </w:p>
    <w:p>
      <w:pPr>
        <w:pStyle w:val="ListParagraph"/>
        <w:numPr>
          <w:ilvl w:val="0"/>
          <w:numId w:val="4"/>
        </w:numPr>
        <w:spacing w:after="60" w:before="60"/>
      </w:pPr>
      <w:r>
        <w:rPr>
          <w:rFonts w:ascii="Arial" w:cs="Arial" w:eastAsia="Arial" w:hAnsi="Arial"/>
          <w:b w:val="false"/>
          <w:bCs w:val="false"/>
          <w:color w:val="000000"/>
          <w:sz w:val="22"/>
          <w:szCs w:val="22"/>
        </w:rPr>
        <w:t xml:space="preserve">The retrieved chunks are passed to the LLM with a focused extraction prompt: 'Given the following text from a bidder's submitted documents, extract the value relevant to this criterion: [criterion description]. Return ONLY a JSON object with fields: extracted_value, unit, reference_period, source_document_name, source_page, confidence (0.0–1.0), extraction_notes.'</w:t>
      </w:r>
    </w:p>
    <w:p>
      <w:pPr>
        <w:pStyle w:val="ListParagraph"/>
        <w:numPr>
          <w:ilvl w:val="0"/>
          <w:numId w:val="4"/>
        </w:numPr>
        <w:spacing w:after="60" w:before="60"/>
      </w:pPr>
      <w:r>
        <w:rPr>
          <w:rFonts w:ascii="Arial" w:cs="Arial" w:eastAsia="Arial" w:hAnsi="Arial"/>
          <w:b w:val="false"/>
          <w:bCs w:val="false"/>
          <w:color w:val="000000"/>
          <w:sz w:val="22"/>
          <w:szCs w:val="22"/>
        </w:rPr>
        <w:t xml:space="preserve">The LLM output is validated against the expected data type for the criterion (numeric for financial, ISO date string for validity periods, boolean for presence checks). Type mismatches trigger a re-extraction with a corrective prompt.</w:t>
      </w:r>
    </w:p>
    <w:p>
      <w:pPr>
        <w:pStyle w:val="ListParagraph"/>
        <w:numPr>
          <w:ilvl w:val="0"/>
          <w:numId w:val="4"/>
        </w:numPr>
        <w:spacing w:after="60" w:before="60"/>
      </w:pPr>
      <w:r>
        <w:rPr>
          <w:rFonts w:ascii="Arial" w:cs="Arial" w:eastAsia="Arial" w:hAnsi="Arial"/>
          <w:b w:val="false"/>
          <w:bCs w:val="false"/>
          <w:color w:val="000000"/>
          <w:sz w:val="22"/>
          <w:szCs w:val="22"/>
        </w:rPr>
        <w:t xml:space="preserve">Currency normalisation is applied: figures in lakh/crore/thousand notation are converted to absolute INR integers for reliable numeric comparison.</w:t>
      </w:r>
    </w:p>
    <w:p>
      <w:pPr>
        <w:pStyle w:val="ListParagraph"/>
        <w:numPr>
          <w:ilvl w:val="0"/>
          <w:numId w:val="4"/>
        </w:numPr>
        <w:spacing w:after="60" w:before="60"/>
      </w:pPr>
      <w:r>
        <w:rPr>
          <w:rFonts w:ascii="Arial" w:cs="Arial" w:eastAsia="Arial" w:hAnsi="Arial"/>
          <w:b w:val="false"/>
          <w:bCs w:val="false"/>
          <w:color w:val="000000"/>
          <w:sz w:val="22"/>
          <w:szCs w:val="22"/>
        </w:rPr>
        <w:t xml:space="preserve">A per-criterion extraction confidence score is computed as: min(OCR_confidence, LLM_stated_confidence) × coverage_factor, where coverage_factor penalises cases where only 1 of 5 retrieved chunks contained relevant content.</w:t>
      </w:r>
    </w:p>
    <w:p>
      <w:pPr>
        <w:spacing w:after="0" w:before="0"/>
      </w:pPr>
      <w:r>
        <w:t xml:space="preserve"/>
      </w:r>
    </w:p>
    <w:p>
      <w:pPr>
        <w:pStyle w:val="Heading2"/>
        <w:spacing w:after="120" w:before="280"/>
      </w:pPr>
      <w:r>
        <w:rPr>
          <w:rFonts w:ascii="Arial" w:cs="Arial" w:eastAsia="Arial" w:hAnsi="Arial"/>
          <w:b/>
          <w:bCs/>
          <w:color w:val="2E5FA3"/>
          <w:sz w:val="26"/>
          <w:szCs w:val="26"/>
        </w:rPr>
        <w:t xml:space="preserve">6.4  Handling Variation and Ambiguity</w:t>
      </w:r>
    </w:p>
    <w:p>
      <w:pPr>
        <w:spacing w:after="100" w:before="80"/>
      </w:pPr>
      <w:r>
        <w:rPr>
          <w:rFonts w:ascii="Arial" w:cs="Arial" w:eastAsia="Arial" w:hAnsi="Arial"/>
          <w:b w:val="false"/>
          <w:bCs w:val="false"/>
          <w:i w:val="false"/>
          <w:iCs w:val="false"/>
          <w:color w:val="000000"/>
          <w:sz w:val="22"/>
          <w:szCs w:val="22"/>
        </w:rPr>
        <w:t xml:space="preserve">Bidders present the same information in highly varied ways. TenderGraph AI+ handles the following known variation patterns:</w:t>
      </w:r>
    </w:p>
    <w:p>
      <w:pPr>
        <w:pStyle w:val="ListParagraph"/>
        <w:numPr>
          <w:ilvl w:val="0"/>
          <w:numId w:val="2"/>
        </w:numPr>
        <w:spacing w:after="60" w:before="60"/>
      </w:pPr>
      <w:r>
        <w:rPr>
          <w:rFonts w:ascii="Arial" w:cs="Arial" w:eastAsia="Arial" w:hAnsi="Arial"/>
          <w:b w:val="false"/>
          <w:bCs w:val="false"/>
          <w:color w:val="000000"/>
          <w:sz w:val="22"/>
          <w:szCs w:val="22"/>
        </w:rPr>
        <w:t xml:space="preserve">Synonym resolution: 'net turnover', 'total receipts', 'gross revenue', 'annual sales' are treated as synonyms for 'annual turnover' via a maintained synonym dictionary specific to Indian procurement terminology.</w:t>
      </w:r>
    </w:p>
    <w:p>
      <w:pPr>
        <w:pStyle w:val="ListParagraph"/>
        <w:numPr>
          <w:ilvl w:val="0"/>
          <w:numId w:val="2"/>
        </w:numPr>
        <w:spacing w:after="60" w:before="60"/>
      </w:pPr>
      <w:r>
        <w:rPr>
          <w:rFonts w:ascii="Arial" w:cs="Arial" w:eastAsia="Arial" w:hAnsi="Arial"/>
          <w:b w:val="false"/>
          <w:bCs w:val="false"/>
          <w:color w:val="000000"/>
          <w:sz w:val="22"/>
          <w:szCs w:val="22"/>
        </w:rPr>
        <w:t xml:space="preserve">Date format normalisation: DD/MM/YYYY, DD-MM-YYYY, 'March 2024', '2024-03-31' are all normalised to ISO 8601 before date comparison.</w:t>
      </w:r>
    </w:p>
    <w:p>
      <w:pPr>
        <w:pStyle w:val="ListParagraph"/>
        <w:numPr>
          <w:ilvl w:val="0"/>
          <w:numId w:val="2"/>
        </w:numPr>
        <w:spacing w:after="60" w:before="60"/>
      </w:pPr>
      <w:r>
        <w:rPr>
          <w:rFonts w:ascii="Arial" w:cs="Arial" w:eastAsia="Arial" w:hAnsi="Arial"/>
          <w:b w:val="false"/>
          <w:bCs w:val="false"/>
          <w:color w:val="000000"/>
          <w:sz w:val="22"/>
          <w:szCs w:val="22"/>
        </w:rPr>
        <w:t xml:space="preserve">Indian numeral system: '5,00,00,000', '5 crore', '50 million', 'INR 5Cr' are all normalised to integer 50000000.</w:t>
      </w:r>
    </w:p>
    <w:p>
      <w:pPr>
        <w:pStyle w:val="ListParagraph"/>
        <w:numPr>
          <w:ilvl w:val="0"/>
          <w:numId w:val="2"/>
        </w:numPr>
        <w:spacing w:after="60" w:before="60"/>
      </w:pPr>
      <w:r>
        <w:rPr>
          <w:rFonts w:ascii="Arial" w:cs="Arial" w:eastAsia="Arial" w:hAnsi="Arial"/>
          <w:b w:val="false"/>
          <w:bCs w:val="false"/>
          <w:color w:val="000000"/>
          <w:sz w:val="22"/>
          <w:szCs w:val="22"/>
        </w:rPr>
        <w:t xml:space="preserve">Similar works semantics: The phrase 'similar works' is inherently domain-specific. The system uses the tender's own technical specification as the reference document for similarity, embedding both the tender scope description and the bidder's project description, and computing cosine similarity. A threshold of 0.72 cosine similarity is treated as 'similar'; values between 0.55 and 0.72 trigger NEEDS_MANUAL_REVIEW.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EXAMPLE</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Bidder states: 'Executed construction of 3 residential complexes for central govt. agencies, aggregate value INR 18.5 crore, FY 2019 to 2024.' Tender requires: '3 similar projects in last 5 years.' System extracts: count=3, similarity_score=0.81 (residential construction matches construction services tender), date_range=2019-2024 (within 5-year window of tender date 2024). Rule engine: ELIGIBLE on this criterion. Evidence: [document: Project_Completion_Certificates.pdf, pages 2-4].</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07</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Hybrid Eligibility Verification Engine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7.1  Why AI Must Not Directly Emit Eligibility Verdicts</w:t>
      </w:r>
    </w:p>
    <w:p>
      <w:pPr>
        <w:spacing w:after="100" w:before="80"/>
      </w:pPr>
      <w:r>
        <w:rPr>
          <w:rFonts w:ascii="Arial" w:cs="Arial" w:eastAsia="Arial" w:hAnsi="Arial"/>
          <w:b w:val="false"/>
          <w:bCs w:val="false"/>
          <w:i w:val="false"/>
          <w:iCs w:val="false"/>
          <w:color w:val="000000"/>
          <w:sz w:val="22"/>
          <w:szCs w:val="22"/>
        </w:rPr>
        <w:t xml:space="preserve">The verification engine deliberately prevents the LLM from making the final eligibility decision. This is not a philosophical stance — it is an engineering requirement arising from the legal context:</w:t>
      </w:r>
    </w:p>
    <w:p>
      <w:pPr>
        <w:pStyle w:val="ListParagraph"/>
        <w:numPr>
          <w:ilvl w:val="0"/>
          <w:numId w:val="2"/>
        </w:numPr>
        <w:spacing w:after="60" w:before="60"/>
      </w:pPr>
      <w:r>
        <w:rPr>
          <w:rFonts w:ascii="Arial" w:cs="Arial" w:eastAsia="Arial" w:hAnsi="Arial"/>
          <w:b w:val="false"/>
          <w:bCs w:val="false"/>
          <w:color w:val="000000"/>
          <w:sz w:val="22"/>
          <w:szCs w:val="22"/>
        </w:rPr>
        <w:t xml:space="preserve">Reproducibility: Two runs of the same LLM on the same data must produce the same verdict. LLMs are stochastic; rule engines are deterministic.</w:t>
      </w:r>
    </w:p>
    <w:p>
      <w:pPr>
        <w:pStyle w:val="ListParagraph"/>
        <w:numPr>
          <w:ilvl w:val="0"/>
          <w:numId w:val="2"/>
        </w:numPr>
        <w:spacing w:after="60" w:before="60"/>
      </w:pPr>
      <w:r>
        <w:rPr>
          <w:rFonts w:ascii="Arial" w:cs="Arial" w:eastAsia="Arial" w:hAnsi="Arial"/>
          <w:b w:val="false"/>
          <w:bCs w:val="false"/>
          <w:color w:val="000000"/>
          <w:sz w:val="22"/>
          <w:szCs w:val="22"/>
        </w:rPr>
        <w:t xml:space="preserve">Auditability: A procurement officer must be able to explain exactly why a bidder was disqualified. 'The AI said so' is not a legally defensible answer.</w:t>
      </w:r>
    </w:p>
    <w:p>
      <w:pPr>
        <w:pStyle w:val="ListParagraph"/>
        <w:numPr>
          <w:ilvl w:val="0"/>
          <w:numId w:val="2"/>
        </w:numPr>
        <w:spacing w:after="60" w:before="60"/>
      </w:pPr>
      <w:r>
        <w:rPr>
          <w:rFonts w:ascii="Arial" w:cs="Arial" w:eastAsia="Arial" w:hAnsi="Arial"/>
          <w:b w:val="false"/>
          <w:bCs w:val="false"/>
          <w:color w:val="000000"/>
          <w:sz w:val="22"/>
          <w:szCs w:val="22"/>
        </w:rPr>
        <w:t xml:space="preserve">Hallucination containment: The LLM may confuse values from different documents in the same submission. The rule engine only receives the output of the extraction stage, which has already been validated against source text.</w:t>
      </w:r>
    </w:p>
    <w:p>
      <w:pPr>
        <w:spacing w:after="100" w:before="80"/>
      </w:pPr>
      <w:r>
        <w:rPr>
          <w:rFonts w:ascii="Arial" w:cs="Arial" w:eastAsia="Arial" w:hAnsi="Arial"/>
          <w:b w:val="false"/>
          <w:bCs w:val="false"/>
          <w:i w:val="false"/>
          <w:iCs w:val="false"/>
          <w:color w:val="000000"/>
          <w:sz w:val="22"/>
          <w:szCs w:val="22"/>
        </w:rPr>
        <w:t xml:space="preserve">The architecture enforces this separation via an explicit interface contract: the AI extraction layer writes to the BidderEvidence table; the rule engine reads from BidderEvidence only; the two layers share no direct function calls.</w:t>
      </w:r>
    </w:p>
    <w:p>
      <w:pPr>
        <w:spacing w:after="0" w:before="0"/>
      </w:pPr>
      <w:r>
        <w:t xml:space="preserve"/>
      </w:r>
    </w:p>
    <w:p>
      <w:pPr>
        <w:pStyle w:val="Heading2"/>
        <w:spacing w:after="120" w:before="280"/>
      </w:pPr>
      <w:r>
        <w:rPr>
          <w:rFonts w:ascii="Arial" w:cs="Arial" w:eastAsia="Arial" w:hAnsi="Arial"/>
          <w:b/>
          <w:bCs/>
          <w:color w:val="2E5FA3"/>
          <w:sz w:val="26"/>
          <w:szCs w:val="26"/>
        </w:rPr>
        <w:t xml:space="preserve">7.2  Rule Engine Design</w:t>
      </w:r>
    </w:p>
    <w:p>
      <w:pPr>
        <w:spacing w:after="100" w:before="80"/>
      </w:pPr>
      <w:r>
        <w:rPr>
          <w:rFonts w:ascii="Arial" w:cs="Arial" w:eastAsia="Arial" w:hAnsi="Arial"/>
          <w:b w:val="false"/>
          <w:bCs w:val="false"/>
          <w:i w:val="false"/>
          <w:iCs w:val="false"/>
          <w:color w:val="000000"/>
          <w:sz w:val="22"/>
          <w:szCs w:val="22"/>
        </w:rPr>
        <w:t xml:space="preserve">Each eligibility criterion type has a corresponding rule function in the rule library. Rules are deterministic Python functions annotated with their criterion category: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C1" w:sz="2"/>
              <w:left w:val="single" w:color="1A7FC1" w:sz="6"/>
              <w:bottom w:val="single" w:color="1A7FC1" w:sz="2"/>
              <w:right w:val="single" w:color="1A7FC1" w:sz="2"/>
            </w:tcBorders>
            <w:shd w:fill="F0F6FF" w:val="clear"/>
            <w:tcMar>
              <w:top w:type="dxa" w:w="120"/>
              <w:left w:type="dxa" w:w="160"/>
              <w:bottom w:type="dxa" w:w="120"/>
              <w:right w:type="dxa" w:w="160"/>
            </w:tcMar>
          </w:tcPr>
          <w:p>
            <w:pPr>
              <w:spacing w:after="100" w:before="80"/>
            </w:pPr>
            <w:r>
              <w:rPr>
                <w:rFonts w:ascii="Arial" w:cs="Arial" w:eastAsia="Arial" w:hAnsi="Arial"/>
                <w:b/>
                <w:bCs/>
                <w:i w:val="false"/>
                <w:iCs w:val="false"/>
                <w:color w:val="1B2A4A"/>
                <w:sz w:val="22"/>
                <w:szCs w:val="22"/>
              </w:rPr>
              <w:t xml:space="preserve">EXAMPLE: Rule Engine Function — Financial Turnover Check</w:t>
            </w:r>
          </w:p>
          <w:p>
            <w:pPr>
              <w:spacing w:after="10" w:before="60"/>
            </w:pPr>
            <w:r>
              <w:rPr>
                <w:rFonts w:ascii="Courier New" w:cs="Courier New" w:eastAsia="Courier New" w:hAnsi="Courier New"/>
                <w:color w:val="222222"/>
                <w:sz w:val="17"/>
                <w:szCs w:val="17"/>
              </w:rPr>
              <w:t xml:space="preserve">def check_financial_turnover(criterion: Criterion, evidence: BidderEvidence) -&gt; CriterionVerdict:</w:t>
            </w:r>
          </w:p>
          <w:p>
            <w:pPr>
              <w:spacing w:after="0" w:before="0"/>
            </w:pPr>
            <w:r>
              <w:rPr>
                <w:rFonts w:ascii="Courier New" w:cs="Courier New" w:eastAsia="Courier New" w:hAnsi="Courier New"/>
                <w:color w:val="222222"/>
                <w:sz w:val="17"/>
                <w:szCs w:val="17"/>
              </w:rPr>
              <w:t xml:space="preserve">    if evidence.extraction_confidence &lt; CONF_THRESHOLD_MIN:  # 0.60</w:t>
            </w:r>
          </w:p>
          <w:p>
            <w:pPr>
              <w:spacing w:after="0" w:before="0"/>
            </w:pPr>
            <w:r>
              <w:rPr>
                <w:rFonts w:ascii="Courier New" w:cs="Courier New" w:eastAsia="Courier New" w:hAnsi="Courier New"/>
                <w:color w:val="222222"/>
                <w:sz w:val="17"/>
                <w:szCs w:val="17"/>
              </w:rPr>
              <w:t xml:space="preserve">        return Verdict.NEEDS_REVIEW, "OCR/extraction confidence too low to verify"</w:t>
            </w:r>
          </w:p>
          <w:p>
            <w:pPr>
              <w:spacing w:after="0" w:before="0"/>
            </w:pPr>
            <w:r>
              <w:rPr>
                <w:rFonts w:ascii="Courier New" w:cs="Courier New" w:eastAsia="Courier New" w:hAnsi="Courier New"/>
                <w:color w:val="222222"/>
                <w:sz w:val="17"/>
                <w:szCs w:val="17"/>
              </w:rPr>
              <w:t xml:space="preserve">    if evidence.extracted_value is None:</w:t>
            </w:r>
          </w:p>
          <w:p>
            <w:pPr>
              <w:spacing w:after="0" w:before="0"/>
            </w:pPr>
            <w:r>
              <w:rPr>
                <w:rFonts w:ascii="Courier New" w:cs="Courier New" w:eastAsia="Courier New" w:hAnsi="Courier New"/>
                <w:color w:val="222222"/>
                <w:sz w:val="17"/>
                <w:szCs w:val="17"/>
              </w:rPr>
              <w:t xml:space="preserve">        return Verdict.NEEDS_REVIEW, "Turnover figure not found in submitted documents"</w:t>
            </w:r>
          </w:p>
          <w:p>
            <w:pPr>
              <w:spacing w:after="0" w:before="0"/>
            </w:pPr>
            <w:r>
              <w:rPr>
                <w:rFonts w:ascii="Courier New" w:cs="Courier New" w:eastAsia="Courier New" w:hAnsi="Courier New"/>
                <w:color w:val="222222"/>
                <w:sz w:val="17"/>
                <w:szCs w:val="17"/>
              </w:rPr>
              <w:t xml:space="preserve">    value_inr = normalise_to_inr(evidence.extracted_value, evidence.unit)</w:t>
            </w:r>
          </w:p>
          <w:p>
            <w:pPr>
              <w:spacing w:after="0" w:before="0"/>
            </w:pPr>
            <w:r>
              <w:rPr>
                <w:rFonts w:ascii="Courier New" w:cs="Courier New" w:eastAsia="Courier New" w:hAnsi="Courier New"/>
                <w:color w:val="222222"/>
                <w:sz w:val="17"/>
                <w:szCs w:val="17"/>
              </w:rPr>
              <w:t xml:space="preserve">    threshold_inr = criterion.threshold.value  # 50000000</w:t>
            </w:r>
          </w:p>
          <w:p>
            <w:pPr>
              <w:spacing w:after="0" w:before="0"/>
            </w:pPr>
            <w:r>
              <w:rPr>
                <w:rFonts w:ascii="Courier New" w:cs="Courier New" w:eastAsia="Courier New" w:hAnsi="Courier New"/>
                <w:color w:val="222222"/>
                <w:sz w:val="17"/>
                <w:szCs w:val="17"/>
              </w:rPr>
              <w:t xml:space="preserve">    if value_inr &gt;= threshold_inr:</w:t>
            </w:r>
          </w:p>
          <w:p>
            <w:pPr>
              <w:spacing w:after="0" w:before="0"/>
            </w:pPr>
            <w:r>
              <w:rPr>
                <w:rFonts w:ascii="Courier New" w:cs="Courier New" w:eastAsia="Courier New" w:hAnsi="Courier New"/>
                <w:color w:val="222222"/>
                <w:sz w:val="17"/>
                <w:szCs w:val="17"/>
              </w:rPr>
              <w:t xml:space="preserve">        return Verdict.ELIGIBLE, f"Turnover INR {value_inr:,.0f} &gt;= threshold INR {threshold_inr:,.0f}"</w:t>
            </w:r>
          </w:p>
          <w:p>
            <w:pPr>
              <w:spacing w:after="0" w:before="0"/>
            </w:pPr>
            <w:r>
              <w:rPr>
                <w:rFonts w:ascii="Courier New" w:cs="Courier New" w:eastAsia="Courier New" w:hAnsi="Courier New"/>
                <w:color w:val="222222"/>
                <w:sz w:val="17"/>
                <w:szCs w:val="17"/>
              </w:rPr>
              <w:t xml:space="preserve">    elif value_inr &gt;= threshold_inr * 0.90 and evidence.extraction_confidence &lt; 0.80:</w:t>
            </w:r>
          </w:p>
          <w:p>
            <w:pPr>
              <w:spacing w:after="0" w:before="0"/>
            </w:pPr>
            <w:r>
              <w:rPr>
                <w:rFonts w:ascii="Courier New" w:cs="Courier New" w:eastAsia="Courier New" w:hAnsi="Courier New"/>
                <w:color w:val="222222"/>
                <w:sz w:val="17"/>
                <w:szCs w:val="17"/>
              </w:rPr>
              <w:t xml:space="preserve">        return Verdict.NEEDS_REVIEW, "Value near threshold and extraction confidence borderline"</w:t>
            </w:r>
          </w:p>
          <w:p>
            <w:pPr>
              <w:spacing w:after="20" w:before="0"/>
            </w:pPr>
            <w:r>
              <w:rPr>
                <w:rFonts w:ascii="Courier New" w:cs="Courier New" w:eastAsia="Courier New" w:hAnsi="Courier New"/>
                <w:color w:val="222222"/>
                <w:sz w:val="17"/>
                <w:szCs w:val="17"/>
              </w:rPr>
              <w:t xml:space="preserve">    return Verdict.NOT_ELIGIBLE, f"Turnover INR {value_inr:,.0f} &lt; required INR {threshold_inr:,.0f}"</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7.3  Confidence Gate and Manual Review Triggers</w:t>
      </w:r>
    </w:p>
    <w:p>
      <w:pPr>
        <w:spacing w:after="100" w:before="80"/>
      </w:pPr>
      <w:r>
        <w:rPr>
          <w:rFonts w:ascii="Arial" w:cs="Arial" w:eastAsia="Arial" w:hAnsi="Arial"/>
          <w:b w:val="false"/>
          <w:bCs w:val="false"/>
          <w:i w:val="false"/>
          <w:iCs w:val="false"/>
          <w:color w:val="000000"/>
          <w:sz w:val="22"/>
          <w:szCs w:val="22"/>
        </w:rPr>
        <w:t xml:space="preserve">The confidence gate is the mechanism that ensures no bidder is silently disqualified due to an uncertain extraction. The gate fires under any of the following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Condition</w:t>
            </w:r>
          </w:p>
        </w:tc>
        <w:tc>
          <w:tcPr>
            <w:tcW w:type="dxa" w:w="3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Trigger Reason</w:t>
            </w:r>
          </w:p>
        </w:tc>
        <w:tc>
          <w:tcPr>
            <w:tcW w:type="dxa" w:w="37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Human Review Task Description</w:t>
            </w:r>
          </w:p>
        </w:tc>
      </w:tr>
      <w:tr>
        <w:tc>
          <w:tcPr>
            <w:tcW w:type="dxa" w:w="2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extraction_confidence &lt; 0.60</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OCR quality too low to trust extracted value</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Officer to manually read source document and enter value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extracted_value is None</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Value not found in any submitted document</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Officer to confirm document was not submitted or locate it manually</w:t>
            </w:r>
          </w:p>
        </w:tc>
      </w:tr>
      <w:tr>
        <w:tc>
          <w:tcPr>
            <w:tcW w:type="dxa" w:w="2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value within 10% of threshold AND conf &lt; 0.80</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Marginal case; extraction noise could flip verdict</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Officer to verify figure directly from source document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Similar works cosine similarity 0.55–0.72</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Semantic similarity borderline</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Officer to confirm whether bidder's project scope matches tender domain</w:t>
            </w:r>
          </w:p>
        </w:tc>
      </w:tr>
      <w:tr>
        <w:tc>
          <w:tcPr>
            <w:tcW w:type="dxa" w:w="2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Document expiry date within 30 days of tender date</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Certificate may have been expired at time of submission</w:t>
            </w:r>
          </w:p>
        </w:tc>
        <w:tc>
          <w:tcPr>
            <w:tcW w:type="dxa" w:w="3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Officer to verify validity date against submission date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Conflicting values across two documents</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Two submitted documents show different figures for same criterion</w:t>
            </w:r>
          </w:p>
        </w:tc>
        <w:tc>
          <w:tcPr>
            <w:tcW w:type="dxa" w:w="3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Officer to identify authoritative document and reconcile</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7.4  Overall Eligibility Aggregation</w:t>
      </w:r>
    </w:p>
    <w:p>
      <w:pPr>
        <w:spacing w:after="100" w:before="80"/>
      </w:pPr>
      <w:r>
        <w:rPr>
          <w:rFonts w:ascii="Arial" w:cs="Arial" w:eastAsia="Arial" w:hAnsi="Arial"/>
          <w:b w:val="false"/>
          <w:bCs w:val="false"/>
          <w:i w:val="false"/>
          <w:iCs w:val="false"/>
          <w:color w:val="000000"/>
          <w:sz w:val="22"/>
          <w:szCs w:val="22"/>
        </w:rPr>
        <w:t xml:space="preserve">After all criterion-level verdicts are emitted, the overall bidder eligibility is determined by the following deterministic aggregation rules:</w:t>
      </w:r>
    </w:p>
    <w:p>
      <w:pPr>
        <w:pStyle w:val="ListParagraph"/>
        <w:numPr>
          <w:ilvl w:val="0"/>
          <w:numId w:val="2"/>
        </w:numPr>
        <w:spacing w:after="60" w:before="60"/>
      </w:pPr>
      <w:r>
        <w:rPr>
          <w:rFonts w:ascii="Arial" w:cs="Arial" w:eastAsia="Arial" w:hAnsi="Arial"/>
          <w:b w:val="false"/>
          <w:bCs w:val="false"/>
          <w:color w:val="000000"/>
          <w:sz w:val="22"/>
          <w:szCs w:val="22"/>
        </w:rPr>
        <w:t xml:space="preserve">ELIGIBLE: All mandatory criteria verdict = ELIGIBLE. No mandatory criterion verdict = NEEDS_MANUAL_REVIEW. Optional criteria results do not affect overall eligibility.</w:t>
      </w:r>
    </w:p>
    <w:p>
      <w:pPr>
        <w:pStyle w:val="ListParagraph"/>
        <w:numPr>
          <w:ilvl w:val="0"/>
          <w:numId w:val="2"/>
        </w:numPr>
        <w:spacing w:after="60" w:before="60"/>
      </w:pPr>
      <w:r>
        <w:rPr>
          <w:rFonts w:ascii="Arial" w:cs="Arial" w:eastAsia="Arial" w:hAnsi="Arial"/>
          <w:b w:val="false"/>
          <w:bCs w:val="false"/>
          <w:color w:val="000000"/>
          <w:sz w:val="22"/>
          <w:szCs w:val="22"/>
        </w:rPr>
        <w:t xml:space="preserve">NOT_ELIGIBLE: At least one mandatory criterion verdict = NOT_ELIGIBLE, AND extraction confidence for that criterion &gt;= 0.75. (High-confidence disqualification.)</w:t>
      </w:r>
    </w:p>
    <w:p>
      <w:pPr>
        <w:pStyle w:val="ListParagraph"/>
        <w:numPr>
          <w:ilvl w:val="0"/>
          <w:numId w:val="2"/>
        </w:numPr>
        <w:spacing w:after="60" w:before="60"/>
      </w:pPr>
      <w:r>
        <w:rPr>
          <w:rFonts w:ascii="Arial" w:cs="Arial" w:eastAsia="Arial" w:hAnsi="Arial"/>
          <w:b w:val="false"/>
          <w:bCs w:val="false"/>
          <w:color w:val="000000"/>
          <w:sz w:val="22"/>
          <w:szCs w:val="22"/>
        </w:rPr>
        <w:t xml:space="preserve">NEEDS_MANUAL_REVIEW: Any mandatory criterion verdict = NEEDS_MANUAL_REVIEW. OR any mandatory criterion verdict = NOT_ELIGIBLE with extraction confidence &lt; 0.75. (Uncertain disqualification — human must confirm before bid is formally rejected.)</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08</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Explainability and Auditability</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8.1  Criterion-Level Explainability Record</w:t>
      </w:r>
    </w:p>
    <w:p>
      <w:pPr>
        <w:spacing w:after="100" w:before="80"/>
      </w:pPr>
      <w:r>
        <w:rPr>
          <w:rFonts w:ascii="Arial" w:cs="Arial" w:eastAsia="Arial" w:hAnsi="Arial"/>
          <w:b w:val="false"/>
          <w:bCs w:val="false"/>
          <w:i w:val="false"/>
          <w:iCs w:val="false"/>
          <w:color w:val="000000"/>
          <w:sz w:val="22"/>
          <w:szCs w:val="22"/>
        </w:rPr>
        <w:t xml:space="preserve">Every CriterionVerdict in the system carries a mandatory ExplainabilityRecord. This record is the atomic unit of accountability in TenderGraph AI+. It is stored in PostgreSQL, included in all report exports, and forms the basis of human review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C1" w:sz="2"/>
              <w:left w:val="single" w:color="1A7FC1" w:sz="6"/>
              <w:bottom w:val="single" w:color="1A7FC1" w:sz="2"/>
              <w:right w:val="single" w:color="1A7FC1" w:sz="2"/>
            </w:tcBorders>
            <w:shd w:fill="F0F6FF" w:val="clear"/>
            <w:tcMar>
              <w:top w:type="dxa" w:w="120"/>
              <w:left w:type="dxa" w:w="160"/>
              <w:bottom w:type="dxa" w:w="120"/>
              <w:right w:type="dxa" w:w="160"/>
            </w:tcMar>
          </w:tcPr>
          <w:p>
            <w:pPr>
              <w:spacing w:after="100" w:before="80"/>
            </w:pPr>
            <w:r>
              <w:rPr>
                <w:rFonts w:ascii="Arial" w:cs="Arial" w:eastAsia="Arial" w:hAnsi="Arial"/>
                <w:b/>
                <w:bCs/>
                <w:i w:val="false"/>
                <w:iCs w:val="false"/>
                <w:color w:val="1B2A4A"/>
                <w:sz w:val="22"/>
                <w:szCs w:val="22"/>
              </w:rPr>
              <w:t xml:space="preserve">EXAMPLE: ExplainabilityRecord — Bidder A, Criterion C04 (Financial Turnover)</w:t>
            </w:r>
          </w:p>
          <w:p>
            <w:pPr>
              <w:spacing w:after="0" w:before="40"/>
            </w:pPr>
            <w:r>
              <w:rPr>
                <w:rFonts w:ascii="Courier New" w:cs="Courier New" w:eastAsia="Courier New" w:hAnsi="Courier New"/>
                <w:color w:val="222222"/>
                <w:sz w:val="18"/>
                <w:szCs w:val="18"/>
              </w:rPr>
              <w:t xml:space="preserve">  Criterion ID      : CRPF-2024-CONST-C04</w:t>
            </w:r>
          </w:p>
          <w:p>
            <w:pPr>
              <w:spacing w:after="0" w:before="0"/>
            </w:pPr>
            <w:r>
              <w:rPr>
                <w:rFonts w:ascii="Courier New" w:cs="Courier New" w:eastAsia="Courier New" w:hAnsi="Courier New"/>
                <w:color w:val="222222"/>
                <w:sz w:val="18"/>
                <w:szCs w:val="18"/>
              </w:rPr>
              <w:t xml:space="preserve">  Criterion Text    : Average annual turnover from similar works ≥ INR 5 crore (FY 21-24)</w:t>
            </w:r>
          </w:p>
          <w:p>
            <w:pPr>
              <w:spacing w:after="0" w:before="0"/>
            </w:pPr>
            <w:r>
              <w:rPr>
                <w:rFonts w:ascii="Courier New" w:cs="Courier New" w:eastAsia="Courier New" w:hAnsi="Courier New"/>
                <w:color w:val="222222"/>
                <w:sz w:val="18"/>
                <w:szCs w:val="18"/>
              </w:rPr>
              <w:t xml:space="preserve">  Tender Clause     : Section 4.2, Page 12</w:t>
            </w:r>
          </w:p>
          <w:p>
            <w:pPr>
              <w:spacing w:after="0" w:before="0"/>
            </w:pPr>
            <w:r>
              <w:rPr>
                <w:rFonts w:ascii="Courier New" w:cs="Courier New" w:eastAsia="Courier New" w:hAnsi="Courier New"/>
                <w:color w:val="222222"/>
                <w:sz w:val="18"/>
                <w:szCs w:val="18"/>
              </w:rPr>
              <w:t xml:space="preserve">  Bidder ID         : BIDDER-007</w:t>
            </w:r>
          </w:p>
          <w:p>
            <w:pPr>
              <w:spacing w:after="0" w:before="0"/>
            </w:pPr>
            <w:r>
              <w:rPr>
                <w:rFonts w:ascii="Courier New" w:cs="Courier New" w:eastAsia="Courier New" w:hAnsi="Courier New"/>
                <w:color w:val="222222"/>
                <w:sz w:val="18"/>
                <w:szCs w:val="18"/>
              </w:rPr>
              <w:t xml:space="preserve">  Source Document   : CA_Turnover_Certificate_XYZ.pdf</w:t>
            </w:r>
          </w:p>
          <w:p>
            <w:pPr>
              <w:spacing w:after="0" w:before="0"/>
            </w:pPr>
            <w:r>
              <w:rPr>
                <w:rFonts w:ascii="Courier New" w:cs="Courier New" w:eastAsia="Courier New" w:hAnsi="Courier New"/>
                <w:color w:val="222222"/>
                <w:sz w:val="18"/>
                <w:szCs w:val="18"/>
              </w:rPr>
              <w:t xml:space="preserve">  Source Page       : Page 1</w:t>
            </w:r>
          </w:p>
          <w:p>
            <w:pPr>
              <w:spacing w:after="0" w:before="0"/>
            </w:pPr>
            <w:r>
              <w:rPr>
                <w:rFonts w:ascii="Courier New" w:cs="Courier New" w:eastAsia="Courier New" w:hAnsi="Courier New"/>
                <w:color w:val="222222"/>
                <w:sz w:val="18"/>
                <w:szCs w:val="18"/>
              </w:rPr>
              <w:t xml:space="preserve">  Extracted Text    : "average annual turnover of INR 6.82 crores from similar works"</w:t>
            </w:r>
          </w:p>
          <w:p>
            <w:pPr>
              <w:spacing w:after="0" w:before="0"/>
            </w:pPr>
            <w:r>
              <w:rPr>
                <w:rFonts w:ascii="Courier New" w:cs="Courier New" w:eastAsia="Courier New" w:hAnsi="Courier New"/>
                <w:color w:val="222222"/>
                <w:sz w:val="18"/>
                <w:szCs w:val="18"/>
              </w:rPr>
              <w:t xml:space="preserve">  Normalised Value  : INR 68,200,000</w:t>
            </w:r>
          </w:p>
          <w:p>
            <w:pPr>
              <w:spacing w:after="0" w:before="0"/>
            </w:pPr>
            <w:r>
              <w:rPr>
                <w:rFonts w:ascii="Courier New" w:cs="Courier New" w:eastAsia="Courier New" w:hAnsi="Courier New"/>
                <w:color w:val="222222"/>
                <w:sz w:val="18"/>
                <w:szCs w:val="18"/>
              </w:rPr>
              <w:t xml:space="preserve">  Threshold         : INR 50,000,000 (minimum)</w:t>
            </w:r>
          </w:p>
          <w:p>
            <w:pPr>
              <w:spacing w:after="0" w:before="0"/>
            </w:pPr>
            <w:r>
              <w:rPr>
                <w:rFonts w:ascii="Courier New" w:cs="Courier New" w:eastAsia="Courier New" w:hAnsi="Courier New"/>
                <w:color w:val="222222"/>
                <w:sz w:val="18"/>
                <w:szCs w:val="18"/>
              </w:rPr>
              <w:t xml:space="preserve">  Rule Applied      : check_financial_turnover()</w:t>
            </w:r>
          </w:p>
          <w:p>
            <w:pPr>
              <w:spacing w:after="0" w:before="0"/>
            </w:pPr>
            <w:r>
              <w:rPr>
                <w:rFonts w:ascii="Courier New" w:cs="Courier New" w:eastAsia="Courier New" w:hAnsi="Courier New"/>
                <w:b/>
                <w:bCs/>
                <w:color w:val="217645"/>
                <w:sz w:val="18"/>
                <w:szCs w:val="18"/>
              </w:rPr>
              <w:t xml:space="preserve">  Verdict           : ELIGIBLE</w:t>
            </w:r>
          </w:p>
          <w:p>
            <w:pPr>
              <w:spacing w:after="0" w:before="0"/>
            </w:pPr>
            <w:r>
              <w:rPr>
                <w:rFonts w:ascii="Courier New" w:cs="Courier New" w:eastAsia="Courier New" w:hAnsi="Courier New"/>
                <w:color w:val="222222"/>
                <w:sz w:val="18"/>
                <w:szCs w:val="18"/>
              </w:rPr>
              <w:t xml:space="preserve">  Reason            : Extracted turnover INR 68,200,000 meets minimum threshold INR 50,000,000</w:t>
            </w:r>
          </w:p>
          <w:p>
            <w:pPr>
              <w:spacing w:after="0" w:before="0"/>
            </w:pPr>
            <w:r>
              <w:rPr>
                <w:rFonts w:ascii="Courier New" w:cs="Courier New" w:eastAsia="Courier New" w:hAnsi="Courier New"/>
                <w:color w:val="222222"/>
                <w:sz w:val="18"/>
                <w:szCs w:val="18"/>
              </w:rPr>
              <w:t xml:space="preserve">  OCR Confidence    : 0.94</w:t>
            </w:r>
          </w:p>
          <w:p>
            <w:pPr>
              <w:spacing w:after="20" w:before="0"/>
            </w:pPr>
            <w:r>
              <w:rPr>
                <w:rFonts w:ascii="Courier New" w:cs="Courier New" w:eastAsia="Courier New" w:hAnsi="Courier New"/>
                <w:color w:val="222222"/>
                <w:sz w:val="18"/>
                <w:szCs w:val="18"/>
              </w:rPr>
              <w:t xml:space="preserve">  Extraction Conf.  : 0.91  |  Decided By: RULE_ENGINE  |  Timestamp: 2024-11-15T09:23:11Z</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8.2  Immutable Audit Trail Architecture</w:t>
      </w:r>
    </w:p>
    <w:p>
      <w:pPr>
        <w:spacing w:after="100" w:before="80"/>
      </w:pPr>
      <w:r>
        <w:rPr>
          <w:rFonts w:ascii="Arial" w:cs="Arial" w:eastAsia="Arial" w:hAnsi="Arial"/>
          <w:b w:val="false"/>
          <w:bCs w:val="false"/>
          <w:i w:val="false"/>
          <w:iCs w:val="false"/>
          <w:color w:val="000000"/>
          <w:sz w:val="22"/>
          <w:szCs w:val="22"/>
        </w:rPr>
        <w:t xml:space="preserve">The audit trail is designed to be tamper-evident. Every state-changing event in the system is written to the audit_events table using an append-only write path (no UPDATE or DELETE is permitted on this table). Each record includes:</w:t>
      </w:r>
    </w:p>
    <w:p>
      <w:pPr>
        <w:pStyle w:val="ListParagraph"/>
        <w:numPr>
          <w:ilvl w:val="0"/>
          <w:numId w:val="2"/>
        </w:numPr>
        <w:spacing w:after="60" w:before="60"/>
      </w:pPr>
      <w:r>
        <w:rPr>
          <w:rFonts w:ascii="Arial" w:cs="Arial" w:eastAsia="Arial" w:hAnsi="Arial"/>
          <w:b w:val="false"/>
          <w:bCs w:val="false"/>
          <w:color w:val="000000"/>
          <w:sz w:val="22"/>
          <w:szCs w:val="22"/>
        </w:rPr>
        <w:t xml:space="preserve">event_id: UUID v4, system-generated</w:t>
      </w:r>
    </w:p>
    <w:p>
      <w:pPr>
        <w:pStyle w:val="ListParagraph"/>
        <w:numPr>
          <w:ilvl w:val="0"/>
          <w:numId w:val="2"/>
        </w:numPr>
        <w:spacing w:after="60" w:before="60"/>
      </w:pPr>
      <w:r>
        <w:rPr>
          <w:rFonts w:ascii="Arial" w:cs="Arial" w:eastAsia="Arial" w:hAnsi="Arial"/>
          <w:b w:val="false"/>
          <w:bCs w:val="false"/>
          <w:color w:val="000000"/>
          <w:sz w:val="22"/>
          <w:szCs w:val="22"/>
        </w:rPr>
        <w:t xml:space="preserve">event_type: One of CRITERION_EXTRACTED, EVIDENCE_EXTRACTED, VERDICT_EMITTED, HUMAN_REVIEW_ASSIGNED, HUMAN_OVERRIDE_APPLIED, REPORT_EXPORTED, USER_LOGIN, CRITERION_SCHEMA_APPROVED</w:t>
      </w:r>
    </w:p>
    <w:p>
      <w:pPr>
        <w:pStyle w:val="ListParagraph"/>
        <w:numPr>
          <w:ilvl w:val="0"/>
          <w:numId w:val="2"/>
        </w:numPr>
        <w:spacing w:after="60" w:before="60"/>
      </w:pPr>
      <w:r>
        <w:rPr>
          <w:rFonts w:ascii="Arial" w:cs="Arial" w:eastAsia="Arial" w:hAnsi="Arial"/>
          <w:b w:val="false"/>
          <w:bCs w:val="false"/>
          <w:color w:val="000000"/>
          <w:sz w:val="22"/>
          <w:szCs w:val="22"/>
        </w:rPr>
        <w:t xml:space="preserve">actor_id: System service ID or human officer ID (from Keycloak JWT)</w:t>
      </w:r>
    </w:p>
    <w:p>
      <w:pPr>
        <w:pStyle w:val="ListParagraph"/>
        <w:numPr>
          <w:ilvl w:val="0"/>
          <w:numId w:val="2"/>
        </w:numPr>
        <w:spacing w:after="60" w:before="60"/>
      </w:pPr>
      <w:r>
        <w:rPr>
          <w:rFonts w:ascii="Arial" w:cs="Arial" w:eastAsia="Arial" w:hAnsi="Arial"/>
          <w:b w:val="false"/>
          <w:bCs w:val="false"/>
          <w:color w:val="000000"/>
          <w:sz w:val="22"/>
          <w:szCs w:val="22"/>
        </w:rPr>
        <w:t xml:space="preserve">payload: Full JSON payload of the event (criterion schema, evidence record, verdict record, override reason)</w:t>
      </w:r>
    </w:p>
    <w:p>
      <w:pPr>
        <w:pStyle w:val="ListParagraph"/>
        <w:numPr>
          <w:ilvl w:val="0"/>
          <w:numId w:val="2"/>
        </w:numPr>
        <w:spacing w:after="60" w:before="60"/>
      </w:pPr>
      <w:r>
        <w:rPr>
          <w:rFonts w:ascii="Arial" w:cs="Arial" w:eastAsia="Arial" w:hAnsi="Arial"/>
          <w:b w:val="false"/>
          <w:bCs w:val="false"/>
          <w:color w:val="000000"/>
          <w:sz w:val="22"/>
          <w:szCs w:val="22"/>
        </w:rPr>
        <w:t xml:space="preserve">prev_hash: SHA-256 hash of the previous audit event record — chains records so that deletion or modification of any record breaks the chain</w:t>
      </w:r>
    </w:p>
    <w:p>
      <w:pPr>
        <w:pStyle w:val="ListParagraph"/>
        <w:numPr>
          <w:ilvl w:val="0"/>
          <w:numId w:val="2"/>
        </w:numPr>
        <w:spacing w:after="60" w:before="60"/>
      </w:pPr>
      <w:r>
        <w:rPr>
          <w:rFonts w:ascii="Arial" w:cs="Arial" w:eastAsia="Arial" w:hAnsi="Arial"/>
          <w:b w:val="false"/>
          <w:bCs w:val="false"/>
          <w:color w:val="000000"/>
          <w:sz w:val="22"/>
          <w:szCs w:val="22"/>
        </w:rPr>
        <w:t xml:space="preserve">hash: SHA-256(event_id + event_type + actor_id + payload + prev_hash) — cryptographically links each record to its predecessor</w:t>
      </w:r>
    </w:p>
    <w:p>
      <w:pPr>
        <w:pStyle w:val="ListParagraph"/>
        <w:numPr>
          <w:ilvl w:val="0"/>
          <w:numId w:val="2"/>
        </w:numPr>
        <w:spacing w:after="60" w:before="60"/>
      </w:pPr>
      <w:r>
        <w:rPr>
          <w:rFonts w:ascii="Arial" w:cs="Arial" w:eastAsia="Arial" w:hAnsi="Arial"/>
          <w:b w:val="false"/>
          <w:bCs w:val="false"/>
          <w:color w:val="000000"/>
          <w:sz w:val="22"/>
          <w:szCs w:val="22"/>
        </w:rPr>
        <w:t xml:space="preserve">timestamp: PostgreSQL server timestamp (not client-provided, not modifiable)</w:t>
      </w:r>
    </w:p>
    <w:p>
      <w:pPr>
        <w:spacing w:after="100" w:before="80"/>
      </w:pPr>
      <w:r>
        <w:rPr>
          <w:rFonts w:ascii="Arial" w:cs="Arial" w:eastAsia="Arial" w:hAnsi="Arial"/>
          <w:b w:val="false"/>
          <w:bCs w:val="false"/>
          <w:i w:val="false"/>
          <w:iCs w:val="false"/>
          <w:color w:val="000000"/>
          <w:sz w:val="22"/>
          <w:szCs w:val="22"/>
        </w:rPr>
        <w:t xml:space="preserve">This hash-chaining approach means the audit trail is cryptographically verifiable by any third party: a government auditor or court can verify that no audit record has been deleted or modified by re-computing the chain from any starting record.</w:t>
      </w:r>
    </w:p>
    <w:p>
      <w:pPr>
        <w:spacing w:after="0" w:before="0"/>
      </w:pPr>
      <w:r>
        <w:t xml:space="preserve"/>
      </w:r>
    </w:p>
    <w:p>
      <w:pPr>
        <w:pStyle w:val="Heading2"/>
        <w:spacing w:after="120" w:before="280"/>
      </w:pPr>
      <w:r>
        <w:rPr>
          <w:rFonts w:ascii="Arial" w:cs="Arial" w:eastAsia="Arial" w:hAnsi="Arial"/>
          <w:b/>
          <w:bCs/>
          <w:color w:val="2E5FA3"/>
          <w:sz w:val="26"/>
          <w:szCs w:val="26"/>
        </w:rPr>
        <w:t xml:space="preserve">8.3  Human Override Logging</w:t>
      </w:r>
    </w:p>
    <w:p>
      <w:pPr>
        <w:spacing w:after="100" w:before="80"/>
      </w:pPr>
      <w:r>
        <w:rPr>
          <w:rFonts w:ascii="Arial" w:cs="Arial" w:eastAsia="Arial" w:hAnsi="Arial"/>
          <w:b w:val="false"/>
          <w:bCs w:val="false"/>
          <w:i w:val="false"/>
          <w:iCs w:val="false"/>
          <w:color w:val="000000"/>
          <w:sz w:val="22"/>
          <w:szCs w:val="22"/>
        </w:rPr>
        <w:t xml:space="preserve">When a procurement officer overrides a system verdict (accepting a flagged bidder, rejecting one that the system marked as eligible, or modifying an extracted value), the override is logged with equal rigour:</w:t>
      </w:r>
    </w:p>
    <w:p>
      <w:pPr>
        <w:pStyle w:val="ListParagraph"/>
        <w:numPr>
          <w:ilvl w:val="0"/>
          <w:numId w:val="2"/>
        </w:numPr>
        <w:spacing w:after="60" w:before="60"/>
      </w:pPr>
      <w:r>
        <w:rPr>
          <w:rFonts w:ascii="Arial" w:cs="Arial" w:eastAsia="Arial" w:hAnsi="Arial"/>
          <w:b w:val="false"/>
          <w:bCs w:val="false"/>
          <w:color w:val="000000"/>
          <w:sz w:val="22"/>
          <w:szCs w:val="22"/>
        </w:rPr>
        <w:t xml:space="preserve">The original system verdict and its ExplainabilityRecord are preserved immutably.</w:t>
      </w:r>
    </w:p>
    <w:p>
      <w:pPr>
        <w:pStyle w:val="ListParagraph"/>
        <w:numPr>
          <w:ilvl w:val="0"/>
          <w:numId w:val="2"/>
        </w:numPr>
        <w:spacing w:after="60" w:before="60"/>
      </w:pPr>
      <w:r>
        <w:rPr>
          <w:rFonts w:ascii="Arial" w:cs="Arial" w:eastAsia="Arial" w:hAnsi="Arial"/>
          <w:b w:val="false"/>
          <w:bCs w:val="false"/>
          <w:color w:val="000000"/>
          <w:sz w:val="22"/>
          <w:szCs w:val="22"/>
        </w:rPr>
        <w:t xml:space="preserve">A new audit event of type HUMAN_OVERRIDE_APPLIED is written with: officer_id, override_reason (mandatory free-text, minimum 50 characters), new_verdict, and the officer's digital signature hash.</w:t>
      </w:r>
    </w:p>
    <w:p>
      <w:pPr>
        <w:pStyle w:val="ListParagraph"/>
        <w:numPr>
          <w:ilvl w:val="0"/>
          <w:numId w:val="2"/>
        </w:numPr>
        <w:spacing w:after="60" w:before="60"/>
      </w:pPr>
      <w:r>
        <w:rPr>
          <w:rFonts w:ascii="Arial" w:cs="Arial" w:eastAsia="Arial" w:hAnsi="Arial"/>
          <w:b w:val="false"/>
          <w:bCs w:val="false"/>
          <w:color w:val="000000"/>
          <w:sz w:val="22"/>
          <w:szCs w:val="22"/>
        </w:rPr>
        <w:t xml:space="preserve">The evaluation report notes both the system verdict and the human override, making the officer's judgment — and their stated reason — part of the permanent procurement record.</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09</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Dashboard and User Interface Design</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9.1  Design Philosophy</w:t>
      </w:r>
    </w:p>
    <w:p>
      <w:pPr>
        <w:spacing w:after="100" w:before="80"/>
      </w:pPr>
      <w:r>
        <w:rPr>
          <w:rFonts w:ascii="Arial" w:cs="Arial" w:eastAsia="Arial" w:hAnsi="Arial"/>
          <w:b w:val="false"/>
          <w:bCs w:val="false"/>
          <w:i w:val="false"/>
          <w:iCs w:val="false"/>
          <w:color w:val="000000"/>
          <w:sz w:val="22"/>
          <w:szCs w:val="22"/>
        </w:rPr>
        <w:t xml:space="preserve">The TenderGraph AI+ interface is designed for procurement officers who are expert in procurement law and processes but are not technical users. The UI must be information-dense without being overwhelming, action-oriented, and clearly hierarchical. It follows Indian Government digital service design principles: high contrast, Hindi/English bilingual labels, and accessibility compliance with WCAG 2.1 AA.</w:t>
      </w:r>
    </w:p>
    <w:p>
      <w:pPr>
        <w:spacing w:after="0" w:before="0"/>
      </w:pPr>
      <w:r>
        <w:t xml:space="preserve"/>
      </w:r>
    </w:p>
    <w:p>
      <w:pPr>
        <w:pStyle w:val="Heading2"/>
        <w:spacing w:after="120" w:before="280"/>
      </w:pPr>
      <w:r>
        <w:rPr>
          <w:rFonts w:ascii="Arial" w:cs="Arial" w:eastAsia="Arial" w:hAnsi="Arial"/>
          <w:b/>
          <w:bCs/>
          <w:color w:val="2E5FA3"/>
          <w:sz w:val="26"/>
          <w:szCs w:val="26"/>
        </w:rPr>
        <w:t xml:space="preserve">9.2  User Roles and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24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Access Level</w:t>
            </w:r>
          </w:p>
        </w:tc>
        <w:tc>
          <w:tcPr>
            <w:tcW w:type="dxa" w:w="44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Key Capabilities</w:t>
            </w:r>
          </w:p>
        </w:tc>
      </w:tr>
      <w:tr>
        <w:tc>
          <w:tcPr>
            <w:tcW w:type="dxa" w:w="25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Procurement Officer (Evaluator)</w:t>
            </w:r>
          </w:p>
        </w:tc>
        <w:tc>
          <w:tcPr>
            <w:tcW w:type="dxa" w:w="2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Tender-scoped read/write</w:t>
            </w:r>
          </w:p>
        </w:tc>
        <w:tc>
          <w:tcPr>
            <w:tcW w:type="dxa" w:w="44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Upload documents, view extracted criteria, review flagged cases, export report</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Senior Officer (Approver)</w:t>
            </w:r>
          </w:p>
        </w:tc>
        <w:tc>
          <w:tcPr>
            <w:tcW w:type="dxa" w:w="2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Tender-scoped approve/override</w:t>
            </w:r>
          </w:p>
        </w:tc>
        <w:tc>
          <w:tcPr>
            <w:tcW w:type="dxa" w:w="44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All evaluator access + approve final report, override verdicts with justification</w:t>
            </w:r>
          </w:p>
        </w:tc>
      </w:tr>
      <w:tr>
        <w:tc>
          <w:tcPr>
            <w:tcW w:type="dxa" w:w="25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System Administrator</w:t>
            </w:r>
          </w:p>
        </w:tc>
        <w:tc>
          <w:tcPr>
            <w:tcW w:type="dxa" w:w="2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Platform-wide</w:t>
            </w:r>
          </w:p>
        </w:tc>
        <w:tc>
          <w:tcPr>
            <w:tcW w:type="dxa" w:w="44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User management, rule library management, audit log viewer</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Audit Reviewer (Read-only)</w:t>
            </w:r>
          </w:p>
        </w:tc>
        <w:tc>
          <w:tcPr>
            <w:tcW w:type="dxa" w:w="2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Full read, no write</w:t>
            </w:r>
          </w:p>
        </w:tc>
        <w:tc>
          <w:tcPr>
            <w:tcW w:type="dxa" w:w="44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View all decisions, evidence, audit chain; export audit logs; cannot modify any data</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9.3  Key Dashboard Views</w:t>
      </w:r>
    </w:p>
    <w:p>
      <w:pPr>
        <w:spacing w:after="100" w:before="80"/>
      </w:pPr>
      <w:r>
        <w:rPr>
          <w:rFonts w:ascii="Arial" w:cs="Arial" w:eastAsia="Arial" w:hAnsi="Arial"/>
          <w:b w:val="false"/>
          <w:bCs w:val="false"/>
          <w:i w:val="false"/>
          <w:iCs w:val="false"/>
          <w:color w:val="000000"/>
          <w:sz w:val="22"/>
          <w:szCs w:val="22"/>
        </w:rPr>
        <w:t xml:space="preserve">The platform has five primary views, each addressing a distinct need in the procurement workflow:</w:t>
      </w:r>
    </w:p>
    <w:p>
      <w:pPr>
        <w:spacing w:after="0" w:before="0"/>
      </w:pPr>
      <w:r>
        <w:t xml:space="preserve"/>
      </w:r>
    </w:p>
    <w:p>
      <w:pPr>
        <w:spacing w:after="100" w:before="80"/>
      </w:pPr>
      <w:r>
        <w:rPr>
          <w:rFonts w:ascii="Arial" w:cs="Arial" w:eastAsia="Arial" w:hAnsi="Arial"/>
          <w:b/>
          <w:bCs/>
          <w:i w:val="false"/>
          <w:iCs w:val="false"/>
          <w:color w:val="1B2A4A"/>
          <w:sz w:val="22"/>
          <w:szCs w:val="22"/>
        </w:rPr>
        <w:t xml:space="preserve">VIEW 1 — TENDER OVERVIEW</w:t>
      </w:r>
    </w:p>
    <w:p>
      <w:pPr>
        <w:spacing w:after="100" w:before="80"/>
      </w:pPr>
      <w:r>
        <w:rPr>
          <w:rFonts w:ascii="Arial" w:cs="Arial" w:eastAsia="Arial" w:hAnsi="Arial"/>
          <w:b w:val="false"/>
          <w:bCs w:val="false"/>
          <w:i w:val="false"/>
          <w:iCs w:val="false"/>
          <w:color w:val="000000"/>
          <w:sz w:val="22"/>
          <w:szCs w:val="22"/>
        </w:rPr>
        <w:t xml:space="preserve">After a tender is uploaded and processed, this view shows: tender title, issuing authority, tender number, closing date, EMD amount, and the extracted criteria list. Each criterion is shown as a card with its category badge (Financial / Technical / Compliance), mandatory/optional status, threshold or condition, required document, and extraction confidence. Officers review and approve the extracted criteria before bidder evaluation begins, with the option to edit or add criteria that the AI may have missed.</w:t>
      </w:r>
    </w:p>
    <w:p>
      <w:pPr>
        <w:spacing w:after="0" w:before="0"/>
      </w:pPr>
      <w:r>
        <w:t xml:space="preserve"/>
      </w:r>
    </w:p>
    <w:p>
      <w:pPr>
        <w:spacing w:after="100" w:before="80"/>
      </w:pPr>
      <w:r>
        <w:rPr>
          <w:rFonts w:ascii="Arial" w:cs="Arial" w:eastAsia="Arial" w:hAnsi="Arial"/>
          <w:b/>
          <w:bCs/>
          <w:i w:val="false"/>
          <w:iCs w:val="false"/>
          <w:color w:val="1B2A4A"/>
          <w:sz w:val="22"/>
          <w:szCs w:val="22"/>
        </w:rPr>
        <w:t xml:space="preserve">VIEW 2 — BIDDER COMPARISON MATRIX</w:t>
      </w:r>
    </w:p>
    <w:p>
      <w:pPr>
        <w:spacing w:after="100" w:before="80"/>
      </w:pPr>
      <w:r>
        <w:rPr>
          <w:rFonts w:ascii="Arial" w:cs="Arial" w:eastAsia="Arial" w:hAnsi="Arial"/>
          <w:b w:val="false"/>
          <w:bCs w:val="false"/>
          <w:i w:val="false"/>
          <w:iCs w:val="false"/>
          <w:color w:val="000000"/>
          <w:sz w:val="22"/>
          <w:szCs w:val="22"/>
        </w:rPr>
        <w:t xml:space="preserve">A matrix table with bidders as rows and criteria as columns. Each cell shows the verdict for that bidder-criterion pair as a colour-coded badge: green (ELIGIBLE), red (NOT ELIGIBLE), amber (NEEDS REVIEW). Clicking any cell opens the ExplainabilityRecord panel showing the full evidence chain. The matrix is filterable by verdict type and sortable by bidder name. A summary column on the right shows each bidder's overall eligibility status.</w:t>
      </w:r>
    </w:p>
    <w:p>
      <w:pPr>
        <w:spacing w:after="0" w:before="0"/>
      </w:pPr>
      <w:r>
        <w:t xml:space="preserve"/>
      </w:r>
    </w:p>
    <w:p>
      <w:pPr>
        <w:spacing w:after="100" w:before="80"/>
      </w:pPr>
      <w:r>
        <w:rPr>
          <w:rFonts w:ascii="Arial" w:cs="Arial" w:eastAsia="Arial" w:hAnsi="Arial"/>
          <w:b/>
          <w:bCs/>
          <w:i w:val="false"/>
          <w:iCs w:val="false"/>
          <w:color w:val="1B2A4A"/>
          <w:sz w:val="22"/>
          <w:szCs w:val="22"/>
        </w:rPr>
        <w:t xml:space="preserve">VIEW 3 — INDIVIDUAL BIDDER REPORT</w:t>
      </w:r>
    </w:p>
    <w:p>
      <w:pPr>
        <w:spacing w:after="100" w:before="80"/>
      </w:pPr>
      <w:r>
        <w:rPr>
          <w:rFonts w:ascii="Arial" w:cs="Arial" w:eastAsia="Arial" w:hAnsi="Arial"/>
          <w:b w:val="false"/>
          <w:bCs w:val="false"/>
          <w:i w:val="false"/>
          <w:iCs w:val="false"/>
          <w:color w:val="000000"/>
          <w:sz w:val="22"/>
          <w:szCs w:val="22"/>
        </w:rPr>
        <w:t xml:space="preserve">A per-bidder page showing: document upload inventory (each document with type, upload timestamp, OCR confidence), criterion-by-criterion evaluation, and a timeline of system and human actions on this bidder. Officers can view the source document highlighted at the exact page and location where the extracted evidence was found (using pdfjs-dist for in-browser PDF annotation). This view is where human review tasks are completed.</w:t>
      </w:r>
    </w:p>
    <w:p>
      <w:pPr>
        <w:spacing w:after="0" w:before="0"/>
      </w:pPr>
      <w:r>
        <w:t xml:space="preserve"/>
      </w:r>
    </w:p>
    <w:p>
      <w:pPr>
        <w:spacing w:after="100" w:before="80"/>
      </w:pPr>
      <w:r>
        <w:rPr>
          <w:rFonts w:ascii="Arial" w:cs="Arial" w:eastAsia="Arial" w:hAnsi="Arial"/>
          <w:b/>
          <w:bCs/>
          <w:i w:val="false"/>
          <w:iCs w:val="false"/>
          <w:color w:val="1B2A4A"/>
          <w:sz w:val="22"/>
          <w:szCs w:val="22"/>
        </w:rPr>
        <w:t xml:space="preserve">VIEW 4 — MANUAL REVIEW QUEUE</w:t>
      </w:r>
    </w:p>
    <w:p>
      <w:pPr>
        <w:spacing w:after="100" w:before="80"/>
      </w:pPr>
      <w:r>
        <w:rPr>
          <w:rFonts w:ascii="Arial" w:cs="Arial" w:eastAsia="Arial" w:hAnsi="Arial"/>
          <w:b w:val="false"/>
          <w:bCs w:val="false"/>
          <w:i w:val="false"/>
          <w:iCs w:val="false"/>
          <w:color w:val="000000"/>
          <w:sz w:val="22"/>
          <w:szCs w:val="22"/>
        </w:rPr>
        <w:t xml:space="preserve">A task-board style view showing all NEEDS_MANUAL_REVIEW cases across all bidders, sorted by priority (mandatory criteria flagged first). Each task shows the reason for escalation, the confidence score, and the evidence that was available. Officers can accept the system's partial finding, reject it, or enter a corrected value. Every action is logged. The queue shows completion percentage and flags if the tender deadline is approaching with unresolved reviews.</w:t>
      </w:r>
    </w:p>
    <w:p>
      <w:pPr>
        <w:spacing w:after="0" w:before="0"/>
      </w:pPr>
      <w:r>
        <w:t xml:space="preserve"/>
      </w:r>
    </w:p>
    <w:p>
      <w:pPr>
        <w:spacing w:after="100" w:before="80"/>
      </w:pPr>
      <w:r>
        <w:rPr>
          <w:rFonts w:ascii="Arial" w:cs="Arial" w:eastAsia="Arial" w:hAnsi="Arial"/>
          <w:b/>
          <w:bCs/>
          <w:i w:val="false"/>
          <w:iCs w:val="false"/>
          <w:color w:val="1B2A4A"/>
          <w:sz w:val="22"/>
          <w:szCs w:val="22"/>
        </w:rPr>
        <w:t xml:space="preserve">VIEW 5 — AUDIT TRAIL VIEWER</w:t>
      </w:r>
    </w:p>
    <w:p>
      <w:pPr>
        <w:spacing w:after="100" w:before="80"/>
      </w:pPr>
      <w:r>
        <w:rPr>
          <w:rFonts w:ascii="Arial" w:cs="Arial" w:eastAsia="Arial" w:hAnsi="Arial"/>
          <w:b w:val="false"/>
          <w:bCs w:val="false"/>
          <w:i w:val="false"/>
          <w:iCs w:val="false"/>
          <w:color w:val="000000"/>
          <w:sz w:val="22"/>
          <w:szCs w:val="22"/>
        </w:rPr>
        <w:t xml:space="preserve">A chronological log of all system and human actions on the tender, filterable by actor, event type, and date range. Hash chain integrity can be verified on-demand. Exportable as a tamper-evident JSON file for submission to CVC or court proceedings.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10</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Database Schema</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10.1  Core PostgreSQL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35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Key Columns</w:t>
            </w:r>
          </w:p>
        </w:tc>
        <w:tc>
          <w:tcPr>
            <w:tcW w:type="dxa" w:w="3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tenders</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tender_id, title, issuing_authority, nit_number, created_at, status, officer_id</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Master record for each uploaded tender</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tender_criteria</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criterion_id, tender_id, category, mandatory, description, threshold_json, required_doc, source_clause, source_page, confidence</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Structured criteria extracted from tender; one row per criterion per tender</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bidders</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bidder_id, tender_id, company_name, gstin, submission_timestamp, overall_verdict</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Bidder master record per tender</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bidder_documents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doc_id, bidder_id, filename, file_type, storage_path, ocr_status, ocr_confidence, upload_time</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Each document in a bidder's submission package</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document_chunks</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chunk_id, doc_id, chunk_text, page_number, chunk_index, embedding_id (Qdrant ref)</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OCR-extracted text chunks; linked to Qdrant for vector search</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bidder_evidence</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evidence_id, bidder_id, criterion_id, source_doc_id, source_page, extracted_text, extracted_value, unit, reference_period, ocr_conf, extraction_conf, extracted_at</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AI-extracted evidence per bidder per criterion</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criterion_verdicts</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verdict_id, bidder_id, criterion_id, verdict, reason, rule_applied, confidence, decided_by, decided_at, human_reviewed, override_verdict, override_reason, override_officer_id</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Final per-criterion decision with full explainability chain</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audit_events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event_id, event_type, tender_id, bidder_id, actor_id, payload_json, prev_hash, hash, timestamp</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Append-only tamper-evident audit log</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review_tasks</w:t>
            </w:r>
          </w:p>
        </w:tc>
        <w:tc>
          <w:tcPr>
            <w:tcW w:type="dxa" w:w="35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task_id, criterion_verdict_id, assigned_to, assigned_at, reason_for_review, status, completed_at, resolution_notes</w:t>
            </w:r>
          </w:p>
        </w:tc>
        <w:tc>
          <w:tcPr>
            <w:tcW w:type="dxa" w:w="3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Human review task queue</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evaluation_reports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report_id, tender_id, generated_by, generated_at, signed_by, signed_at, report_path, report_hash</w:t>
            </w:r>
          </w:p>
        </w:tc>
        <w:tc>
          <w:tcPr>
            <w:tcW w:type="dxa" w:w="3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Exported reports with digital signature hash</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10.2  Vector Database (Qdrant)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5E8" w:sz="1"/>
              <w:left w:val="single" w:color="C5D5E8" w:sz="1"/>
              <w:bottom w:val="single" w:color="C5D5E8" w:sz="1"/>
              <w:right w:val="single" w:color="C5D5E8"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Collection</w:t>
            </w:r>
          </w:p>
        </w:tc>
        <w:tc>
          <w:tcPr>
            <w:tcW w:type="dxa" w:w="6760"/>
            <w:tcBorders>
              <w:top w:val="single" w:color="C5D5E8" w:sz="1"/>
              <w:left w:val="single" w:color="C5D5E8" w:sz="1"/>
              <w:bottom w:val="single" w:color="C5D5E8" w:sz="1"/>
              <w:right w:val="single" w:color="C5D5E8"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20"/>
              <w:bottom w:type="dxa" w:w="80"/>
              <w:right w:type="dxa" w:w="120"/>
            </w:tcMar>
          </w:tcPr>
          <w:p>
            <w:r>
              <w:rPr>
                <w:rFonts w:ascii="Arial" w:cs="Arial" w:eastAsia="Arial" w:hAnsi="Arial"/>
                <w:b/>
                <w:bCs/>
                <w:color w:val="1B2A4A"/>
                <w:sz w:val="21"/>
                <w:szCs w:val="21"/>
              </w:rPr>
              <w:t xml:space="preserve">criterion_embeddings</w:t>
            </w:r>
          </w:p>
        </w:tc>
        <w:tc>
          <w:tcPr>
            <w:tcW w:type="dxa" w:w="6760"/>
            <w:tcBorders>
              <w:top w:val="single" w:color="C5D5E8" w:sz="1"/>
              <w:left w:val="single" w:color="C5D5E8" w:sz="1"/>
              <w:bottom w:val="single" w:color="C5D5E8" w:sz="1"/>
              <w:right w:val="single" w:color="C5D5E8" w:sz="1"/>
            </w:tcBorders>
            <w:shd w:fill="F4F8FD" w:val="clear"/>
            <w:tcMar>
              <w:top w:type="dxa" w:w="80"/>
              <w:left w:type="dxa" w:w="120"/>
              <w:bottom w:type="dxa" w:w="80"/>
              <w:right w:type="dxa" w:w="120"/>
            </w:tcMar>
          </w:tcPr>
          <w:p>
            <w:r>
              <w:rPr>
                <w:rFonts w:ascii="Arial" w:cs="Arial" w:eastAsia="Arial" w:hAnsi="Arial"/>
                <w:color w:val="111111"/>
                <w:sz w:val="21"/>
                <w:szCs w:val="21"/>
              </w:rPr>
              <w:t xml:space="preserve">768-dim embeddings of each extracted criterion description; used to match bidder evidence to relevant criteria</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document_chunk_embeddings</w:t>
            </w:r>
          </w:p>
        </w:tc>
        <w:tc>
          <w:tcPr>
            <w:tcW w:type="dxa" w:w="6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11111"/>
                <w:sz w:val="21"/>
                <w:szCs w:val="21"/>
              </w:rPr>
              <w:t xml:space="preserve">768-dim embeddings of each document chunk per bidder; queried per criterion to retrieve candidate evidence passages</w:t>
            </w:r>
          </w:p>
        </w:tc>
      </w:tr>
      <w:tr>
        <w:tc>
          <w:tcPr>
            <w:tcW w:type="dxa" w:w="2600"/>
            <w:tcBorders>
              <w:top w:val="single" w:color="C5D5E8" w:sz="1"/>
              <w:left w:val="single" w:color="C5D5E8" w:sz="1"/>
              <w:bottom w:val="single" w:color="C5D5E8" w:sz="1"/>
              <w:right w:val="single" w:color="C5D5E8" w:sz="1"/>
            </w:tcBorders>
            <w:shd w:fill="F4F8FD" w:val="clear"/>
            <w:tcMar>
              <w:top w:type="dxa" w:w="80"/>
              <w:left w:type="dxa" w:w="120"/>
              <w:bottom w:type="dxa" w:w="80"/>
              <w:right w:type="dxa" w:w="120"/>
            </w:tcMar>
          </w:tcPr>
          <w:p>
            <w:r>
              <w:rPr>
                <w:rFonts w:ascii="Arial" w:cs="Arial" w:eastAsia="Arial" w:hAnsi="Arial"/>
                <w:b/>
                <w:bCs/>
                <w:color w:val="1B2A4A"/>
                <w:sz w:val="21"/>
                <w:szCs w:val="21"/>
              </w:rPr>
              <w:t xml:space="preserve">tender_scope_embeddings</w:t>
            </w:r>
          </w:p>
        </w:tc>
        <w:tc>
          <w:tcPr>
            <w:tcW w:type="dxa" w:w="6760"/>
            <w:tcBorders>
              <w:top w:val="single" w:color="C5D5E8" w:sz="1"/>
              <w:left w:val="single" w:color="C5D5E8" w:sz="1"/>
              <w:bottom w:val="single" w:color="C5D5E8" w:sz="1"/>
              <w:right w:val="single" w:color="C5D5E8" w:sz="1"/>
            </w:tcBorders>
            <w:shd w:fill="F4F8FD" w:val="clear"/>
            <w:tcMar>
              <w:top w:type="dxa" w:w="80"/>
              <w:left w:type="dxa" w:w="120"/>
              <w:bottom w:type="dxa" w:w="80"/>
              <w:right w:type="dxa" w:w="120"/>
            </w:tcMar>
          </w:tcPr>
          <w:p>
            <w:r>
              <w:rPr>
                <w:rFonts w:ascii="Arial" w:cs="Arial" w:eastAsia="Arial" w:hAnsi="Arial"/>
                <w:color w:val="111111"/>
                <w:sz w:val="21"/>
                <w:szCs w:val="21"/>
              </w:rPr>
              <w:t xml:space="preserve">Embeddings of the tender's technical scope description; used as reference for 'similar works' cosine similarity matching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11</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Risks and Mitigations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14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57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Mitigation Strategy</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Low OCR accuracy on poor-quality scans</w:t>
            </w:r>
          </w:p>
        </w:tc>
        <w:tc>
          <w:tcPr>
            <w:tcW w:type="dxa" w:w="1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HIGH — critical values misread, wrong verdicts</w:t>
            </w:r>
          </w:p>
        </w:tc>
        <w:tc>
          <w:tcPr>
            <w:tcW w:type="dxa" w:w="5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Confidence scoring gates every extracted value; low-confidence extractions always trigger human review. System never rejects a bidder based on a low-confidence extraction.</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LLM hallucination on numeric extraction</w:t>
            </w:r>
          </w:p>
        </w:tc>
        <w:tc>
          <w:tcPr>
            <w:tcW w:type="dxa" w:w="1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HIGH — fabricated financial figures</w:t>
            </w:r>
          </w:p>
        </w:tc>
        <w:tc>
          <w:tcPr>
            <w:tcW w:type="dxa" w:w="5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LLM is prompted to quote exact source text alongside extracted value. Post-extraction validation checks that the extracted number appears verbatim (within normalisation) in the source chunk.</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Ambiguous legal language in tender clauses</w:t>
            </w:r>
          </w:p>
        </w:tc>
        <w:tc>
          <w:tcPr>
            <w:tcW w:type="dxa" w:w="1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MEDIUM — criteria extracted with wrong thresholds or wrong mandatory status</w:t>
            </w:r>
          </w:p>
        </w:tc>
        <w:tc>
          <w:tcPr>
            <w:tcW w:type="dxa" w:w="5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Two-pass extraction: LLM extracts criteria, then a separate verification pass checks each criterion against the original clause text. Officer reviews all extracted criteria before evaluation begins.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Vendor challenging AI-based disqualification</w:t>
            </w:r>
          </w:p>
        </w:tc>
        <w:tc>
          <w:tcPr>
            <w:tcW w:type="dxa" w:w="1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HIGH — legal/reputational risk to procuring entity</w:t>
            </w:r>
          </w:p>
        </w:tc>
        <w:tc>
          <w:tcPr>
            <w:tcW w:type="dxa" w:w="5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System never disqualifies without high-confidence extraction (≥0.75). All NOT_ELIGIBLE verdicts include full evidence chain. Human officers sign off on all disqualifications before formal communication.</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Network unavailability (API-based LLM)</w:t>
            </w:r>
          </w:p>
        </w:tc>
        <w:tc>
          <w:tcPr>
            <w:tcW w:type="dxa" w:w="1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MEDIUM — system unusable without internet</w:t>
            </w:r>
          </w:p>
        </w:tc>
        <w:tc>
          <w:tcPr>
            <w:tcW w:type="dxa" w:w="5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On-premise Llama 3.1 70B fallback for fully air-gapped deployments. NIC government cloud provides dedicated GPU infrastructure for self-hosted inference.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Data privacy (commercially sensitive bidder data)</w:t>
            </w:r>
          </w:p>
        </w:tc>
        <w:tc>
          <w:tcPr>
            <w:tcW w:type="dxa" w:w="1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HIGH — bidder financials, PAN, GST are sensitive</w:t>
            </w:r>
          </w:p>
        </w:tc>
        <w:tc>
          <w:tcPr>
            <w:tcW w:type="dxa" w:w="5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All data stored within on-premise or NIC cloud boundary. AES-256 encryption at rest. TLS 1.3 in transit. RBAC ensures bidder data is accessible only to authorised officers of the specific tender.</w:t>
            </w:r>
          </w:p>
        </w:tc>
      </w:tr>
      <w:tr>
        <w:tc>
          <w:tcPr>
            <w:tcW w:type="dxa" w:w="2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Manual review bottleneck</w:t>
            </w:r>
          </w:p>
        </w:tc>
        <w:tc>
          <w:tcPr>
            <w:tcW w:type="dxa" w:w="14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MEDIUM — too many flagged cases slow evaluation</w:t>
            </w:r>
          </w:p>
        </w:tc>
        <w:tc>
          <w:tcPr>
            <w:tcW w:type="dxa" w:w="57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Confidence thresholds are tuned iteratively: the goal is to surface only genuinely ambiguous cases, not to flag everything uncertain. A target of &lt;15% of criterion-bidder pairs needing manual review is set as an operational KPI.</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Scope creep: 'similar works' classification</w:t>
            </w:r>
          </w:p>
        </w:tc>
        <w:tc>
          <w:tcPr>
            <w:tcW w:type="dxa" w:w="14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MEDIUM — subjective domain matching causes disputes</w:t>
            </w:r>
          </w:p>
        </w:tc>
        <w:tc>
          <w:tcPr>
            <w:tcW w:type="dxa" w:w="57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Similarity threshold is transparent and tuneable per tender. Tender-specific domain keywords can be manually entered by the officer to sharpen similarity matching. All borderline cases (0.55–0.72) go to human review.</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12</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Round 2 Prototype Plan</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12.1  MVP Scope for Round 2 Sandbox</w:t>
      </w:r>
    </w:p>
    <w:p>
      <w:pPr>
        <w:spacing w:after="100" w:before="80"/>
      </w:pPr>
      <w:r>
        <w:rPr>
          <w:rFonts w:ascii="Arial" w:cs="Arial" w:eastAsia="Arial" w:hAnsi="Arial"/>
          <w:b w:val="false"/>
          <w:bCs w:val="false"/>
          <w:i w:val="false"/>
          <w:iCs w:val="false"/>
          <w:color w:val="000000"/>
          <w:sz w:val="22"/>
          <w:szCs w:val="22"/>
        </w:rPr>
        <w:t xml:space="preserve">The Round 2 prototype will demonstrate the full end-to-end workflow on mock CRPF tender data. The MVP is scoped to prove the three highest-scoring architectural claims: (1) criterion-level explainability, (2) hybrid AI + rule evaluation, and (3) human review workflow with audit trail.</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12.2  Prototype Architecture (Simplified)</w:t>
      </w:r>
    </w:p>
    <w:p>
      <w:pPr>
        <w:pStyle w:val="ListParagraph"/>
        <w:numPr>
          <w:ilvl w:val="0"/>
          <w:numId w:val="2"/>
        </w:numPr>
        <w:spacing w:after="60" w:before="60"/>
      </w:pPr>
      <w:r>
        <w:rPr>
          <w:rFonts w:ascii="Arial" w:cs="Arial" w:eastAsia="Arial" w:hAnsi="Arial"/>
          <w:b w:val="false"/>
          <w:bCs w:val="false"/>
          <w:color w:val="000000"/>
          <w:sz w:val="22"/>
          <w:szCs w:val="22"/>
        </w:rPr>
        <w:t xml:space="preserve">FastAPI backend with PostgreSQL (Docker Compose local deployment)</w:t>
      </w:r>
    </w:p>
    <w:p>
      <w:pPr>
        <w:pStyle w:val="ListParagraph"/>
        <w:numPr>
          <w:ilvl w:val="0"/>
          <w:numId w:val="2"/>
        </w:numPr>
        <w:spacing w:after="60" w:before="60"/>
      </w:pPr>
      <w:r>
        <w:rPr>
          <w:rFonts w:ascii="Arial" w:cs="Arial" w:eastAsia="Arial" w:hAnsi="Arial"/>
          <w:b w:val="false"/>
          <w:bCs w:val="false"/>
          <w:color w:val="000000"/>
          <w:sz w:val="22"/>
          <w:szCs w:val="22"/>
        </w:rPr>
        <w:t xml:space="preserve">Celery + Redis for async OCR and LLM extraction jobs</w:t>
      </w:r>
    </w:p>
    <w:p>
      <w:pPr>
        <w:pStyle w:val="ListParagraph"/>
        <w:numPr>
          <w:ilvl w:val="0"/>
          <w:numId w:val="2"/>
        </w:numPr>
        <w:spacing w:after="60" w:before="60"/>
      </w:pPr>
      <w:r>
        <w:rPr>
          <w:rFonts w:ascii="Arial" w:cs="Arial" w:eastAsia="Arial" w:hAnsi="Arial"/>
          <w:b w:val="false"/>
          <w:bCs w:val="false"/>
          <w:color w:val="000000"/>
          <w:sz w:val="22"/>
          <w:szCs w:val="22"/>
        </w:rPr>
        <w:t xml:space="preserve">Tesseract OCR for scanned document processing</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claude-sonnet-4-20250514 API for criterion extraction and evidence extraction (structured JSON output mode)</w:t>
      </w:r>
    </w:p>
    <w:p>
      <w:pPr>
        <w:pStyle w:val="ListParagraph"/>
        <w:numPr>
          <w:ilvl w:val="0"/>
          <w:numId w:val="2"/>
        </w:numPr>
        <w:spacing w:after="60" w:before="60"/>
      </w:pPr>
      <w:r>
        <w:rPr>
          <w:rFonts w:ascii="Arial" w:cs="Arial" w:eastAsia="Arial" w:hAnsi="Arial"/>
          <w:b w:val="false"/>
          <w:bCs w:val="false"/>
          <w:color w:val="000000"/>
          <w:sz w:val="22"/>
          <w:szCs w:val="22"/>
        </w:rPr>
        <w:t xml:space="preserve">Qdrant (Docker) for embedding-based evidence retrieval</w:t>
      </w:r>
    </w:p>
    <w:p>
      <w:pPr>
        <w:pStyle w:val="ListParagraph"/>
        <w:numPr>
          <w:ilvl w:val="0"/>
          <w:numId w:val="2"/>
        </w:numPr>
        <w:spacing w:after="60" w:before="60"/>
      </w:pPr>
      <w:r>
        <w:rPr>
          <w:rFonts w:ascii="Arial" w:cs="Arial" w:eastAsia="Arial" w:hAnsi="Arial"/>
          <w:b w:val="false"/>
          <w:bCs w:val="false"/>
          <w:color w:val="000000"/>
          <w:sz w:val="22"/>
          <w:szCs w:val="22"/>
        </w:rPr>
        <w:t xml:space="preserve">React + Tailwind frontend with five key views implemented</w:t>
      </w:r>
    </w:p>
    <w:p>
      <w:pPr>
        <w:pStyle w:val="ListParagraph"/>
        <w:numPr>
          <w:ilvl w:val="0"/>
          <w:numId w:val="2"/>
        </w:numPr>
        <w:spacing w:after="60" w:before="60"/>
      </w:pPr>
      <w:r>
        <w:rPr>
          <w:rFonts w:ascii="Arial" w:cs="Arial" w:eastAsia="Arial" w:hAnsi="Arial"/>
          <w:b w:val="false"/>
          <w:bCs w:val="false"/>
          <w:color w:val="000000"/>
          <w:sz w:val="22"/>
          <w:szCs w:val="22"/>
        </w:rPr>
        <w:t xml:space="preserve">PDF report export using ReportLab</w:t>
      </w:r>
    </w:p>
    <w:p>
      <w:pPr>
        <w:pStyle w:val="ListParagraph"/>
        <w:numPr>
          <w:ilvl w:val="0"/>
          <w:numId w:val="2"/>
        </w:numPr>
        <w:spacing w:after="60" w:before="60"/>
      </w:pPr>
      <w:r>
        <w:rPr>
          <w:rFonts w:ascii="Arial" w:cs="Arial" w:eastAsia="Arial" w:hAnsi="Arial"/>
          <w:b w:val="false"/>
          <w:bCs w:val="false"/>
          <w:color w:val="000000"/>
          <w:sz w:val="22"/>
          <w:szCs w:val="22"/>
        </w:rPr>
        <w:t xml:space="preserve">Audit trail with SHA-256 hash chaining</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12.3  Mock Data Pack</w:t>
      </w:r>
    </w:p>
    <w:p>
      <w:pPr>
        <w:spacing w:after="100" w:before="80"/>
      </w:pPr>
      <w:r>
        <w:rPr>
          <w:rFonts w:ascii="Arial" w:cs="Arial" w:eastAsia="Arial" w:hAnsi="Arial"/>
          <w:b w:val="false"/>
          <w:bCs w:val="false"/>
          <w:i w:val="false"/>
          <w:iCs w:val="false"/>
          <w:color w:val="000000"/>
          <w:sz w:val="22"/>
          <w:szCs w:val="22"/>
        </w:rPr>
        <w:t xml:space="preserve">The prototype will ship with a self-contained mock data pack:</w:t>
      </w:r>
    </w:p>
    <w:p>
      <w:pPr>
        <w:pStyle w:val="ListParagraph"/>
        <w:numPr>
          <w:ilvl w:val="0"/>
          <w:numId w:val="2"/>
        </w:numPr>
        <w:spacing w:after="60" w:before="60"/>
      </w:pPr>
      <w:r>
        <w:rPr>
          <w:rFonts w:ascii="Arial" w:cs="Arial" w:eastAsia="Arial" w:hAnsi="Arial"/>
          <w:b w:val="false"/>
          <w:bCs w:val="false"/>
          <w:color w:val="000000"/>
          <w:sz w:val="22"/>
          <w:szCs w:val="22"/>
        </w:rPr>
        <w:t xml:space="preserve">Mock tender: CRPF Construction Services Tender, 15 pages, 6 eligibility criteria (2 financial, 2 technical, 2 compliance). Includes both straightforward criteria and one intentionally ambiguous clause.</w:t>
      </w:r>
    </w:p>
    <w:p>
      <w:pPr>
        <w:pStyle w:val="ListParagraph"/>
        <w:numPr>
          <w:ilvl w:val="0"/>
          <w:numId w:val="2"/>
        </w:numPr>
        <w:spacing w:after="60" w:before="60"/>
      </w:pPr>
      <w:r>
        <w:rPr>
          <w:rFonts w:ascii="Arial" w:cs="Arial" w:eastAsia="Arial" w:hAnsi="Arial"/>
          <w:b w:val="false"/>
          <w:bCs w:val="false"/>
          <w:color w:val="000000"/>
          <w:sz w:val="22"/>
          <w:szCs w:val="22"/>
        </w:rPr>
        <w:t xml:space="preserve">10 mock bidder submissions: 6 clearly eligible, 2 clearly ineligible (failing on different criteria), 2 requiring manual review (one with poor-quality scanned CA certificate, one with ambiguous similar-works description).</w:t>
      </w:r>
    </w:p>
    <w:p>
      <w:pPr>
        <w:pStyle w:val="ListParagraph"/>
        <w:numPr>
          <w:ilvl w:val="0"/>
          <w:numId w:val="2"/>
        </w:numPr>
        <w:spacing w:after="60" w:before="60"/>
      </w:pPr>
      <w:r>
        <w:rPr>
          <w:rFonts w:ascii="Arial" w:cs="Arial" w:eastAsia="Arial" w:hAnsi="Arial"/>
          <w:b w:val="false"/>
          <w:bCs w:val="false"/>
          <w:color w:val="000000"/>
          <w:sz w:val="22"/>
          <w:szCs w:val="22"/>
        </w:rPr>
        <w:t xml:space="preserve">Mock documents include: typed PDFs for financial statements, simulated low-quality scans for certificates, DOCX work order letters, and a bilingual GST certificate.</w:t>
      </w:r>
    </w:p>
    <w:p>
      <w:pPr>
        <w:spacing w:after="0" w:before="0"/>
      </w:pPr>
      <w:r>
        <w:t xml:space="preserve"/>
      </w:r>
    </w:p>
    <w:p>
      <w:pPr>
        <w:pStyle w:val="Heading2"/>
        <w:spacing w:after="120" w:before="280"/>
      </w:pPr>
      <w:r>
        <w:rPr>
          <w:rFonts w:ascii="Arial" w:cs="Arial" w:eastAsia="Arial" w:hAnsi="Arial"/>
          <w:b/>
          <w:bCs/>
          <w:color w:val="2E5FA3"/>
          <w:sz w:val="26"/>
          <w:szCs w:val="26"/>
        </w:rPr>
        <w:t xml:space="preserve">12.4  Suggested Folder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C1" w:sz="2"/>
              <w:left w:val="single" w:color="1A7FC1" w:sz="6"/>
              <w:bottom w:val="single" w:color="1A7FC1" w:sz="2"/>
              <w:right w:val="single" w:color="1A7FC1" w:sz="2"/>
            </w:tcBorders>
            <w:shd w:fill="F8FAFD" w:val="clear"/>
            <w:tcMar>
              <w:top w:type="dxa" w:w="100"/>
              <w:left w:type="dxa" w:w="160"/>
              <w:bottom w:type="dxa" w:w="100"/>
              <w:right w:type="dxa" w:w="160"/>
            </w:tcMar>
          </w:tcPr>
          <w:p>
            <w:pPr>
              <w:spacing w:after="10" w:before="60"/>
            </w:pPr>
            <w:r>
              <w:rPr>
                <w:rFonts w:ascii="Courier New" w:cs="Courier New" w:eastAsia="Courier New" w:hAnsi="Courier New"/>
                <w:b/>
                <w:bCs/>
                <w:color w:val="1B2A4A"/>
                <w:sz w:val="18"/>
                <w:szCs w:val="18"/>
              </w:rPr>
              <w:t xml:space="preserve">tendergraph-ai/</w:t>
            </w:r>
          </w:p>
          <w:p>
            <w:pPr>
              <w:spacing w:after="0" w:before="0"/>
            </w:pPr>
            <w:r>
              <w:rPr>
                <w:rFonts w:ascii="Courier New" w:cs="Courier New" w:eastAsia="Courier New" w:hAnsi="Courier New"/>
                <w:color w:val="222222"/>
                <w:sz w:val="18"/>
                <w:szCs w:val="18"/>
              </w:rPr>
              <w:t xml:space="preserve">├── backend/</w:t>
            </w:r>
          </w:p>
          <w:p>
            <w:pPr>
              <w:spacing w:after="0" w:before="0"/>
            </w:pPr>
            <w:r>
              <w:rPr>
                <w:rFonts w:ascii="Courier New" w:cs="Courier New" w:eastAsia="Courier New" w:hAnsi="Courier New"/>
                <w:color w:val="444444"/>
                <w:sz w:val="18"/>
                <w:szCs w:val="18"/>
              </w:rPr>
              <w:t xml:space="preserve">│   ├── api/          # FastAPI routers (tenders, bidders, verdicts, reports)</w:t>
            </w:r>
          </w:p>
          <w:p>
            <w:pPr>
              <w:spacing w:after="0" w:before="0"/>
            </w:pPr>
            <w:r>
              <w:rPr>
                <w:rFonts w:ascii="Courier New" w:cs="Courier New" w:eastAsia="Courier New" w:hAnsi="Courier New"/>
                <w:color w:val="444444"/>
                <w:sz w:val="18"/>
                <w:szCs w:val="18"/>
              </w:rPr>
              <w:t xml:space="preserve">│   ├── services/     # tender_parser, ocr_engine, extraction, rule_engine, audit</w:t>
            </w:r>
          </w:p>
          <w:p>
            <w:pPr>
              <w:spacing w:after="0" w:before="0"/>
            </w:pPr>
            <w:r>
              <w:rPr>
                <w:rFonts w:ascii="Courier New" w:cs="Courier New" w:eastAsia="Courier New" w:hAnsi="Courier New"/>
                <w:color w:val="444444"/>
                <w:sz w:val="18"/>
                <w:szCs w:val="18"/>
              </w:rPr>
              <w:t xml:space="preserve">│   ├── models/       # SQLAlchemy ORM models (all tables from Section 10)</w:t>
            </w:r>
          </w:p>
          <w:p>
            <w:pPr>
              <w:spacing w:after="0" w:before="0"/>
            </w:pPr>
            <w:r>
              <w:rPr>
                <w:rFonts w:ascii="Courier New" w:cs="Courier New" w:eastAsia="Courier New" w:hAnsi="Courier New"/>
                <w:color w:val="444444"/>
                <w:sz w:val="18"/>
                <w:szCs w:val="18"/>
              </w:rPr>
              <w:t xml:space="preserve">│   ├── workers/      # Celery tasks: ocr_worker.py, extract_worker.py, rule_worker.py</w:t>
            </w:r>
          </w:p>
          <w:p>
            <w:pPr>
              <w:spacing w:after="0" w:before="0"/>
            </w:pPr>
            <w:r>
              <w:rPr>
                <w:rFonts w:ascii="Courier New" w:cs="Courier New" w:eastAsia="Courier New" w:hAnsi="Courier New"/>
                <w:color w:val="444444"/>
                <w:sz w:val="18"/>
                <w:szCs w:val="18"/>
              </w:rPr>
              <w:t xml:space="preserve">│   ├── rules/        # Rule library: financial.py, technical.py, compliance.py</w:t>
            </w:r>
          </w:p>
          <w:p>
            <w:pPr>
              <w:spacing w:after="0" w:before="0"/>
            </w:pPr>
            <w:r>
              <w:rPr>
                <w:rFonts w:ascii="Courier New" w:cs="Courier New" w:eastAsia="Courier New" w:hAnsi="Courier New"/>
                <w:color w:val="444444"/>
                <w:sz w:val="18"/>
                <w:szCs w:val="18"/>
              </w:rPr>
              <w:t xml:space="preserve">│   └── prompts/      # LLM prompt templates (criterion_extract.jinja, evidence_extract.jinja)</w:t>
            </w:r>
          </w:p>
          <w:p>
            <w:pPr>
              <w:spacing w:after="0" w:before="0"/>
            </w:pPr>
            <w:r>
              <w:rPr>
                <w:rFonts w:ascii="Courier New" w:cs="Courier New" w:eastAsia="Courier New" w:hAnsi="Courier New"/>
                <w:color w:val="222222"/>
                <w:sz w:val="18"/>
                <w:szCs w:val="18"/>
              </w:rPr>
              <w:t xml:space="preserve">├── frontend/</w:t>
            </w:r>
          </w:p>
          <w:p>
            <w:pPr>
              <w:spacing w:after="0" w:before="0"/>
            </w:pPr>
            <w:r>
              <w:rPr>
                <w:rFonts w:ascii="Courier New" w:cs="Courier New" w:eastAsia="Courier New" w:hAnsi="Courier New"/>
                <w:color w:val="444444"/>
                <w:sz w:val="18"/>
                <w:szCs w:val="18"/>
              </w:rPr>
              <w:t xml:space="preserve">│   ├── pages/        # TenderOverview, BidderMatrix, BidderReport, ReviewQueue, Audit</w:t>
            </w:r>
          </w:p>
          <w:p>
            <w:pPr>
              <w:spacing w:after="0" w:before="0"/>
            </w:pPr>
            <w:r>
              <w:rPr>
                <w:rFonts w:ascii="Courier New" w:cs="Courier New" w:eastAsia="Courier New" w:hAnsi="Courier New"/>
                <w:color w:val="444444"/>
                <w:sz w:val="18"/>
                <w:szCs w:val="18"/>
              </w:rPr>
              <w:t xml:space="preserve">│   └── components/   # CriterionCard, VerdictBadge, EvidencePanel, AuditTimeline</w:t>
            </w:r>
          </w:p>
          <w:p>
            <w:pPr>
              <w:spacing w:after="0" w:before="0"/>
            </w:pPr>
            <w:r>
              <w:rPr>
                <w:rFonts w:ascii="Courier New" w:cs="Courier New" w:eastAsia="Courier New" w:hAnsi="Courier New"/>
                <w:color w:val="222222"/>
                <w:sz w:val="18"/>
                <w:szCs w:val="18"/>
              </w:rPr>
              <w:t xml:space="preserve">├── mock_data/</w:t>
            </w:r>
          </w:p>
          <w:p>
            <w:pPr>
              <w:spacing w:after="0" w:before="0"/>
            </w:pPr>
            <w:r>
              <w:rPr>
                <w:rFonts w:ascii="Courier New" w:cs="Courier New" w:eastAsia="Courier New" w:hAnsi="Courier New"/>
                <w:color w:val="444444"/>
                <w:sz w:val="18"/>
                <w:szCs w:val="18"/>
              </w:rPr>
              <w:t xml:space="preserve">│   ├── tender/       # CRPF_Mock_Tender.pdf</w:t>
            </w:r>
          </w:p>
          <w:p>
            <w:pPr>
              <w:spacing w:after="0" w:before="0"/>
            </w:pPr>
            <w:r>
              <w:rPr>
                <w:rFonts w:ascii="Courier New" w:cs="Courier New" w:eastAsia="Courier New" w:hAnsi="Courier New"/>
                <w:color w:val="444444"/>
                <w:sz w:val="18"/>
                <w:szCs w:val="18"/>
              </w:rPr>
              <w:t xml:space="preserve">│   └── bidders/      # bidder_01/ through bidder_10/, each with submission documents</w:t>
            </w:r>
          </w:p>
          <w:p>
            <w:pPr>
              <w:spacing w:after="0" w:before="0"/>
            </w:pPr>
            <w:r>
              <w:rPr>
                <w:rFonts w:ascii="Courier New" w:cs="Courier New" w:eastAsia="Courier New" w:hAnsi="Courier New"/>
                <w:color w:val="444444"/>
                <w:sz w:val="18"/>
                <w:szCs w:val="18"/>
              </w:rPr>
              <w:t xml:space="preserve">├── docker-compose.yml  # postgres, qdrant, redis, backend, celery, frontend</w:t>
            </w:r>
          </w:p>
          <w:p>
            <w:pPr>
              <w:spacing w:after="20" w:before="0"/>
            </w:pPr>
            <w:r>
              <w:rPr>
                <w:rFonts w:ascii="Courier New" w:cs="Courier New" w:eastAsia="Courier New" w:hAnsi="Courier New"/>
                <w:color w:val="444444"/>
                <w:sz w:val="18"/>
                <w:szCs w:val="18"/>
              </w:rPr>
              <w:t xml:space="preserve">└── README.md</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12.5  Prototype Timeline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2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Days</w:t>
            </w:r>
          </w:p>
        </w:tc>
        <w:tc>
          <w:tcPr>
            <w:tcW w:type="dxa" w:w="51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Infrastructure setup</w:t>
            </w:r>
          </w:p>
        </w:tc>
        <w:tc>
          <w:tcPr>
            <w:tcW w:type="dxa" w:w="1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1–2</w:t>
            </w:r>
          </w:p>
        </w:tc>
        <w:tc>
          <w:tcPr>
            <w:tcW w:type="dxa" w:w="51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Docker Compose with all services running; PostgreSQL schema applied; Qdrant initialised</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Tender understanding pipeline</w:t>
            </w:r>
          </w:p>
        </w:tc>
        <w:tc>
          <w:tcPr>
            <w:tcW w:type="dxa" w:w="1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3–5</w:t>
            </w:r>
          </w:p>
        </w:tc>
        <w:tc>
          <w:tcPr>
            <w:tcW w:type="dxa" w:w="51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Tender PDF upload → clause segmentation → LLM criterion extraction → JSON output → officer review UI</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Document ingestion + OCR</w:t>
            </w:r>
          </w:p>
        </w:tc>
        <w:tc>
          <w:tcPr>
            <w:tcW w:type="dxa" w:w="1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5–8</w:t>
            </w:r>
          </w:p>
        </w:tc>
        <w:tc>
          <w:tcPr>
            <w:tcW w:type="dxa" w:w="51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Bidder upload → OCR → chunking → Qdrant embedding → evidence extraction per criterion</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Rule engine + verdicts</w:t>
            </w:r>
          </w:p>
        </w:tc>
        <w:tc>
          <w:tcPr>
            <w:tcW w:type="dxa" w:w="1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8–10</w:t>
            </w:r>
          </w:p>
        </w:tc>
        <w:tc>
          <w:tcPr>
            <w:tcW w:type="dxa" w:w="51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All rule functions implemented; verdict emission for all criterion types; confidence gating live</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Human review + audit trail</w:t>
            </w:r>
          </w:p>
        </w:tc>
        <w:tc>
          <w:tcPr>
            <w:tcW w:type="dxa" w:w="12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10–12</w:t>
            </w:r>
          </w:p>
        </w:tc>
        <w:tc>
          <w:tcPr>
            <w:tcW w:type="dxa" w:w="51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Review queue UI; override logging; hash-chained audit events table; audit viewer</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Reporting + demo prep</w:t>
            </w:r>
          </w:p>
        </w:tc>
        <w:tc>
          <w:tcPr>
            <w:tcW w:type="dxa" w:w="12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12–14</w:t>
            </w:r>
          </w:p>
        </w:tc>
        <w:tc>
          <w:tcPr>
            <w:tcW w:type="dxa" w:w="51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PDF/Excel report export; demo script with mock data; walkthrough screencast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13</w:t>
            </w:r>
          </w:p>
        </w:tc>
        <w:tc>
          <w:tcPr>
            <w:tcW w:type="dxa" w:w="846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vAlign w:val="center"/>
          </w:tcPr>
          <w:p>
            <w:r>
              <w:rPr>
                <w:rFonts w:ascii="Arial" w:cs="Arial" w:eastAsia="Arial" w:hAnsi="Arial"/>
                <w:b/>
                <w:bCs/>
                <w:color w:val="FFFFFF"/>
                <w:sz w:val="30"/>
                <w:szCs w:val="30"/>
              </w:rPr>
              <w:t xml:space="preserve">What Makes This Solution Stand Out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KEY INSIGHT</w:t>
            </w:r>
          </w:p>
        </w:tc>
        <w:tc>
          <w:tcPr>
            <w:tcW w:type="dxa" w:w="916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r>
              <w:rPr>
                <w:rFonts w:ascii="Arial" w:cs="Arial" w:eastAsia="Arial" w:hAnsi="Arial"/>
                <w:b w:val="false"/>
                <w:bCs w:val="false"/>
                <w:color w:val="1B2A4A"/>
                <w:sz w:val="21"/>
                <w:szCs w:val="21"/>
              </w:rPr>
              <w:t xml:space="preserve">The winning factor in this hackathon is not the sophistication of the AI model — it is the rigour of the architecture around the AI model. Judges from CRPF and government procurement will care most about whether the system is deployable, explainable, and legally defensible. Every design decision in TenderGraph AI+ is made with those three priorities in front.</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13.1  Against Each Evaluation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Evaluation Dimension</w:t>
            </w:r>
          </w:p>
        </w:tc>
        <w:tc>
          <w:tcPr>
            <w:tcW w:type="dxa" w:w="90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Weight</w:t>
            </w:r>
          </w:p>
        </w:tc>
        <w:tc>
          <w:tcPr>
            <w:tcW w:type="dxa" w:w="5460"/>
            <w:tcBorders>
              <w:top w:val="single" w:color="C5D5E8" w:sz="1"/>
              <w:left w:val="single" w:color="C5D5E8" w:sz="1"/>
              <w:bottom w:val="single" w:color="C5D5E8" w:sz="1"/>
              <w:right w:val="single" w:color="C5D5E8"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How TenderGraph AI+ Scores Maximally</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Problem Relevance &amp; Depth of Understanding</w:t>
            </w:r>
          </w:p>
        </w:tc>
        <w:tc>
          <w:tcPr>
            <w:tcW w:type="dxa" w:w="9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20%</w:t>
            </w:r>
          </w:p>
        </w:tc>
        <w:tc>
          <w:tcPr>
            <w:tcW w:type="dxa" w:w="54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Deep understanding of Indian government procurement law, NIT/GCC structure, CVC requirements, and real failure modes of manual evaluation — not a generic document processing problem</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Technical Implementation &amp; Innovation</w:t>
            </w:r>
          </w:p>
        </w:tc>
        <w:tc>
          <w:tcPr>
            <w:tcW w:type="dxa" w:w="9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25%</w:t>
            </w:r>
          </w:p>
        </w:tc>
        <w:tc>
          <w:tcPr>
            <w:tcW w:type="dxa" w:w="54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Hybrid AI + rule engine architecture with strict separation of concerns; confidence-gated escalation; hash-chained audit trail; semantic similarity for 'similar works' classification</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Real-World Deployability &amp; Government Feasibility</w:t>
            </w:r>
          </w:p>
        </w:tc>
        <w:tc>
          <w:tcPr>
            <w:tcW w:type="dxa" w:w="9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25%</w:t>
            </w:r>
          </w:p>
        </w:tc>
        <w:tc>
          <w:tcPr>
            <w:tcW w:type="dxa" w:w="54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On-premise deployment via Docker/Kubernetes; no mandatory cloud dependency; Llama 3.1 fallback for air-gapped environments; Keycloak SSO for NIC integration; WCAG accessibility; Hindi language support</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Demo Quality &amp; Presentation</w:t>
            </w:r>
          </w:p>
        </w:tc>
        <w:tc>
          <w:tcPr>
            <w:tcW w:type="dxa" w:w="90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15%</w:t>
            </w:r>
          </w:p>
        </w:tc>
        <w:tc>
          <w:tcPr>
            <w:tcW w:type="dxa" w:w="546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color w:val="111111"/>
                <w:sz w:val="20"/>
                <w:szCs w:val="20"/>
              </w:rPr>
              <w:t xml:space="preserve">End-to-end walkthrough with 10 mock bidders producing 6 eligible, 2 ineligible, 2 flagged cases; live evidence panel showing highlighted source document; exportable PDF report</w:t>
            </w:r>
          </w:p>
        </w:tc>
      </w:tr>
      <w:tr>
        <w:tc>
          <w:tcPr>
            <w:tcW w:type="dxa" w:w="30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Scalability &amp; Long-Term Impact</w:t>
            </w:r>
          </w:p>
        </w:tc>
        <w:tc>
          <w:tcPr>
            <w:tcW w:type="dxa" w:w="90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15%</w:t>
            </w:r>
          </w:p>
        </w:tc>
        <w:tc>
          <w:tcPr>
            <w:tcW w:type="dxa" w:w="5460"/>
            <w:tcBorders>
              <w:top w:val="single" w:color="C5D5E8" w:sz="1"/>
              <w:left w:val="single" w:color="C5D5E8" w:sz="1"/>
              <w:bottom w:val="single" w:color="C5D5E8" w:sz="1"/>
              <w:right w:val="single" w:color="C5D5E8" w:sz="1"/>
            </w:tcBorders>
            <w:shd w:fill="F4F8FD" w:val="clear"/>
            <w:tcMar>
              <w:top w:type="dxa" w:w="80"/>
              <w:left w:type="dxa" w:w="100"/>
              <w:bottom w:type="dxa" w:w="80"/>
              <w:right w:type="dxa" w:w="100"/>
            </w:tcMar>
          </w:tcPr>
          <w:p>
            <w:r>
              <w:rPr>
                <w:rFonts w:ascii="Arial" w:cs="Arial" w:eastAsia="Arial" w:hAnsi="Arial"/>
                <w:color w:val="111111"/>
                <w:sz w:val="20"/>
                <w:szCs w:val="20"/>
              </w:rPr>
              <w:t xml:space="preserve">Horizontal scaling via Celery workers; stateless API tier; vector DB scales independently; modular rule library allows new criterion types without system changes; multi-tender concurrent processing</w:t>
            </w:r>
          </w:p>
        </w:tc>
      </w:tr>
    </w:tbl>
    <w:p>
      <w:pPr>
        <w:spacing w:after="0" w:before="0"/>
      </w:pPr>
      <w:r>
        <w:t xml:space="preserve"/>
      </w:r>
    </w:p>
    <w:p>
      <w:pPr>
        <w:pStyle w:val="Heading2"/>
        <w:spacing w:after="120" w:before="280"/>
      </w:pPr>
      <w:r>
        <w:rPr>
          <w:rFonts w:ascii="Arial" w:cs="Arial" w:eastAsia="Arial" w:hAnsi="Arial"/>
          <w:b/>
          <w:bCs/>
          <w:color w:val="2E5FA3"/>
          <w:sz w:val="26"/>
          <w:szCs w:val="26"/>
        </w:rPr>
        <w:t xml:space="preserve">13.2  The Three Architectural Claims That Win</w:t>
      </w:r>
    </w:p>
    <w:p>
      <w:pPr>
        <w:spacing w:after="100" w:before="80"/>
      </w:pPr>
      <w:r>
        <w:rPr>
          <w:rFonts w:ascii="Arial" w:cs="Arial" w:eastAsia="Arial" w:hAnsi="Arial"/>
          <w:b w:val="false"/>
          <w:bCs w:val="false"/>
          <w:i w:val="false"/>
          <w:iCs w:val="false"/>
          <w:color w:val="000000"/>
          <w:sz w:val="22"/>
          <w:szCs w:val="22"/>
        </w:rPr>
        <w:t xml:space="preserve">The judges will be evaluating systems built by teams who understand documents and NLP. What distinguishes TenderGraph AI+ is three architectural claims that most teams will not make — and more importantly, that TenderGraph AI+ delivers with explicit mechanisms: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17645" w:val="clear"/>
            <w:tcMar>
              <w:top w:type="dxa" w:w="140"/>
              <w:left w:type="dxa" w:w="80"/>
              <w:bottom w:type="dxa" w:w="140"/>
              <w:right w:type="dxa" w:w="80"/>
            </w:tcMar>
          </w:tcPr>
          <w:p/>
        </w:tc>
        <w:tc>
          <w:tcPr>
            <w:tcW w:type="dxa" w:w="9160"/>
            <w:tcBorders>
              <w:top w:val="none"/>
              <w:left w:val="none"/>
              <w:bottom w:val="single" w:color="C5D5E8" w:sz="1"/>
              <w:right w:val="none"/>
            </w:tcBorders>
            <w:shd w:fill="EEF4FB" w:val="clear"/>
            <w:tcMar>
              <w:top w:type="dxa" w:w="140"/>
              <w:left w:type="dxa" w:w="180"/>
              <w:bottom w:type="dxa" w:w="140"/>
              <w:right w:type="dxa" w:w="180"/>
            </w:tcMar>
          </w:tcPr>
          <w:p>
            <w:r>
              <w:rPr>
                <w:rFonts w:ascii="Arial" w:cs="Arial" w:eastAsia="Arial" w:hAnsi="Arial"/>
                <w:color w:val="1B2A4A"/>
                <w:sz w:val="21"/>
                <w:szCs w:val="21"/>
              </w:rPr>
              <w:t xml:space="preserve">CLAIM 1: No bidder is ever silently disqualified. Every uncertain case is surfaced. This is enforced by the confidence gate — a code-level guarantee, not a policy statement.</w:t>
            </w:r>
          </w:p>
        </w:tc>
      </w:tr>
      <w:tr>
        <w:tc>
          <w:tcPr>
            <w:tcW w:type="dxa" w:w="200"/>
            <w:tcBorders>
              <w:top w:val="none" w:color="FFFFFF" w:sz="0"/>
              <w:left w:val="none" w:color="FFFFFF" w:sz="0"/>
              <w:bottom w:val="none" w:color="FFFFFF" w:sz="0"/>
              <w:right w:val="none" w:color="FFFFFF" w:sz="0"/>
            </w:tcBorders>
            <w:shd w:fill="2E5FA3" w:val="clear"/>
            <w:tcMar>
              <w:top w:type="dxa" w:w="140"/>
              <w:left w:type="dxa" w:w="80"/>
              <w:bottom w:type="dxa" w:w="140"/>
              <w:right w:type="dxa" w:w="80"/>
            </w:tcMar>
          </w:tcPr>
          <w:p/>
        </w:tc>
        <w:tc>
          <w:tcPr>
            <w:tcW w:type="dxa" w:w="9160"/>
            <w:tcBorders>
              <w:top w:val="none"/>
              <w:left w:val="none"/>
              <w:bottom w:val="single" w:color="C5D5E8" w:sz="1"/>
              <w:right w:val="none"/>
            </w:tcBorders>
            <w:shd w:fill="EEF4FB" w:val="clear"/>
            <w:tcMar>
              <w:top w:type="dxa" w:w="140"/>
              <w:left w:type="dxa" w:w="180"/>
              <w:bottom w:type="dxa" w:w="140"/>
              <w:right w:type="dxa" w:w="180"/>
            </w:tcMar>
          </w:tcPr>
          <w:p>
            <w:r>
              <w:rPr>
                <w:rFonts w:ascii="Arial" w:cs="Arial" w:eastAsia="Arial" w:hAnsi="Arial"/>
                <w:color w:val="1B2A4A"/>
                <w:sz w:val="21"/>
                <w:szCs w:val="21"/>
              </w:rPr>
              <w:t xml:space="preserve">CLAIM 2: Every verdict has a full evidence chain traceable to a specific page of a specific document submitted by the bidder. Procurement officers can verify any decision in under 30 seconds.</w:t>
            </w:r>
          </w:p>
        </w:tc>
      </w:tr>
      <w:tr>
        <w:tc>
          <w:tcPr>
            <w:tcW w:type="dxa" w:w="200"/>
            <w:tcBorders>
              <w:top w:val="none" w:color="FFFFFF" w:sz="0"/>
              <w:left w:val="none" w:color="FFFFFF" w:sz="0"/>
              <w:bottom w:val="none" w:color="FFFFFF" w:sz="0"/>
              <w:right w:val="none" w:color="FFFFFF" w:sz="0"/>
            </w:tcBorders>
            <w:shd w:fill="1B2A4A" w:val="clear"/>
            <w:tcMar>
              <w:top w:type="dxa" w:w="140"/>
              <w:left w:type="dxa" w:w="80"/>
              <w:bottom w:type="dxa" w:w="140"/>
              <w:right w:type="dxa" w:w="80"/>
            </w:tcMar>
          </w:tcPr>
          <w:p/>
        </w:tc>
        <w:tc>
          <w:tcPr>
            <w:tcW w:type="dxa" w:w="9160"/>
            <w:tcBorders>
              <w:top w:val="none"/>
              <w:left w:val="none"/>
              <w:bottom w:val="single" w:color="C5D5E8" w:sz="1"/>
              <w:right w:val="none"/>
            </w:tcBorders>
            <w:shd w:fill="EEF4FB" w:val="clear"/>
            <w:tcMar>
              <w:top w:type="dxa" w:w="140"/>
              <w:left w:type="dxa" w:w="180"/>
              <w:bottom w:type="dxa" w:w="140"/>
              <w:right w:type="dxa" w:w="180"/>
            </w:tcMar>
          </w:tcPr>
          <w:p>
            <w:r>
              <w:rPr>
                <w:rFonts w:ascii="Arial" w:cs="Arial" w:eastAsia="Arial" w:hAnsi="Arial"/>
                <w:color w:val="1B2A4A"/>
                <w:sz w:val="21"/>
                <w:szCs w:val="21"/>
              </w:rPr>
              <w:t xml:space="preserve">CLAIM 3: The system is deployable in an air-gapped government network today. All critical components run on-premise. The LLM API is the only external dependency and has an on-premise fallback.</w:t>
            </w:r>
          </w:p>
        </w:tc>
      </w:tr>
    </w:tbl>
    <w:p>
      <w:pPr>
        <w:spacing w:after="0" w:before="0"/>
      </w:pPr>
      <w:r>
        <w:t xml:space="preserve"/>
      </w:r>
    </w:p>
    <w:p>
      <w:pPr>
        <w:spacing w:after="0" w:before="0"/>
      </w:pPr>
      <w:r>
        <w:t xml:space="preserve"/>
      </w:r>
    </w:p>
    <w:p>
      <w:pPr>
        <w:pBdr>
          <w:bottom w:val="single" w:color="2E5FA3" w:sz="4" w:space="1"/>
        </w:pBdr>
        <w:spacing w:after="120" w:before="120"/>
      </w:pPr>
    </w:p>
    <w:p>
      <w:pPr>
        <w:spacing w:after="0" w:before="0"/>
      </w:pPr>
      <w:r>
        <w:t xml:space="preserve"/>
      </w:r>
    </w:p>
    <w:p>
      <w:pPr>
        <w:spacing w:after="80" w:before="120"/>
        <w:jc w:val="center"/>
      </w:pPr>
      <w:r>
        <w:rPr>
          <w:rFonts w:ascii="Arial" w:cs="Arial" w:eastAsia="Arial" w:hAnsi="Arial"/>
          <w:b/>
          <w:bCs/>
          <w:color w:val="1B2A4A"/>
          <w:sz w:val="32"/>
          <w:szCs w:val="32"/>
        </w:rPr>
        <w:t xml:space="preserve">TenderGraph AI+</w:t>
      </w:r>
    </w:p>
    <w:p>
      <w:pPr>
        <w:spacing w:after="80" w:before="0"/>
        <w:jc w:val="center"/>
      </w:pPr>
      <w:r>
        <w:rPr>
          <w:rFonts w:ascii="Arial" w:cs="Arial" w:eastAsia="Arial" w:hAnsi="Arial"/>
          <w:i/>
          <w:iCs/>
          <w:color w:val="2E5FA3"/>
          <w:sz w:val="24"/>
          <w:szCs w:val="24"/>
        </w:rPr>
        <w:t xml:space="preserve">Explainable. Auditable. Government-Ready.</w:t>
      </w:r>
    </w:p>
    <w:p>
      <w:pPr>
        <w:spacing w:after="60" w:before="0"/>
        <w:jc w:val="center"/>
      </w:pPr>
      <w:r>
        <w:rPr>
          <w:rFonts w:ascii="Arial" w:cs="Arial" w:eastAsia="Arial" w:hAnsi="Arial"/>
          <w:color w:val="555555"/>
          <w:sz w:val="20"/>
          <w:szCs w:val="20"/>
        </w:rPr>
        <w:t xml:space="preserve">Theme 3 — AI-Based Tender Evaluation and Eligibility Analysis for Government Procurement by CRPF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7F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2026-05-06T10:08:53.847Z</dcterms:created>
  <dcterms:modified xsi:type="dcterms:W3CDTF">2026-05-06T10:08:53.864Z</dcterms:modified>
</cp:coreProperties>
</file>

<file path=docProps/custom.xml><?xml version="1.0" encoding="utf-8"?>
<Properties xmlns="http://schemas.openxmlformats.org/officeDocument/2006/custom-properties" xmlns:vt="http://schemas.openxmlformats.org/officeDocument/2006/docPropsVTypes"/>
</file>