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Degree Certificate Verification System</w:t>
      </w:r>
    </w:p>
    <w:p>
      <w:pPr>
        <w:spacing w:after="60"/>
        <w:jc w:val="center"/>
      </w:pPr>
      <w:r>
        <w:rPr>
          <w:color w:val="444444"/>
          <w:sz w:val="26"/>
          <w:szCs w:val="26"/>
        </w:rPr>
        <w:t xml:space="preserve">Software Architecture &amp; Design Document</w:t>
      </w:r>
    </w:p>
    <w:p>
      <w:pPr>
        <w:pBdr>
          <w:bottom w:val="single" w:color="999999" w:sz="6" w:space="8"/>
        </w:pBdr>
        <w:spacing w:after="300"/>
        <w:jc w:val="center"/>
      </w:pPr>
      <w:r>
        <w:rPr>
          <w:i/>
          <w:iCs/>
          <w:color w:val="666666"/>
          <w:sz w:val="22"/>
          <w:szCs w:val="22"/>
        </w:rPr>
        <w:t xml:space="preserve">STT (CS 202) Course Project | IIT Gandhinagar</w:t>
      </w:r>
    </w:p>
    <w:p>
      <w:pPr>
        <w:pStyle w:val="Heading1"/>
        <w:spacing w:after="150" w:before="300"/>
      </w:pPr>
      <w:r>
        <w:t xml:space="preserve">1. Project Architecture and Design Decisions</w:t>
      </w:r>
    </w:p>
    <w:p>
      <w:pPr>
        <w:spacing w:after="150"/>
      </w:pPr>
      <w:r>
        <w:t xml:space="preserve">The system automates verification of degree-certificate details against the official student record, built around a fixed IIT Gandhinagar certificate template. Genuine certificates follow this fixed template, so their layout, fonts, and field positions are predictable. This predictability is the central design insight: it lets the system combine text extraction (OCR) with geometric layout checks, rather than relying on OCR text alone.</w:t>
      </w:r>
    </w:p>
    <w:p>
      <w:pPr>
        <w:pStyle w:val="Heading2"/>
        <w:spacing w:after="100" w:before="200"/>
      </w:pPr>
      <w:r>
        <w:t xml:space="preserve">Key Design Decisions</w:t>
      </w:r>
    </w:p>
    <w:p>
      <w:pPr>
        <w:pStyle w:val="ListParagraph"/>
        <w:numPr>
          <w:ilvl w:val="0"/>
          <w:numId w:val="2"/>
        </w:numPr>
        <w:spacing w:after="100"/>
      </w:pPr>
      <w:r>
        <w:rPr>
          <w:b/>
          <w:bCs/>
        </w:rPr>
        <w:t xml:space="preserve">Template-anchored verification instead of free-form parsing. </w:t>
      </w:r>
      <w:r>
        <w:t xml:space="preserve">Because every certificate shares one fixed layout, fields are cropped from known pixel regions rather than located dynamically. This makes OCR far more reliable and keeps the check simple.</w:t>
      </w:r>
    </w:p>
    <w:p>
      <w:pPr>
        <w:pStyle w:val="ListParagraph"/>
        <w:numPr>
          <w:ilvl w:val="0"/>
          <w:numId w:val="2"/>
        </w:numPr>
        <w:spacing w:after="100"/>
      </w:pPr>
      <w:r>
        <w:rPr>
          <w:b/>
          <w:bCs/>
        </w:rPr>
        <w:t xml:space="preserve">Separate static vs. dynamic field checks. </w:t>
      </w:r>
      <w:r>
        <w:t xml:space="preserve">Static text (labels, boilerplate) is verified by fixed pixel coordinates, while dynamic (student-specific) text is verified by line center, width, and baseline — since its exact position can shift slightly with name length.</w:t>
      </w:r>
    </w:p>
    <w:p>
      <w:pPr>
        <w:pStyle w:val="ListParagraph"/>
        <w:numPr>
          <w:ilvl w:val="0"/>
          <w:numId w:val="2"/>
        </w:numPr>
        <w:spacing w:after="100"/>
      </w:pPr>
      <w:r>
        <w:rPr>
          <w:b/>
          <w:bCs/>
        </w:rPr>
        <w:t xml:space="preserve">Field-specific matching strategies rather than one generic comparator. </w:t>
      </w:r>
      <w:r>
        <w:t xml:space="preserve">Roll numbers need exact matches, names need fuzzy tolerance for OCR noise, and degree/branch need vocabulary matching — so each field type gets the comparison method suited to it.</w:t>
      </w:r>
    </w:p>
    <w:p>
      <w:pPr>
        <w:pStyle w:val="ListParagraph"/>
        <w:numPr>
          <w:ilvl w:val="0"/>
          <w:numId w:val="2"/>
        </w:numPr>
        <w:spacing w:after="100"/>
      </w:pPr>
      <w:r>
        <w:rPr>
          <w:b/>
          <w:bCs/>
        </w:rPr>
        <w:t xml:space="preserve">Confidence scoring with hard overrides. </w:t>
      </w:r>
      <w:r>
        <w:t xml:space="preserve">A high overall score must never mask a critical mismatch, so critical fields (roll number, degree) can force a case to review regardless of the aggregate score.</w:t>
      </w:r>
    </w:p>
    <w:p>
      <w:pPr>
        <w:pStyle w:val="ListParagraph"/>
        <w:numPr>
          <w:ilvl w:val="0"/>
          <w:numId w:val="2"/>
        </w:numPr>
        <w:spacing w:after="100"/>
      </w:pPr>
      <w:r>
        <w:rPr>
          <w:b/>
          <w:bCs/>
        </w:rPr>
        <w:t xml:space="preserve">Human-in-the-loop, not full automation. </w:t>
      </w:r>
      <w:r>
        <w:t xml:space="preserve">The system is designed to auto-verify confident cases and route uncertain or flagged ones to staff, keeping a human decision-maker for edge cases.</w:t>
      </w:r>
    </w:p>
    <w:p>
      <w:pPr>
        <w:pStyle w:val="Heading2"/>
        <w:spacing w:after="100" w:before="200"/>
      </w:pPr>
      <w:r>
        <w:t xml:space="preserve">Frameworks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1"/>
        <w:gridCol w:w="2191"/>
        <w:gridCol w:w="4979"/>
      </w:tblGrid>
      <w:tr>
        <w:trPr>
          <w:tblHeader/>
        </w:trPr>
        <w:tc>
          <w:tcPr>
            <w:tcW w:type="dxa" w:w="2191"/>
            <w:shd w:fill="1F3864" w:val="clear"/>
            <w:tcMar>
              <w:top w:type="dxa" w:w="80"/>
              <w:left w:type="dxa" w:w="100"/>
              <w:bottom w:type="dxa" w:w="80"/>
              <w:right w:type="dxa" w:w="100"/>
            </w:tcMar>
          </w:tcPr>
          <w:p>
            <w:r>
              <w:rPr>
                <w:b/>
                <w:bCs/>
                <w:color w:val="FFFFFF"/>
                <w:sz w:val="20"/>
                <w:szCs w:val="20"/>
              </w:rPr>
              <w:t xml:space="preserve">Component</w:t>
            </w:r>
          </w:p>
        </w:tc>
        <w:tc>
          <w:tcPr>
            <w:tcW w:type="dxa" w:w="2191"/>
            <w:shd w:fill="1F3864" w:val="clear"/>
            <w:tcMar>
              <w:top w:type="dxa" w:w="80"/>
              <w:left w:type="dxa" w:w="100"/>
              <w:bottom w:type="dxa" w:w="80"/>
              <w:right w:type="dxa" w:w="100"/>
            </w:tcMar>
          </w:tcPr>
          <w:p>
            <w:r>
              <w:rPr>
                <w:b/>
                <w:bCs/>
                <w:color w:val="FFFFFF"/>
                <w:sz w:val="20"/>
                <w:szCs w:val="20"/>
              </w:rPr>
              <w:t xml:space="preserve">Tool / Library</w:t>
            </w:r>
          </w:p>
        </w:tc>
        <w:tc>
          <w:tcPr>
            <w:tcW w:type="dxa" w:w="4979"/>
            <w:shd w:fill="1F3864" w:val="clear"/>
            <w:tcMar>
              <w:top w:type="dxa" w:w="80"/>
              <w:left w:type="dxa" w:w="100"/>
              <w:bottom w:type="dxa" w:w="80"/>
              <w:right w:type="dxa" w:w="100"/>
            </w:tcMar>
          </w:tcPr>
          <w:p>
            <w:r>
              <w:rPr>
                <w:b/>
                <w:bCs/>
                <w:color w:val="FFFFFF"/>
                <w:sz w:val="20"/>
                <w:szCs w:val="20"/>
              </w:rPr>
              <w:t xml:space="preserve">Purpose</w:t>
            </w:r>
          </w:p>
        </w:tc>
      </w:tr>
      <w:tr>
        <w:tc>
          <w:tcPr>
            <w:tcW w:type="dxa" w:w="2191"/>
            <w:tcMar>
              <w:top w:type="dxa" w:w="80"/>
              <w:left w:type="dxa" w:w="100"/>
              <w:bottom w:type="dxa" w:w="80"/>
              <w:right w:type="dxa" w:w="100"/>
            </w:tcMar>
          </w:tcPr>
          <w:p>
            <w:r>
              <w:rPr>
                <w:b w:val="false"/>
                <w:bCs w:val="false"/>
                <w:color w:val="000000"/>
                <w:sz w:val="20"/>
                <w:szCs w:val="20"/>
              </w:rPr>
              <w:t xml:space="preserve">Language</w:t>
            </w:r>
          </w:p>
        </w:tc>
        <w:tc>
          <w:tcPr>
            <w:tcW w:type="dxa" w:w="2191"/>
            <w:tcMar>
              <w:top w:type="dxa" w:w="80"/>
              <w:left w:type="dxa" w:w="100"/>
              <w:bottom w:type="dxa" w:w="80"/>
              <w:right w:type="dxa" w:w="100"/>
            </w:tcMar>
          </w:tcPr>
          <w:p>
            <w:r>
              <w:rPr>
                <w:b w:val="false"/>
                <w:bCs w:val="false"/>
                <w:color w:val="000000"/>
                <w:sz w:val="20"/>
                <w:szCs w:val="20"/>
              </w:rPr>
              <w:t xml:space="preserve">Python</w:t>
            </w:r>
          </w:p>
        </w:tc>
        <w:tc>
          <w:tcPr>
            <w:tcW w:type="dxa" w:w="4979"/>
            <w:tcMar>
              <w:top w:type="dxa" w:w="80"/>
              <w:left w:type="dxa" w:w="100"/>
              <w:bottom w:type="dxa" w:w="80"/>
              <w:right w:type="dxa" w:w="100"/>
            </w:tcMar>
          </w:tcPr>
          <w:p>
            <w:r>
              <w:rPr>
                <w:b w:val="false"/>
                <w:bCs w:val="false"/>
                <w:color w:val="000000"/>
                <w:sz w:val="20"/>
                <w:szCs w:val="20"/>
              </w:rPr>
              <w:t xml:space="preserve">Core implementation language</w:t>
            </w:r>
          </w:p>
        </w:tc>
      </w:tr>
      <w:tr>
        <w:tc>
          <w:tcPr>
            <w:tcW w:type="dxa" w:w="2191"/>
            <w:tcMar>
              <w:top w:type="dxa" w:w="80"/>
              <w:left w:type="dxa" w:w="100"/>
              <w:bottom w:type="dxa" w:w="80"/>
              <w:right w:type="dxa" w:w="100"/>
            </w:tcMar>
          </w:tcPr>
          <w:p>
            <w:r>
              <w:rPr>
                <w:b w:val="false"/>
                <w:bCs w:val="false"/>
                <w:color w:val="000000"/>
                <w:sz w:val="20"/>
                <w:szCs w:val="20"/>
              </w:rPr>
              <w:t xml:space="preserve">Image processing</w:t>
            </w:r>
          </w:p>
        </w:tc>
        <w:tc>
          <w:tcPr>
            <w:tcW w:type="dxa" w:w="2191"/>
            <w:tcMar>
              <w:top w:type="dxa" w:w="80"/>
              <w:left w:type="dxa" w:w="100"/>
              <w:bottom w:type="dxa" w:w="80"/>
              <w:right w:type="dxa" w:w="100"/>
            </w:tcMar>
          </w:tcPr>
          <w:p>
            <w:r>
              <w:rPr>
                <w:b w:val="false"/>
                <w:bCs w:val="false"/>
                <w:color w:val="000000"/>
                <w:sz w:val="20"/>
                <w:szCs w:val="20"/>
              </w:rPr>
              <w:t xml:space="preserve">OpenCV</w:t>
            </w:r>
          </w:p>
        </w:tc>
        <w:tc>
          <w:tcPr>
            <w:tcW w:type="dxa" w:w="4979"/>
            <w:tcMar>
              <w:top w:type="dxa" w:w="80"/>
              <w:left w:type="dxa" w:w="100"/>
              <w:bottom w:type="dxa" w:w="80"/>
              <w:right w:type="dxa" w:w="100"/>
            </w:tcMar>
          </w:tcPr>
          <w:p>
            <w:r>
              <w:rPr>
                <w:b w:val="false"/>
                <w:bCs w:val="false"/>
                <w:color w:val="000000"/>
                <w:sz w:val="20"/>
                <w:szCs w:val="20"/>
              </w:rPr>
              <w:t xml:space="preserve">Alignment, cropping of fixed field regions</w:t>
            </w:r>
          </w:p>
        </w:tc>
      </w:tr>
      <w:tr>
        <w:tc>
          <w:tcPr>
            <w:tcW w:type="dxa" w:w="2191"/>
            <w:tcMar>
              <w:top w:type="dxa" w:w="80"/>
              <w:left w:type="dxa" w:w="100"/>
              <w:bottom w:type="dxa" w:w="80"/>
              <w:right w:type="dxa" w:w="100"/>
            </w:tcMar>
          </w:tcPr>
          <w:p>
            <w:r>
              <w:rPr>
                <w:b w:val="false"/>
                <w:bCs w:val="false"/>
                <w:color w:val="000000"/>
                <w:sz w:val="20"/>
                <w:szCs w:val="20"/>
              </w:rPr>
              <w:t xml:space="preserve">OCR</w:t>
            </w:r>
          </w:p>
        </w:tc>
        <w:tc>
          <w:tcPr>
            <w:tcW w:type="dxa" w:w="2191"/>
            <w:tcMar>
              <w:top w:type="dxa" w:w="80"/>
              <w:left w:type="dxa" w:w="100"/>
              <w:bottom w:type="dxa" w:w="80"/>
              <w:right w:type="dxa" w:w="100"/>
            </w:tcMar>
          </w:tcPr>
          <w:p>
            <w:r>
              <w:rPr>
                <w:b w:val="false"/>
                <w:bCs w:val="false"/>
                <w:color w:val="000000"/>
                <w:sz w:val="20"/>
                <w:szCs w:val="20"/>
              </w:rPr>
              <w:t xml:space="preserve">Tesseract</w:t>
            </w:r>
          </w:p>
        </w:tc>
        <w:tc>
          <w:tcPr>
            <w:tcW w:type="dxa" w:w="4979"/>
            <w:tcMar>
              <w:top w:type="dxa" w:w="80"/>
              <w:left w:type="dxa" w:w="100"/>
              <w:bottom w:type="dxa" w:w="80"/>
              <w:right w:type="dxa" w:w="100"/>
            </w:tcMar>
          </w:tcPr>
          <w:p>
            <w:r>
              <w:rPr>
                <w:b w:val="false"/>
                <w:bCs w:val="false"/>
                <w:color w:val="000000"/>
                <w:sz w:val="20"/>
                <w:szCs w:val="20"/>
              </w:rPr>
              <w:t xml:space="preserve">Text extraction per field</w:t>
            </w:r>
          </w:p>
        </w:tc>
      </w:tr>
      <w:tr>
        <w:tc>
          <w:tcPr>
            <w:tcW w:type="dxa" w:w="2191"/>
            <w:tcMar>
              <w:top w:type="dxa" w:w="80"/>
              <w:left w:type="dxa" w:w="100"/>
              <w:bottom w:type="dxa" w:w="80"/>
              <w:right w:type="dxa" w:w="100"/>
            </w:tcMar>
          </w:tcPr>
          <w:p>
            <w:r>
              <w:rPr>
                <w:b w:val="false"/>
                <w:bCs w:val="false"/>
                <w:color w:val="000000"/>
                <w:sz w:val="20"/>
                <w:szCs w:val="20"/>
              </w:rPr>
              <w:t xml:space="preserve">Fuzzy matching</w:t>
            </w:r>
          </w:p>
        </w:tc>
        <w:tc>
          <w:tcPr>
            <w:tcW w:type="dxa" w:w="2191"/>
            <w:tcMar>
              <w:top w:type="dxa" w:w="80"/>
              <w:left w:type="dxa" w:w="100"/>
              <w:bottom w:type="dxa" w:w="80"/>
              <w:right w:type="dxa" w:w="100"/>
            </w:tcMar>
          </w:tcPr>
          <w:p>
            <w:r>
              <w:rPr>
                <w:b w:val="false"/>
                <w:bCs w:val="false"/>
                <w:color w:val="000000"/>
                <w:sz w:val="20"/>
                <w:szCs w:val="20"/>
              </w:rPr>
              <w:t xml:space="preserve">RapidFuzz</w:t>
            </w:r>
          </w:p>
        </w:tc>
        <w:tc>
          <w:tcPr>
            <w:tcW w:type="dxa" w:w="4979"/>
            <w:tcMar>
              <w:top w:type="dxa" w:w="80"/>
              <w:left w:type="dxa" w:w="100"/>
              <w:bottom w:type="dxa" w:w="80"/>
              <w:right w:type="dxa" w:w="100"/>
            </w:tcMar>
          </w:tcPr>
          <w:p>
            <w:r>
              <w:rPr>
                <w:b w:val="false"/>
                <w:bCs w:val="false"/>
                <w:color w:val="000000"/>
                <w:sz w:val="20"/>
                <w:szCs w:val="20"/>
              </w:rPr>
              <w:t xml:space="preserve">Similarity scoring for name fields</w:t>
            </w:r>
          </w:p>
        </w:tc>
      </w:tr>
      <w:tr>
        <w:tc>
          <w:tcPr>
            <w:tcW w:type="dxa" w:w="2191"/>
            <w:tcMar>
              <w:top w:type="dxa" w:w="80"/>
              <w:left w:type="dxa" w:w="100"/>
              <w:bottom w:type="dxa" w:w="80"/>
              <w:right w:type="dxa" w:w="100"/>
            </w:tcMar>
          </w:tcPr>
          <w:p>
            <w:r>
              <w:rPr>
                <w:b w:val="false"/>
                <w:bCs w:val="false"/>
                <w:color w:val="000000"/>
                <w:sz w:val="20"/>
                <w:szCs w:val="20"/>
              </w:rPr>
              <w:t xml:space="preserve">Data store</w:t>
            </w:r>
          </w:p>
        </w:tc>
        <w:tc>
          <w:tcPr>
            <w:tcW w:type="dxa" w:w="2191"/>
            <w:tcMar>
              <w:top w:type="dxa" w:w="80"/>
              <w:left w:type="dxa" w:w="100"/>
              <w:bottom w:type="dxa" w:w="80"/>
              <w:right w:type="dxa" w:w="100"/>
            </w:tcMar>
          </w:tcPr>
          <w:p>
            <w:r>
              <w:rPr>
                <w:b w:val="false"/>
                <w:bCs w:val="false"/>
                <w:color w:val="000000"/>
                <w:sz w:val="20"/>
                <w:szCs w:val="20"/>
              </w:rPr>
              <w:t xml:space="preserve">SQLite</w:t>
            </w:r>
          </w:p>
        </w:tc>
        <w:tc>
          <w:tcPr>
            <w:tcW w:type="dxa" w:w="4979"/>
            <w:tcMar>
              <w:top w:type="dxa" w:w="80"/>
              <w:left w:type="dxa" w:w="100"/>
              <w:bottom w:type="dxa" w:w="80"/>
              <w:right w:type="dxa" w:w="100"/>
            </w:tcMar>
          </w:tcPr>
          <w:p>
            <w:r>
              <w:rPr>
                <w:b w:val="false"/>
                <w:bCs w:val="false"/>
                <w:color w:val="000000"/>
                <w:sz w:val="20"/>
                <w:szCs w:val="20"/>
              </w:rPr>
              <w:t xml:space="preserve">Student roster and reference records</w:t>
            </w:r>
          </w:p>
        </w:tc>
      </w:tr>
      <w:tr>
        <w:tc>
          <w:tcPr>
            <w:tcW w:type="dxa" w:w="2191"/>
            <w:tcMar>
              <w:top w:type="dxa" w:w="80"/>
              <w:left w:type="dxa" w:w="100"/>
              <w:bottom w:type="dxa" w:w="80"/>
              <w:right w:type="dxa" w:w="100"/>
            </w:tcMar>
          </w:tcPr>
          <w:p>
            <w:r>
              <w:rPr>
                <w:b w:val="false"/>
                <w:bCs w:val="false"/>
                <w:color w:val="000000"/>
                <w:sz w:val="20"/>
                <w:szCs w:val="20"/>
              </w:rPr>
              <w:t xml:space="preserve">Service layer</w:t>
            </w:r>
          </w:p>
        </w:tc>
        <w:tc>
          <w:tcPr>
            <w:tcW w:type="dxa" w:w="2191"/>
            <w:tcMar>
              <w:top w:type="dxa" w:w="80"/>
              <w:left w:type="dxa" w:w="100"/>
              <w:bottom w:type="dxa" w:w="80"/>
              <w:right w:type="dxa" w:w="100"/>
            </w:tcMar>
          </w:tcPr>
          <w:p>
            <w:r>
              <w:rPr>
                <w:b w:val="false"/>
                <w:bCs w:val="false"/>
                <w:color w:val="000000"/>
                <w:sz w:val="20"/>
                <w:szCs w:val="20"/>
              </w:rPr>
              <w:t xml:space="preserve">FastAPI</w:t>
            </w:r>
          </w:p>
        </w:tc>
        <w:tc>
          <w:tcPr>
            <w:tcW w:type="dxa" w:w="4979"/>
            <w:tcMar>
              <w:top w:type="dxa" w:w="80"/>
              <w:left w:type="dxa" w:w="100"/>
              <w:bottom w:type="dxa" w:w="80"/>
              <w:right w:type="dxa" w:w="100"/>
            </w:tcMar>
          </w:tcPr>
          <w:p>
            <w:r>
              <w:rPr>
                <w:b w:val="false"/>
                <w:bCs w:val="false"/>
                <w:color w:val="000000"/>
                <w:sz w:val="20"/>
                <w:szCs w:val="20"/>
              </w:rPr>
              <w:t xml:space="preserve">API for verification pipeline</w:t>
            </w:r>
          </w:p>
        </w:tc>
      </w:tr>
    </w:tbl>
    <w:p>
      <w:pPr>
        <w:pStyle w:val="Heading1"/>
        <w:spacing w:after="150" w:before="300"/>
      </w:pPr>
      <w:r>
        <w:t xml:space="preserve">2. Requirements the Architecture Focuses On</w:t>
      </w:r>
    </w:p>
    <w:p>
      <w:pPr>
        <w:spacing w:after="150"/>
      </w:pPr>
      <w:r>
        <w:t xml:space="preserve">The architecture is driven by a small set of quality attributes that matter most for an institute-scale certificate verification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88"/>
        <w:gridCol w:w="6572"/>
      </w:tblGrid>
      <w:tr>
        <w:trPr>
          <w:tblHeader/>
        </w:trPr>
        <w:tc>
          <w:tcPr>
            <w:tcW w:type="dxa" w:w="2788"/>
            <w:shd w:fill="1F3864" w:val="clear"/>
            <w:tcMar>
              <w:top w:type="dxa" w:w="80"/>
              <w:left w:type="dxa" w:w="100"/>
              <w:bottom w:type="dxa" w:w="80"/>
              <w:right w:type="dxa" w:w="100"/>
            </w:tcMar>
          </w:tcPr>
          <w:p>
            <w:r>
              <w:rPr>
                <w:b/>
                <w:bCs/>
                <w:color w:val="FFFFFF"/>
                <w:sz w:val="20"/>
                <w:szCs w:val="20"/>
              </w:rPr>
              <w:t xml:space="preserve">Requirement</w:t>
            </w:r>
          </w:p>
        </w:tc>
        <w:tc>
          <w:tcPr>
            <w:tcW w:type="dxa" w:w="6572"/>
            <w:shd w:fill="1F3864" w:val="clear"/>
            <w:tcMar>
              <w:top w:type="dxa" w:w="80"/>
              <w:left w:type="dxa" w:w="100"/>
              <w:bottom w:type="dxa" w:w="80"/>
              <w:right w:type="dxa" w:w="100"/>
            </w:tcMar>
          </w:tcPr>
          <w:p>
            <w:r>
              <w:rPr>
                <w:b/>
                <w:bCs/>
                <w:color w:val="FFFFFF"/>
                <w:sz w:val="20"/>
                <w:szCs w:val="20"/>
              </w:rPr>
              <w:t xml:space="preserve">How the Architecture Addresses It</w:t>
            </w:r>
          </w:p>
        </w:tc>
      </w:tr>
      <w:tr>
        <w:tc>
          <w:tcPr>
            <w:tcW w:type="dxa" w:w="2788"/>
            <w:tcMar>
              <w:top w:type="dxa" w:w="80"/>
              <w:left w:type="dxa" w:w="100"/>
              <w:bottom w:type="dxa" w:w="80"/>
              <w:right w:type="dxa" w:w="100"/>
            </w:tcMar>
          </w:tcPr>
          <w:p>
            <w:r>
              <w:rPr>
                <w:b w:val="false"/>
                <w:bCs w:val="false"/>
                <w:color w:val="000000"/>
                <w:sz w:val="20"/>
                <w:szCs w:val="20"/>
              </w:rPr>
              <w:t xml:space="preserve">Functionality</w:t>
            </w:r>
          </w:p>
        </w:tc>
        <w:tc>
          <w:tcPr>
            <w:tcW w:type="dxa" w:w="6572"/>
            <w:tcMar>
              <w:top w:type="dxa" w:w="80"/>
              <w:left w:type="dxa" w:w="100"/>
              <w:bottom w:type="dxa" w:w="80"/>
              <w:right w:type="dxa" w:w="100"/>
            </w:tcMar>
          </w:tcPr>
          <w:p>
            <w:r>
              <w:rPr>
                <w:b w:val="false"/>
                <w:bCs w:val="false"/>
                <w:color w:val="000000"/>
                <w:sz w:val="20"/>
                <w:szCs w:val="20"/>
              </w:rPr>
              <w:t xml:space="preserve">Verifies bilingual (Hindi/English) names, degree, branch, and layout against the official roster and template in a single pipeline.</w:t>
            </w:r>
          </w:p>
        </w:tc>
      </w:tr>
      <w:tr>
        <w:tc>
          <w:tcPr>
            <w:tcW w:type="dxa" w:w="2788"/>
            <w:tcMar>
              <w:top w:type="dxa" w:w="80"/>
              <w:left w:type="dxa" w:w="100"/>
              <w:bottom w:type="dxa" w:w="80"/>
              <w:right w:type="dxa" w:w="100"/>
            </w:tcMar>
          </w:tcPr>
          <w:p>
            <w:r>
              <w:rPr>
                <w:b w:val="false"/>
                <w:bCs w:val="false"/>
                <w:color w:val="000000"/>
                <w:sz w:val="20"/>
                <w:szCs w:val="20"/>
              </w:rPr>
              <w:t xml:space="preserve">Accuracy / Reliability</w:t>
            </w:r>
          </w:p>
        </w:tc>
        <w:tc>
          <w:tcPr>
            <w:tcW w:type="dxa" w:w="6572"/>
            <w:tcMar>
              <w:top w:type="dxa" w:w="80"/>
              <w:left w:type="dxa" w:w="100"/>
              <w:bottom w:type="dxa" w:w="80"/>
              <w:right w:type="dxa" w:w="100"/>
            </w:tcMar>
          </w:tcPr>
          <w:p>
            <w:r>
              <w:rPr>
                <w:b w:val="false"/>
                <w:bCs w:val="false"/>
                <w:color w:val="000000"/>
                <w:sz w:val="20"/>
                <w:szCs w:val="20"/>
              </w:rPr>
              <w:t xml:space="preserve">Combines OCR text matching with independent pixel-level layout checks, so a single point of failure (e.g. OCR noise) cannot silently pass a bad certificate.</w:t>
            </w:r>
          </w:p>
        </w:tc>
      </w:tr>
      <w:tr>
        <w:tc>
          <w:tcPr>
            <w:tcW w:type="dxa" w:w="2788"/>
            <w:tcMar>
              <w:top w:type="dxa" w:w="80"/>
              <w:left w:type="dxa" w:w="100"/>
              <w:bottom w:type="dxa" w:w="80"/>
              <w:right w:type="dxa" w:w="100"/>
            </w:tcMar>
          </w:tcPr>
          <w:p>
            <w:r>
              <w:rPr>
                <w:b w:val="false"/>
                <w:bCs w:val="false"/>
                <w:color w:val="000000"/>
                <w:sz w:val="20"/>
                <w:szCs w:val="20"/>
              </w:rPr>
              <w:t xml:space="preserve">Robustness to Noise</w:t>
            </w:r>
          </w:p>
        </w:tc>
        <w:tc>
          <w:tcPr>
            <w:tcW w:type="dxa" w:w="6572"/>
            <w:tcMar>
              <w:top w:type="dxa" w:w="80"/>
              <w:left w:type="dxa" w:w="100"/>
              <w:bottom w:type="dxa" w:w="80"/>
              <w:right w:type="dxa" w:w="100"/>
            </w:tcMar>
          </w:tcPr>
          <w:p>
            <w:r>
              <w:rPr>
                <w:b w:val="false"/>
                <w:bCs w:val="false"/>
                <w:color w:val="000000"/>
                <w:sz w:val="20"/>
                <w:szCs w:val="20"/>
              </w:rPr>
              <w:t xml:space="preserve">Fuzzy matching (RapidFuzz) tolerates minor OCR errors in names without letting genuine mismatches slip through.</w:t>
            </w:r>
          </w:p>
        </w:tc>
      </w:tr>
      <w:tr>
        <w:tc>
          <w:tcPr>
            <w:tcW w:type="dxa" w:w="2788"/>
            <w:tcMar>
              <w:top w:type="dxa" w:w="80"/>
              <w:left w:type="dxa" w:w="100"/>
              <w:bottom w:type="dxa" w:w="80"/>
              <w:right w:type="dxa" w:w="100"/>
            </w:tcMar>
          </w:tcPr>
          <w:p>
            <w:r>
              <w:rPr>
                <w:b w:val="false"/>
                <w:bCs w:val="false"/>
                <w:color w:val="000000"/>
                <w:sz w:val="20"/>
                <w:szCs w:val="20"/>
              </w:rPr>
              <w:t xml:space="preserve">Security / Tamper Resistance</w:t>
            </w:r>
          </w:p>
        </w:tc>
        <w:tc>
          <w:tcPr>
            <w:tcW w:type="dxa" w:w="6572"/>
            <w:tcMar>
              <w:top w:type="dxa" w:w="80"/>
              <w:left w:type="dxa" w:w="100"/>
              <w:bottom w:type="dxa" w:w="80"/>
              <w:right w:type="dxa" w:w="100"/>
            </w:tcMar>
          </w:tcPr>
          <w:p>
            <w:r>
              <w:rPr>
                <w:b w:val="false"/>
                <w:bCs w:val="false"/>
                <w:color w:val="000000"/>
                <w:sz w:val="20"/>
                <w:szCs w:val="20"/>
              </w:rPr>
              <w:t xml:space="preserve">Detects alterations such as changed names, degree/branch, or subtly repositioned fields, which is the primary tampering threat model.</w:t>
            </w:r>
          </w:p>
        </w:tc>
      </w:tr>
      <w:tr>
        <w:tc>
          <w:tcPr>
            <w:tcW w:type="dxa" w:w="2788"/>
            <w:tcMar>
              <w:top w:type="dxa" w:w="80"/>
              <w:left w:type="dxa" w:w="100"/>
              <w:bottom w:type="dxa" w:w="80"/>
              <w:right w:type="dxa" w:w="100"/>
            </w:tcMar>
          </w:tcPr>
          <w:p>
            <w:r>
              <w:rPr>
                <w:b w:val="false"/>
                <w:bCs w:val="false"/>
                <w:color w:val="000000"/>
                <w:sz w:val="20"/>
                <w:szCs w:val="20"/>
              </w:rPr>
              <w:t xml:space="preserve">Scalability</w:t>
            </w:r>
          </w:p>
        </w:tc>
        <w:tc>
          <w:tcPr>
            <w:tcW w:type="dxa" w:w="6572"/>
            <w:tcMar>
              <w:top w:type="dxa" w:w="80"/>
              <w:left w:type="dxa" w:w="100"/>
              <w:bottom w:type="dxa" w:w="80"/>
              <w:right w:type="dxa" w:w="100"/>
            </w:tcMar>
          </w:tcPr>
          <w:p>
            <w:r>
              <w:rPr>
                <w:b w:val="false"/>
                <w:bCs w:val="false"/>
                <w:color w:val="000000"/>
                <w:sz w:val="20"/>
                <w:szCs w:val="20"/>
              </w:rPr>
              <w:t xml:space="preserve">Automates a process that is manual today, letting it scale to large batches of certificates without proportional increases in staff effort.</w:t>
            </w:r>
          </w:p>
        </w:tc>
      </w:tr>
      <w:tr>
        <w:tc>
          <w:tcPr>
            <w:tcW w:type="dxa" w:w="2788"/>
            <w:tcMar>
              <w:top w:type="dxa" w:w="80"/>
              <w:left w:type="dxa" w:w="100"/>
              <w:bottom w:type="dxa" w:w="80"/>
              <w:right w:type="dxa" w:w="100"/>
            </w:tcMar>
          </w:tcPr>
          <w:p>
            <w:r>
              <w:rPr>
                <w:b w:val="false"/>
                <w:bCs w:val="false"/>
                <w:color w:val="000000"/>
                <w:sz w:val="20"/>
                <w:szCs w:val="20"/>
              </w:rPr>
              <w:t xml:space="preserve">Extensibility</w:t>
            </w:r>
          </w:p>
        </w:tc>
        <w:tc>
          <w:tcPr>
            <w:tcW w:type="dxa" w:w="6572"/>
            <w:tcMar>
              <w:top w:type="dxa" w:w="80"/>
              <w:left w:type="dxa" w:w="100"/>
              <w:bottom w:type="dxa" w:w="80"/>
              <w:right w:type="dxa" w:w="100"/>
            </w:tcMar>
          </w:tcPr>
          <w:p>
            <w:r>
              <w:rPr>
                <w:b w:val="false"/>
                <w:bCs w:val="false"/>
                <w:color w:val="000000"/>
                <w:sz w:val="20"/>
                <w:szCs w:val="20"/>
              </w:rPr>
              <w:t xml:space="preserve">Field-specific matchers (exact, fuzzy, vocabulary, coordinate) are modular, so new field types or a new certificate template can be added without redesigning the pipeline.</w:t>
            </w:r>
          </w:p>
        </w:tc>
      </w:tr>
      <w:tr>
        <w:tc>
          <w:tcPr>
            <w:tcW w:type="dxa" w:w="2788"/>
            <w:tcMar>
              <w:top w:type="dxa" w:w="80"/>
              <w:left w:type="dxa" w:w="100"/>
              <w:bottom w:type="dxa" w:w="80"/>
              <w:right w:type="dxa" w:w="100"/>
            </w:tcMar>
          </w:tcPr>
          <w:p>
            <w:r>
              <w:rPr>
                <w:b w:val="false"/>
                <w:bCs w:val="false"/>
                <w:color w:val="000000"/>
                <w:sz w:val="20"/>
                <w:szCs w:val="20"/>
              </w:rPr>
              <w:t xml:space="preserve">Auditability</w:t>
            </w:r>
          </w:p>
        </w:tc>
        <w:tc>
          <w:tcPr>
            <w:tcW w:type="dxa" w:w="6572"/>
            <w:tcMar>
              <w:top w:type="dxa" w:w="80"/>
              <w:left w:type="dxa" w:w="100"/>
              <w:bottom w:type="dxa" w:w="80"/>
              <w:right w:type="dxa" w:w="100"/>
            </w:tcMar>
          </w:tcPr>
          <w:p>
            <w:r>
              <w:rPr>
                <w:b w:val="false"/>
                <w:bCs w:val="false"/>
                <w:color w:val="000000"/>
                <w:sz w:val="20"/>
                <w:szCs w:val="20"/>
              </w:rPr>
              <w:t xml:space="preserve">Every field produces its own confidence score, and flagged cases are routed to a staff review queue with the anomalous region highlighted.</w:t>
            </w:r>
          </w:p>
        </w:tc>
      </w:tr>
    </w:tbl>
    <w:p>
      <w:pPr>
        <w:pStyle w:val="Heading1"/>
        <w:spacing w:after="150" w:before="300"/>
      </w:pPr>
      <w:r>
        <w:t xml:space="preserve">3. Overall System Structure</w:t>
      </w:r>
    </w:p>
    <w:p>
      <w:pPr>
        <w:spacing w:after="150"/>
      </w:pPr>
      <w:r>
        <w:t xml:space="preserve">Each certificate moves through a fixed sequence of stages before a verification decision is made. The diagram below shows the run-time flow of data through the system's components.</w:t>
      </w:r>
    </w:p>
    <w:p>
      <w:pPr>
        <w:spacing w:after="150" w:before="150"/>
        <w:jc w:val="center"/>
      </w:pPr>
      <w:r>
        <w:drawing>
          <wp:inline distT="0" distB="0" distL="0" distR="0">
            <wp:extent cx="6096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457450"/>
                    </a:xfrm>
                    <a:prstGeom prst="rect">
                      <a:avLst/>
                    </a:prstGeom>
                  </pic:spPr>
                </pic:pic>
              </a:graphicData>
            </a:graphic>
          </wp:inline>
        </w:drawing>
      </w:r>
    </w:p>
    <w:p>
      <w:pPr>
        <w:spacing w:after="150"/>
      </w:pPr>
      <w:r>
        <w:t xml:space="preserve">Static text (labels and boilerplate printed by the institute) is checked against fixed pixel coordinates from the reference template. Dynamic text (student-specific fields such as name, roll number, degree, and branch) is checked using the OCR'd line's center position, width, and baseline, since minor shifts are expected depending on text length.</w:t>
      </w:r>
    </w:p>
    <w:p>
      <w:pPr>
        <w:pStyle w:val="Heading2"/>
        <w:spacing w:after="100" w:before="200"/>
      </w:pPr>
      <w:r>
        <w:t xml:space="preserve">Interfaces and Data Flow</w:t>
      </w:r>
    </w:p>
    <w:p>
      <w:pPr>
        <w:pStyle w:val="ListParagraph"/>
        <w:numPr>
          <w:ilvl w:val="0"/>
          <w:numId w:val="2"/>
        </w:numPr>
        <w:spacing w:after="100"/>
      </w:pPr>
      <w:r>
        <w:rPr>
          <w:b/>
          <w:bCs/>
        </w:rPr>
        <w:t xml:space="preserve">Input interface: </w:t>
      </w:r>
      <w:r>
        <w:t xml:space="preserve">A scanned PDF/image of a certificate enters the pipeline and is aligned to the reference template's coordinate space.</w:t>
      </w:r>
    </w:p>
    <w:p>
      <w:pPr>
        <w:pStyle w:val="ListParagraph"/>
        <w:numPr>
          <w:ilvl w:val="0"/>
          <w:numId w:val="2"/>
        </w:numPr>
        <w:spacing w:after="100"/>
      </w:pPr>
      <w:r>
        <w:rPr>
          <w:b/>
          <w:bCs/>
        </w:rPr>
        <w:t xml:space="preserve">Roster interface: </w:t>
      </w:r>
      <w:r>
        <w:t xml:space="preserve">The Roster Lookup stage queries the SQLite student database using the roll number as the key, retrieving the authoritative record to compare against.</w:t>
      </w:r>
    </w:p>
    <w:p>
      <w:pPr>
        <w:pStyle w:val="ListParagraph"/>
        <w:numPr>
          <w:ilvl w:val="0"/>
          <w:numId w:val="2"/>
        </w:numPr>
        <w:spacing w:after="100"/>
      </w:pPr>
      <w:r>
        <w:rPr>
          <w:b/>
          <w:bCs/>
        </w:rPr>
        <w:t xml:space="preserve">Comparison interface: </w:t>
      </w:r>
      <w:r>
        <w:t xml:space="preserve">The Compare stage receives OCR output plus layout coordinates and dispatches each field to the matching strategy appropriate for its type (Section 5).</w:t>
      </w:r>
    </w:p>
    <w:p>
      <w:pPr>
        <w:pStyle w:val="ListParagraph"/>
        <w:numPr>
          <w:ilvl w:val="0"/>
          <w:numId w:val="2"/>
        </w:numPr>
        <w:spacing w:after="100"/>
      </w:pPr>
      <w:r>
        <w:rPr>
          <w:b/>
          <w:bCs/>
        </w:rPr>
        <w:t xml:space="preserve">Output interface: </w:t>
      </w:r>
      <w:r>
        <w:t xml:space="preserve">The Score &amp; Route stage exposes a verification decision (auto-verified or sent to review) via the FastAPI service layer, along with per-field confidence scores.</w:t>
      </w:r>
    </w:p>
    <w:p>
      <w:pPr>
        <w:pStyle w:val="Heading1"/>
        <w:spacing w:after="150" w:before="300"/>
      </w:pPr>
      <w:r>
        <w:t xml:space="preserve">4. Major Modules and Communication</w:t>
      </w:r>
    </w:p>
    <w:p>
      <w:pPr>
        <w:spacing w:after="150"/>
      </w:pPr>
      <w:r>
        <w:t xml:space="preserve">The pipeline is organized into modules that each own one stage of verification. Data passes between them as structured records (cropped images, OCR text, coordinates, and scores), keeping each module independently testable.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90"/>
        <w:gridCol w:w="4182"/>
        <w:gridCol w:w="2788"/>
      </w:tblGrid>
      <w:tr>
        <w:trPr>
          <w:tblHeader/>
        </w:trPr>
        <w:tc>
          <w:tcPr>
            <w:tcW w:type="dxa" w:w="2390"/>
            <w:shd w:fill="1F3864" w:val="clear"/>
            <w:tcMar>
              <w:top w:type="dxa" w:w="80"/>
              <w:left w:type="dxa" w:w="100"/>
              <w:bottom w:type="dxa" w:w="80"/>
              <w:right w:type="dxa" w:w="100"/>
            </w:tcMar>
          </w:tcPr>
          <w:p>
            <w:r>
              <w:rPr>
                <w:b/>
                <w:bCs/>
                <w:color w:val="FFFFFF"/>
                <w:sz w:val="20"/>
                <w:szCs w:val="20"/>
              </w:rPr>
              <w:t xml:space="preserve">Module</w:t>
            </w:r>
          </w:p>
        </w:tc>
        <w:tc>
          <w:tcPr>
            <w:tcW w:type="dxa" w:w="4182"/>
            <w:shd w:fill="1F3864" w:val="clear"/>
            <w:tcMar>
              <w:top w:type="dxa" w:w="80"/>
              <w:left w:type="dxa" w:w="100"/>
              <w:bottom w:type="dxa" w:w="80"/>
              <w:right w:type="dxa" w:w="100"/>
            </w:tcMar>
          </w:tcPr>
          <w:p>
            <w:r>
              <w:rPr>
                <w:b/>
                <w:bCs/>
                <w:color w:val="FFFFFF"/>
                <w:sz w:val="20"/>
                <w:szCs w:val="20"/>
              </w:rPr>
              <w:t xml:space="preserve">Responsibility</w:t>
            </w:r>
          </w:p>
        </w:tc>
        <w:tc>
          <w:tcPr>
            <w:tcW w:type="dxa" w:w="2788"/>
            <w:shd w:fill="1F3864" w:val="clear"/>
            <w:tcMar>
              <w:top w:type="dxa" w:w="80"/>
              <w:left w:type="dxa" w:w="100"/>
              <w:bottom w:type="dxa" w:w="80"/>
              <w:right w:type="dxa" w:w="100"/>
            </w:tcMar>
          </w:tcPr>
          <w:p>
            <w:r>
              <w:rPr>
                <w:b/>
                <w:bCs/>
                <w:color w:val="FFFFFF"/>
                <w:sz w:val="20"/>
                <w:szCs w:val="20"/>
              </w:rPr>
              <w:t xml:space="preserve">Communicates With</w:t>
            </w:r>
          </w:p>
        </w:tc>
      </w:tr>
      <w:tr>
        <w:tc>
          <w:tcPr>
            <w:tcW w:type="dxa" w:w="2390"/>
            <w:tcMar>
              <w:top w:type="dxa" w:w="80"/>
              <w:left w:type="dxa" w:w="100"/>
              <w:bottom w:type="dxa" w:w="80"/>
              <w:right w:type="dxa" w:w="100"/>
            </w:tcMar>
          </w:tcPr>
          <w:p>
            <w:r>
              <w:rPr>
                <w:b w:val="false"/>
                <w:bCs w:val="false"/>
                <w:color w:val="000000"/>
                <w:sz w:val="20"/>
                <w:szCs w:val="20"/>
              </w:rPr>
              <w:t xml:space="preserve">Alignment Module (OpenCV)</w:t>
            </w:r>
          </w:p>
        </w:tc>
        <w:tc>
          <w:tcPr>
            <w:tcW w:type="dxa" w:w="4182"/>
            <w:tcMar>
              <w:top w:type="dxa" w:w="80"/>
              <w:left w:type="dxa" w:w="100"/>
              <w:bottom w:type="dxa" w:w="80"/>
              <w:right w:type="dxa" w:w="100"/>
            </w:tcMar>
          </w:tcPr>
          <w:p>
            <w:r>
              <w:rPr>
                <w:b w:val="false"/>
                <w:bCs w:val="false"/>
                <w:color w:val="000000"/>
                <w:sz w:val="20"/>
                <w:szCs w:val="20"/>
              </w:rPr>
              <w:t xml:space="preserve">Aligns the scanned certificate to the reference template's coordinate space.</w:t>
            </w:r>
          </w:p>
        </w:tc>
        <w:tc>
          <w:tcPr>
            <w:tcW w:type="dxa" w:w="2788"/>
            <w:tcMar>
              <w:top w:type="dxa" w:w="80"/>
              <w:left w:type="dxa" w:w="100"/>
              <w:bottom w:type="dxa" w:w="80"/>
              <w:right w:type="dxa" w:w="100"/>
            </w:tcMar>
          </w:tcPr>
          <w:p>
            <w:r>
              <w:rPr>
                <w:b w:val="false"/>
                <w:bCs w:val="false"/>
                <w:color w:val="000000"/>
                <w:sz w:val="20"/>
                <w:szCs w:val="20"/>
              </w:rPr>
              <w:t xml:space="preserve">Sends aligned image → Field Cropping Module</w:t>
            </w:r>
          </w:p>
        </w:tc>
      </w:tr>
      <w:tr>
        <w:tc>
          <w:tcPr>
            <w:tcW w:type="dxa" w:w="2390"/>
            <w:tcMar>
              <w:top w:type="dxa" w:w="80"/>
              <w:left w:type="dxa" w:w="100"/>
              <w:bottom w:type="dxa" w:w="80"/>
              <w:right w:type="dxa" w:w="100"/>
            </w:tcMar>
          </w:tcPr>
          <w:p>
            <w:r>
              <w:rPr>
                <w:b w:val="false"/>
                <w:bCs w:val="false"/>
                <w:color w:val="000000"/>
                <w:sz w:val="20"/>
                <w:szCs w:val="20"/>
              </w:rPr>
              <w:t xml:space="preserve">Field Cropping Module (OpenCV)</w:t>
            </w:r>
          </w:p>
        </w:tc>
        <w:tc>
          <w:tcPr>
            <w:tcW w:type="dxa" w:w="4182"/>
            <w:tcMar>
              <w:top w:type="dxa" w:w="80"/>
              <w:left w:type="dxa" w:w="100"/>
              <w:bottom w:type="dxa" w:w="80"/>
              <w:right w:type="dxa" w:w="100"/>
            </w:tcMar>
          </w:tcPr>
          <w:p>
            <w:r>
              <w:rPr>
                <w:b w:val="false"/>
                <w:bCs w:val="false"/>
                <w:color w:val="000000"/>
                <w:sz w:val="20"/>
                <w:szCs w:val="20"/>
              </w:rPr>
              <w:t xml:space="preserve">Crops fixed pixel regions corresponding to each field (name, roll no., degree, branch, layout markers).</w:t>
            </w:r>
          </w:p>
        </w:tc>
        <w:tc>
          <w:tcPr>
            <w:tcW w:type="dxa" w:w="2788"/>
            <w:tcMar>
              <w:top w:type="dxa" w:w="80"/>
              <w:left w:type="dxa" w:w="100"/>
              <w:bottom w:type="dxa" w:w="80"/>
              <w:right w:type="dxa" w:w="100"/>
            </w:tcMar>
          </w:tcPr>
          <w:p>
            <w:r>
              <w:rPr>
                <w:b w:val="false"/>
                <w:bCs w:val="false"/>
                <w:color w:val="000000"/>
                <w:sz w:val="20"/>
                <w:szCs w:val="20"/>
              </w:rPr>
              <w:t xml:space="preserve">Sends cropped regions → OCR Module</w:t>
            </w:r>
          </w:p>
        </w:tc>
      </w:tr>
      <w:tr>
        <w:tc>
          <w:tcPr>
            <w:tcW w:type="dxa" w:w="2390"/>
            <w:tcMar>
              <w:top w:type="dxa" w:w="80"/>
              <w:left w:type="dxa" w:w="100"/>
              <w:bottom w:type="dxa" w:w="80"/>
              <w:right w:type="dxa" w:w="100"/>
            </w:tcMar>
          </w:tcPr>
          <w:p>
            <w:r>
              <w:rPr>
                <w:b w:val="false"/>
                <w:bCs w:val="false"/>
                <w:color w:val="000000"/>
                <w:sz w:val="20"/>
                <w:szCs w:val="20"/>
              </w:rPr>
              <w:t xml:space="preserve">OCR Module (Tesseract)</w:t>
            </w:r>
          </w:p>
        </w:tc>
        <w:tc>
          <w:tcPr>
            <w:tcW w:type="dxa" w:w="4182"/>
            <w:tcMar>
              <w:top w:type="dxa" w:w="80"/>
              <w:left w:type="dxa" w:w="100"/>
              <w:bottom w:type="dxa" w:w="80"/>
              <w:right w:type="dxa" w:w="100"/>
            </w:tcMar>
          </w:tcPr>
          <w:p>
            <w:r>
              <w:rPr>
                <w:b w:val="false"/>
                <w:bCs w:val="false"/>
                <w:color w:val="000000"/>
                <w:sz w:val="20"/>
                <w:szCs w:val="20"/>
              </w:rPr>
              <w:t xml:space="preserve">Extracts text per field, in both English and Hindi where applicable.</w:t>
            </w:r>
          </w:p>
        </w:tc>
        <w:tc>
          <w:tcPr>
            <w:tcW w:type="dxa" w:w="2788"/>
            <w:tcMar>
              <w:top w:type="dxa" w:w="80"/>
              <w:left w:type="dxa" w:w="100"/>
              <w:bottom w:type="dxa" w:w="80"/>
              <w:right w:type="dxa" w:w="100"/>
            </w:tcMar>
          </w:tcPr>
          <w:p>
            <w:r>
              <w:rPr>
                <w:b w:val="false"/>
                <w:bCs w:val="false"/>
                <w:color w:val="000000"/>
                <w:sz w:val="20"/>
                <w:szCs w:val="20"/>
              </w:rPr>
              <w:t xml:space="preserve">Sends extracted text + coordinates → Comparison Module</w:t>
            </w:r>
          </w:p>
        </w:tc>
      </w:tr>
      <w:tr>
        <w:tc>
          <w:tcPr>
            <w:tcW w:type="dxa" w:w="2390"/>
            <w:tcMar>
              <w:top w:type="dxa" w:w="80"/>
              <w:left w:type="dxa" w:w="100"/>
              <w:bottom w:type="dxa" w:w="80"/>
              <w:right w:type="dxa" w:w="100"/>
            </w:tcMar>
          </w:tcPr>
          <w:p>
            <w:r>
              <w:rPr>
                <w:b w:val="false"/>
                <w:bCs w:val="false"/>
                <w:color w:val="000000"/>
                <w:sz w:val="20"/>
                <w:szCs w:val="20"/>
              </w:rPr>
              <w:t xml:space="preserve">Roster Module (SQLite)</w:t>
            </w:r>
          </w:p>
        </w:tc>
        <w:tc>
          <w:tcPr>
            <w:tcW w:type="dxa" w:w="4182"/>
            <w:tcMar>
              <w:top w:type="dxa" w:w="80"/>
              <w:left w:type="dxa" w:w="100"/>
              <w:bottom w:type="dxa" w:w="80"/>
              <w:right w:type="dxa" w:w="100"/>
            </w:tcMar>
          </w:tcPr>
          <w:p>
            <w:r>
              <w:rPr>
                <w:b w:val="false"/>
                <w:bCs w:val="false"/>
                <w:color w:val="000000"/>
                <w:sz w:val="20"/>
                <w:szCs w:val="20"/>
              </w:rPr>
              <w:t xml:space="preserve">Looks up the authoritative student record using the roll number extracted by OCR.</w:t>
            </w:r>
          </w:p>
        </w:tc>
        <w:tc>
          <w:tcPr>
            <w:tcW w:type="dxa" w:w="2788"/>
            <w:tcMar>
              <w:top w:type="dxa" w:w="80"/>
              <w:left w:type="dxa" w:w="100"/>
              <w:bottom w:type="dxa" w:w="80"/>
              <w:right w:type="dxa" w:w="100"/>
            </w:tcMar>
          </w:tcPr>
          <w:p>
            <w:r>
              <w:rPr>
                <w:b w:val="false"/>
                <w:bCs w:val="false"/>
                <w:color w:val="000000"/>
                <w:sz w:val="20"/>
                <w:szCs w:val="20"/>
              </w:rPr>
              <w:t xml:space="preserve">Sends reference record → Comparison Module</w:t>
            </w:r>
          </w:p>
        </w:tc>
      </w:tr>
      <w:tr>
        <w:tc>
          <w:tcPr>
            <w:tcW w:type="dxa" w:w="2390"/>
            <w:tcMar>
              <w:top w:type="dxa" w:w="80"/>
              <w:left w:type="dxa" w:w="100"/>
              <w:bottom w:type="dxa" w:w="80"/>
              <w:right w:type="dxa" w:w="100"/>
            </w:tcMar>
          </w:tcPr>
          <w:p>
            <w:r>
              <w:rPr>
                <w:b w:val="false"/>
                <w:bCs w:val="false"/>
                <w:color w:val="000000"/>
                <w:sz w:val="20"/>
                <w:szCs w:val="20"/>
              </w:rPr>
              <w:t xml:space="preserve">Comparison Module (RapidFuzz + rules)</w:t>
            </w:r>
          </w:p>
        </w:tc>
        <w:tc>
          <w:tcPr>
            <w:tcW w:type="dxa" w:w="4182"/>
            <w:tcMar>
              <w:top w:type="dxa" w:w="80"/>
              <w:left w:type="dxa" w:w="100"/>
              <w:bottom w:type="dxa" w:w="80"/>
              <w:right w:type="dxa" w:w="100"/>
            </w:tcMar>
          </w:tcPr>
          <w:p>
            <w:r>
              <w:rPr>
                <w:b w:val="false"/>
                <w:bCs w:val="false"/>
                <w:color w:val="000000"/>
                <w:sz w:val="20"/>
                <w:szCs w:val="20"/>
              </w:rPr>
              <w:t xml:space="preserve">Applies the field-specific matcher (exact, fuzzy, vocabulary, or coordinate check) to each field.</w:t>
            </w:r>
          </w:p>
        </w:tc>
        <w:tc>
          <w:tcPr>
            <w:tcW w:type="dxa" w:w="2788"/>
            <w:tcMar>
              <w:top w:type="dxa" w:w="80"/>
              <w:left w:type="dxa" w:w="100"/>
              <w:bottom w:type="dxa" w:w="80"/>
              <w:right w:type="dxa" w:w="100"/>
            </w:tcMar>
          </w:tcPr>
          <w:p>
            <w:r>
              <w:rPr>
                <w:b w:val="false"/>
                <w:bCs w:val="false"/>
                <w:color w:val="000000"/>
                <w:sz w:val="20"/>
                <w:szCs w:val="20"/>
              </w:rPr>
              <w:t xml:space="preserve">Sends per-field results → Scoring Module</w:t>
            </w:r>
          </w:p>
        </w:tc>
      </w:tr>
      <w:tr>
        <w:tc>
          <w:tcPr>
            <w:tcW w:type="dxa" w:w="2390"/>
            <w:tcMar>
              <w:top w:type="dxa" w:w="80"/>
              <w:left w:type="dxa" w:w="100"/>
              <w:bottom w:type="dxa" w:w="80"/>
              <w:right w:type="dxa" w:w="100"/>
            </w:tcMar>
          </w:tcPr>
          <w:p>
            <w:r>
              <w:rPr>
                <w:b w:val="false"/>
                <w:bCs w:val="false"/>
                <w:color w:val="000000"/>
                <w:sz w:val="20"/>
                <w:szCs w:val="20"/>
              </w:rPr>
              <w:t xml:space="preserve">Scoring &amp; Routing Module</w:t>
            </w:r>
          </w:p>
        </w:tc>
        <w:tc>
          <w:tcPr>
            <w:tcW w:type="dxa" w:w="4182"/>
            <w:tcMar>
              <w:top w:type="dxa" w:w="80"/>
              <w:left w:type="dxa" w:w="100"/>
              <w:bottom w:type="dxa" w:w="80"/>
              <w:right w:type="dxa" w:w="100"/>
            </w:tcMar>
          </w:tcPr>
          <w:p>
            <w:r>
              <w:rPr>
                <w:b w:val="false"/>
                <w:bCs w:val="false"/>
                <w:color w:val="000000"/>
                <w:sz w:val="20"/>
                <w:szCs w:val="20"/>
              </w:rPr>
              <w:t xml:space="preserve">Aggregates field-level results into a confidence score and applies critical-field override rules.</w:t>
            </w:r>
          </w:p>
        </w:tc>
        <w:tc>
          <w:tcPr>
            <w:tcW w:type="dxa" w:w="2788"/>
            <w:tcMar>
              <w:top w:type="dxa" w:w="80"/>
              <w:left w:type="dxa" w:w="100"/>
              <w:bottom w:type="dxa" w:w="80"/>
              <w:right w:type="dxa" w:w="100"/>
            </w:tcMar>
          </w:tcPr>
          <w:p>
            <w:r>
              <w:rPr>
                <w:b w:val="false"/>
                <w:bCs w:val="false"/>
                <w:color w:val="000000"/>
                <w:sz w:val="20"/>
                <w:szCs w:val="20"/>
              </w:rPr>
              <w:t xml:space="preserve">Sends decision → API / Review Queue</w:t>
            </w:r>
          </w:p>
        </w:tc>
      </w:tr>
      <w:tr>
        <w:tc>
          <w:tcPr>
            <w:tcW w:type="dxa" w:w="2390"/>
            <w:tcMar>
              <w:top w:type="dxa" w:w="80"/>
              <w:left w:type="dxa" w:w="100"/>
              <w:bottom w:type="dxa" w:w="80"/>
              <w:right w:type="dxa" w:w="100"/>
            </w:tcMar>
          </w:tcPr>
          <w:p>
            <w:r>
              <w:rPr>
                <w:b w:val="false"/>
                <w:bCs w:val="false"/>
                <w:color w:val="000000"/>
                <w:sz w:val="20"/>
                <w:szCs w:val="20"/>
              </w:rPr>
              <w:t xml:space="preserve">API Layer (FastAPI)</w:t>
            </w:r>
          </w:p>
        </w:tc>
        <w:tc>
          <w:tcPr>
            <w:tcW w:type="dxa" w:w="4182"/>
            <w:tcMar>
              <w:top w:type="dxa" w:w="80"/>
              <w:left w:type="dxa" w:w="100"/>
              <w:bottom w:type="dxa" w:w="80"/>
              <w:right w:type="dxa" w:w="100"/>
            </w:tcMar>
          </w:tcPr>
          <w:p>
            <w:r>
              <w:rPr>
                <w:b w:val="false"/>
                <w:bCs w:val="false"/>
                <w:color w:val="000000"/>
                <w:sz w:val="20"/>
                <w:szCs w:val="20"/>
              </w:rPr>
              <w:t xml:space="preserve">Exposes the pipeline as a service and returns the verification decision with supporting evidence.</w:t>
            </w:r>
          </w:p>
        </w:tc>
        <w:tc>
          <w:tcPr>
            <w:tcW w:type="dxa" w:w="2788"/>
            <w:tcMar>
              <w:top w:type="dxa" w:w="80"/>
              <w:left w:type="dxa" w:w="100"/>
              <w:bottom w:type="dxa" w:w="80"/>
              <w:right w:type="dxa" w:w="100"/>
            </w:tcMar>
          </w:tcPr>
          <w:p>
            <w:r>
              <w:rPr>
                <w:b w:val="false"/>
                <w:bCs w:val="false"/>
                <w:color w:val="000000"/>
                <w:sz w:val="20"/>
                <w:szCs w:val="20"/>
              </w:rPr>
              <w:t xml:space="preserve">Serves results → Staff Review UI / calling systems</w:t>
            </w:r>
          </w:p>
        </w:tc>
      </w:tr>
    </w:tbl>
    <w:p>
      <w:pPr>
        <w:pStyle w:val="Heading2"/>
        <w:spacing w:after="100" w:before="200"/>
      </w:pPr>
      <w:r>
        <w:t xml:space="preserve">Verification Strategies by Field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1"/>
        <w:gridCol w:w="2390"/>
        <w:gridCol w:w="4979"/>
      </w:tblGrid>
      <w:tr>
        <w:trPr>
          <w:tblHeader/>
        </w:trPr>
        <w:tc>
          <w:tcPr>
            <w:tcW w:type="dxa" w:w="1991"/>
            <w:shd w:fill="1F3864" w:val="clear"/>
            <w:tcMar>
              <w:top w:type="dxa" w:w="80"/>
              <w:left w:type="dxa" w:w="100"/>
              <w:bottom w:type="dxa" w:w="80"/>
              <w:right w:type="dxa" w:w="100"/>
            </w:tcMar>
          </w:tcPr>
          <w:p>
            <w:r>
              <w:rPr>
                <w:b/>
                <w:bCs/>
                <w:color w:val="FFFFFF"/>
                <w:sz w:val="20"/>
                <w:szCs w:val="20"/>
              </w:rPr>
              <w:t xml:space="preserve">Strategy</w:t>
            </w:r>
          </w:p>
        </w:tc>
        <w:tc>
          <w:tcPr>
            <w:tcW w:type="dxa" w:w="2390"/>
            <w:shd w:fill="1F3864" w:val="clear"/>
            <w:tcMar>
              <w:top w:type="dxa" w:w="80"/>
              <w:left w:type="dxa" w:w="100"/>
              <w:bottom w:type="dxa" w:w="80"/>
              <w:right w:type="dxa" w:w="100"/>
            </w:tcMar>
          </w:tcPr>
          <w:p>
            <w:r>
              <w:rPr>
                <w:b/>
                <w:bCs/>
                <w:color w:val="FFFFFF"/>
                <w:sz w:val="20"/>
                <w:szCs w:val="20"/>
              </w:rPr>
              <w:t xml:space="preserve">Applies To</w:t>
            </w:r>
          </w:p>
        </w:tc>
        <w:tc>
          <w:tcPr>
            <w:tcW w:type="dxa" w:w="4979"/>
            <w:shd w:fill="1F3864" w:val="clear"/>
            <w:tcMar>
              <w:top w:type="dxa" w:w="80"/>
              <w:left w:type="dxa" w:w="100"/>
              <w:bottom w:type="dxa" w:w="80"/>
              <w:right w:type="dxa" w:w="100"/>
            </w:tcMar>
          </w:tcPr>
          <w:p>
            <w:r>
              <w:rPr>
                <w:b/>
                <w:bCs/>
                <w:color w:val="FFFFFF"/>
                <w:sz w:val="20"/>
                <w:szCs w:val="20"/>
              </w:rPr>
              <w:t xml:space="preserve">Description</w:t>
            </w:r>
          </w:p>
        </w:tc>
      </w:tr>
      <w:tr>
        <w:tc>
          <w:tcPr>
            <w:tcW w:type="dxa" w:w="1991"/>
            <w:tcMar>
              <w:top w:type="dxa" w:w="80"/>
              <w:left w:type="dxa" w:w="100"/>
              <w:bottom w:type="dxa" w:w="80"/>
              <w:right w:type="dxa" w:w="100"/>
            </w:tcMar>
          </w:tcPr>
          <w:p>
            <w:r>
              <w:rPr>
                <w:b w:val="false"/>
                <w:bCs w:val="false"/>
                <w:color w:val="000000"/>
                <w:sz w:val="20"/>
                <w:szCs w:val="20"/>
              </w:rPr>
              <w:t xml:space="preserve">Exact Match</w:t>
            </w:r>
          </w:p>
        </w:tc>
        <w:tc>
          <w:tcPr>
            <w:tcW w:type="dxa" w:w="2390"/>
            <w:tcMar>
              <w:top w:type="dxa" w:w="80"/>
              <w:left w:type="dxa" w:w="100"/>
              <w:bottom w:type="dxa" w:w="80"/>
              <w:right w:type="dxa" w:w="100"/>
            </w:tcMar>
          </w:tcPr>
          <w:p>
            <w:r>
              <w:rPr>
                <w:b w:val="false"/>
                <w:bCs w:val="false"/>
                <w:color w:val="000000"/>
                <w:sz w:val="20"/>
                <w:szCs w:val="20"/>
              </w:rPr>
              <w:t xml:space="preserve">Roll No. / Date</w:t>
            </w:r>
          </w:p>
        </w:tc>
        <w:tc>
          <w:tcPr>
            <w:tcW w:type="dxa" w:w="4979"/>
            <w:tcMar>
              <w:top w:type="dxa" w:w="80"/>
              <w:left w:type="dxa" w:w="100"/>
              <w:bottom w:type="dxa" w:w="80"/>
              <w:right w:type="dxa" w:w="100"/>
            </w:tcMar>
          </w:tcPr>
          <w:p>
            <w:r>
              <w:rPr>
                <w:b w:val="false"/>
                <w:bCs w:val="false"/>
                <w:color w:val="000000"/>
                <w:sz w:val="20"/>
                <w:szCs w:val="20"/>
              </w:rPr>
              <w:t xml:space="preserve">Character-for-character match; no tolerance, since a small change means a different student.</w:t>
            </w:r>
          </w:p>
        </w:tc>
      </w:tr>
      <w:tr>
        <w:tc>
          <w:tcPr>
            <w:tcW w:type="dxa" w:w="1991"/>
            <w:tcMar>
              <w:top w:type="dxa" w:w="80"/>
              <w:left w:type="dxa" w:w="100"/>
              <w:bottom w:type="dxa" w:w="80"/>
              <w:right w:type="dxa" w:w="100"/>
            </w:tcMar>
          </w:tcPr>
          <w:p>
            <w:r>
              <w:rPr>
                <w:b w:val="false"/>
                <w:bCs w:val="false"/>
                <w:color w:val="000000"/>
                <w:sz w:val="20"/>
                <w:szCs w:val="20"/>
              </w:rPr>
              <w:t xml:space="preserve">Fuzzy Match</w:t>
            </w:r>
          </w:p>
        </w:tc>
        <w:tc>
          <w:tcPr>
            <w:tcW w:type="dxa" w:w="2390"/>
            <w:tcMar>
              <w:top w:type="dxa" w:w="80"/>
              <w:left w:type="dxa" w:w="100"/>
              <w:bottom w:type="dxa" w:w="80"/>
              <w:right w:type="dxa" w:w="100"/>
            </w:tcMar>
          </w:tcPr>
          <w:p>
            <w:r>
              <w:rPr>
                <w:b w:val="false"/>
                <w:bCs w:val="false"/>
                <w:color w:val="000000"/>
                <w:sz w:val="20"/>
                <w:szCs w:val="20"/>
              </w:rPr>
              <w:t xml:space="preserve">English / Hindi Name</w:t>
            </w:r>
          </w:p>
        </w:tc>
        <w:tc>
          <w:tcPr>
            <w:tcW w:type="dxa" w:w="4979"/>
            <w:tcMar>
              <w:top w:type="dxa" w:w="80"/>
              <w:left w:type="dxa" w:w="100"/>
              <w:bottom w:type="dxa" w:w="80"/>
              <w:right w:type="dxa" w:w="100"/>
            </w:tcMar>
          </w:tcPr>
          <w:p>
            <w:r>
              <w:rPr>
                <w:b w:val="false"/>
                <w:bCs w:val="false"/>
                <w:color w:val="000000"/>
                <w:sz w:val="20"/>
                <w:szCs w:val="20"/>
              </w:rPr>
              <w:t xml:space="preserve">RapidFuzz similarity scoring tolerates minor OCR noise while still flagging genuine mismatches.</w:t>
            </w:r>
          </w:p>
        </w:tc>
      </w:tr>
      <w:tr>
        <w:tc>
          <w:tcPr>
            <w:tcW w:type="dxa" w:w="1991"/>
            <w:tcMar>
              <w:top w:type="dxa" w:w="80"/>
              <w:left w:type="dxa" w:w="100"/>
              <w:bottom w:type="dxa" w:w="80"/>
              <w:right w:type="dxa" w:w="100"/>
            </w:tcMar>
          </w:tcPr>
          <w:p>
            <w:r>
              <w:rPr>
                <w:b w:val="false"/>
                <w:bCs w:val="false"/>
                <w:color w:val="000000"/>
                <w:sz w:val="20"/>
                <w:szCs w:val="20"/>
              </w:rPr>
              <w:t xml:space="preserve">Vocabulary Match</w:t>
            </w:r>
          </w:p>
        </w:tc>
        <w:tc>
          <w:tcPr>
            <w:tcW w:type="dxa" w:w="2390"/>
            <w:tcMar>
              <w:top w:type="dxa" w:w="80"/>
              <w:left w:type="dxa" w:w="100"/>
              <w:bottom w:type="dxa" w:w="80"/>
              <w:right w:type="dxa" w:w="100"/>
            </w:tcMar>
          </w:tcPr>
          <w:p>
            <w:r>
              <w:rPr>
                <w:b w:val="false"/>
                <w:bCs w:val="false"/>
                <w:color w:val="000000"/>
                <w:sz w:val="20"/>
                <w:szCs w:val="20"/>
              </w:rPr>
              <w:t xml:space="preserve">Degree / Branch</w:t>
            </w:r>
          </w:p>
        </w:tc>
        <w:tc>
          <w:tcPr>
            <w:tcW w:type="dxa" w:w="4979"/>
            <w:tcMar>
              <w:top w:type="dxa" w:w="80"/>
              <w:left w:type="dxa" w:w="100"/>
              <w:bottom w:type="dxa" w:w="80"/>
              <w:right w:type="dxa" w:w="100"/>
            </w:tcMar>
          </w:tcPr>
          <w:p>
            <w:r>
              <w:rPr>
                <w:b w:val="false"/>
                <w:bCs w:val="false"/>
                <w:color w:val="000000"/>
                <w:sz w:val="20"/>
                <w:szCs w:val="20"/>
              </w:rPr>
              <w:t xml:space="preserve">OCR output is matched against a small, fixed list of valid degree and branch names.</w:t>
            </w:r>
          </w:p>
        </w:tc>
      </w:tr>
      <w:tr>
        <w:tc>
          <w:tcPr>
            <w:tcW w:type="dxa" w:w="1991"/>
            <w:tcMar>
              <w:top w:type="dxa" w:w="80"/>
              <w:left w:type="dxa" w:w="100"/>
              <w:bottom w:type="dxa" w:w="80"/>
              <w:right w:type="dxa" w:w="100"/>
            </w:tcMar>
          </w:tcPr>
          <w:p>
            <w:r>
              <w:rPr>
                <w:b w:val="false"/>
                <w:bCs w:val="false"/>
                <w:color w:val="000000"/>
                <w:sz w:val="20"/>
                <w:szCs w:val="20"/>
              </w:rPr>
              <w:t xml:space="preserve">Coordinate Check</w:t>
            </w:r>
          </w:p>
        </w:tc>
        <w:tc>
          <w:tcPr>
            <w:tcW w:type="dxa" w:w="2390"/>
            <w:tcMar>
              <w:top w:type="dxa" w:w="80"/>
              <w:left w:type="dxa" w:w="100"/>
              <w:bottom w:type="dxa" w:w="80"/>
              <w:right w:type="dxa" w:w="100"/>
            </w:tcMar>
          </w:tcPr>
          <w:p>
            <w:r>
              <w:rPr>
                <w:b w:val="false"/>
                <w:bCs w:val="false"/>
                <w:color w:val="000000"/>
                <w:sz w:val="20"/>
                <w:szCs w:val="20"/>
              </w:rPr>
              <w:t xml:space="preserve">Layout / Indentation</w:t>
            </w:r>
          </w:p>
        </w:tc>
        <w:tc>
          <w:tcPr>
            <w:tcW w:type="dxa" w:w="4979"/>
            <w:tcMar>
              <w:top w:type="dxa" w:w="80"/>
              <w:left w:type="dxa" w:w="100"/>
              <w:bottom w:type="dxa" w:w="80"/>
              <w:right w:type="dxa" w:w="100"/>
            </w:tcMar>
          </w:tcPr>
          <w:p>
            <w:r>
              <w:rPr>
                <w:b w:val="false"/>
                <w:bCs w:val="false"/>
                <w:color w:val="000000"/>
                <w:sz w:val="20"/>
                <w:szCs w:val="20"/>
              </w:rPr>
              <w:t xml:space="preserve">Compares pixel-level position, center, and width of each text line against the reference template.</w:t>
            </w:r>
          </w:p>
        </w:tc>
      </w:tr>
    </w:tbl>
    <w:p>
      <w:pPr>
        <w:pStyle w:val="Heading1"/>
        <w:spacing w:after="150" w:before="300"/>
      </w:pPr>
      <w:r>
        <w:t xml:space="preserve">5. How the Structure Satisfies the Requirements</w:t>
      </w:r>
    </w:p>
    <w:p>
      <w:pPr>
        <w:spacing w:after="150"/>
      </w:pPr>
      <w:r>
        <w:t xml:space="preserve">Each design decision maps directly to one or more of the requirements in Section 2:</w:t>
      </w:r>
    </w:p>
    <w:p>
      <w:pPr>
        <w:pStyle w:val="ListParagraph"/>
        <w:numPr>
          <w:ilvl w:val="0"/>
          <w:numId w:val="2"/>
        </w:numPr>
        <w:spacing w:after="100"/>
      </w:pPr>
      <w:r>
        <w:rPr>
          <w:b/>
          <w:bCs/>
        </w:rPr>
        <w:t xml:space="preserve">Modular, staged pipeline (Section 3 &amp; 4) → Extensibility and Auditability. </w:t>
      </w:r>
      <w:r>
        <w:t xml:space="preserve">Because Alignment, Cropping, OCR, Roster Lookup, Comparison, and Scoring are separate modules communicating through well-defined data, a new field type or certificate template can be added by extending one module, and every stage's output is logged for later audit.</w:t>
      </w:r>
    </w:p>
    <w:p>
      <w:pPr>
        <w:pStyle w:val="ListParagraph"/>
        <w:numPr>
          <w:ilvl w:val="0"/>
          <w:numId w:val="2"/>
        </w:numPr>
        <w:spacing w:after="100"/>
      </w:pPr>
      <w:r>
        <w:rPr>
          <w:b/>
          <w:bCs/>
        </w:rPr>
        <w:t xml:space="preserve">Field-specific matchers (Section 4) → Functionality and Robustness. </w:t>
      </w:r>
      <w:r>
        <w:t xml:space="preserve">Exact, fuzzy, vocabulary, and coordinate checks each target the failure mode most likely for that field type, so the system handles bilingual names, categorical fields, and identifiers correctly instead of forcing one comparison method onto all of them.</w:t>
      </w:r>
    </w:p>
    <w:p>
      <w:pPr>
        <w:pStyle w:val="ListParagraph"/>
        <w:numPr>
          <w:ilvl w:val="0"/>
          <w:numId w:val="2"/>
        </w:numPr>
        <w:spacing w:after="100"/>
      </w:pPr>
      <w:r>
        <w:rPr>
          <w:b/>
          <w:bCs/>
        </w:rPr>
        <w:t xml:space="preserve">Static vs. dynamic coordinate checks (Section 1 &amp; 3) → Security. </w:t>
      </w:r>
      <w:r>
        <w:t xml:space="preserve">Verifying layout independently of OCR text means an attacker who edits the text but not the surrounding layout geometry — or vice versa — is still caught, directly addressing the tampering threat model.</w:t>
      </w:r>
    </w:p>
    <w:p>
      <w:pPr>
        <w:pStyle w:val="ListParagraph"/>
        <w:numPr>
          <w:ilvl w:val="0"/>
          <w:numId w:val="2"/>
        </w:numPr>
        <w:spacing w:after="100"/>
      </w:pPr>
      <w:r>
        <w:rPr>
          <w:b/>
          <w:bCs/>
        </w:rPr>
        <w:t xml:space="preserve">Confidence scoring with critical-field overrides (Section 4) → Reliability. </w:t>
      </w:r>
      <w:r>
        <w:t xml:space="preserve">A high aggregate score cannot hide a critical mismatch (e.g. roll number matches but degree is wrong), which keeps the system from confidently approving a tampered certificate.</w:t>
      </w:r>
    </w:p>
    <w:p>
      <w:pPr>
        <w:pStyle w:val="ListParagraph"/>
        <w:numPr>
          <w:ilvl w:val="0"/>
          <w:numId w:val="2"/>
        </w:numPr>
        <w:spacing w:after="100"/>
      </w:pPr>
      <w:r>
        <w:rPr>
          <w:b/>
          <w:bCs/>
        </w:rPr>
        <w:t xml:space="preserve">Auto-verify / staff-review split (Section 3) → Scalability without sacrificing accuracy. </w:t>
      </w:r>
      <w:r>
        <w:t xml:space="preserve">Confident, unambiguous cases are cleared automatically, so staff effort is concentrated only on genuinely uncertain cases, letting the process scale to institute-wide volumes.</w:t>
      </w:r>
    </w:p>
    <w:p>
      <w:pPr>
        <w:pStyle w:val="Heading2"/>
        <w:spacing w:after="100" w:before="200"/>
      </w:pPr>
      <w:r>
        <w:t xml:space="preserve">Future Work</w:t>
      </w:r>
    </w:p>
    <w:p>
      <w:pPr>
        <w:pStyle w:val="ListParagraph"/>
        <w:numPr>
          <w:ilvl w:val="0"/>
          <w:numId w:val="2"/>
        </w:numPr>
        <w:spacing w:after="100"/>
      </w:pPr>
      <w:r>
        <w:t xml:space="preserve">Watermark, seal, and signature verification using image similarity (SSIM), extending tamper detection beyond text and layout.</w:t>
      </w:r>
    </w:p>
    <w:p>
      <w:pPr>
        <w:pStyle w:val="ListParagraph"/>
        <w:numPr>
          <w:ilvl w:val="0"/>
          <w:numId w:val="2"/>
        </w:numPr>
        <w:spacing w:after="100"/>
      </w:pPr>
      <w:r>
        <w:t xml:space="preserve">Automated certificate generation directly from the verified template and student data.</w:t>
      </w:r>
    </w:p>
    <w:p>
      <w:pPr>
        <w:pStyle w:val="ListParagraph"/>
        <w:numPr>
          <w:ilvl w:val="0"/>
          <w:numId w:val="2"/>
        </w:numPr>
        <w:spacing w:after="100"/>
      </w:pPr>
      <w:r>
        <w:t xml:space="preserve">Authentication and audit logging for the staff review workflow.</w:t>
      </w:r>
    </w:p>
    <w:p>
      <w:pPr>
        <w:spacing w:before="200"/>
      </w:pPr>
      <w:r>
        <w:rPr>
          <w:i/>
          <w:iCs/>
        </w:rPr>
        <w:t xml:space="preserve">Human review stays in the loop for uncertain cases — the system is designed to assist staff, not replace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80735c22b5933260a489d2e6acc663e62cac5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2026-09-10T15:25:29.444Z</dcterms:created>
  <dcterms:modified xsi:type="dcterms:W3CDTF">2026-09-10T15:25:29.444Z</dcterms:modified>
</cp:coreProperties>
</file>

<file path=docProps/custom.xml><?xml version="1.0" encoding="utf-8"?>
<Properties xmlns="http://schemas.openxmlformats.org/officeDocument/2006/custom-properties" xmlns:vt="http://schemas.openxmlformats.org/officeDocument/2006/docPropsVTypes"/>
</file>