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5.png" ContentType="image/png"/>
  <Override PartName="/word/media/rId33.png" ContentType="image/png"/>
  <Override PartName="/word/media/rId45.png" ContentType="image/png"/>
  <Override PartName="/word/media/rId19.png" ContentType="image/png"/>
  <Override PartName="/word/media/rId102.png" ContentType="image/png"/>
  <Override PartName="/word/media/rId78.png" ContentType="image/png"/>
  <Override PartName="/word/media/rId57.png" ContentType="image/png"/>
  <Override PartName="/word/media/rId41.png" ContentType="image/png"/>
  <Override PartName="/word/media/rId111.png" ContentType="image/png"/>
  <Override PartName="/word/media/rId23.png" ContentType="image/png"/>
  <Override PartName="/word/media/rId114.png" ContentType="image/png"/>
  <Override PartName="/word/media/rId50.png" ContentType="image/png"/>
  <Override PartName="/word/media/rId82.png" ContentType="image/png"/>
  <Override PartName="/word/media/rId62.png" ContentType="image/png"/>
  <Override PartName="/word/media/rId28.png" ContentType="image/png"/>
  <Override PartName="/word/media/rId68.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Structure Priors for Road Segmentation: Wavelet Front-Ends and Centre-Line/Width Supervision</w:t>
      </w:r>
    </w:p>
    <w:p>
      <w:pPr>
        <w:pStyle w:val="Subtitle"/>
      </w:pPr>
      <w:r>
        <w:t xml:space="preserve">A controlled study on Massachusetts Roads, DeepGlobe and Ottawa — complete method, step-by-step explanation, results and comparison with published work</w:t>
      </w:r>
    </w:p>
    <w:p>
      <w:pPr>
        <w:pStyle w:val="Date"/>
      </w:pPr>
      <w:r>
        <w:t xml:space="preserve">October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abstract"/>
    <w:p>
      <w:pPr>
        <w:pStyle w:val="Heading1"/>
      </w:pPr>
      <w:r>
        <w:t xml:space="preserve">Abstract</w:t>
      </w:r>
    </w:p>
    <w:p>
      <w:pPr>
        <w:pStyle w:val="FirstParagraph"/>
      </w:pPr>
      <w:r>
        <w:t xml:space="preserve">Road extraction from aerial and satellite images is commonly improved by adding structure to a segmentation network. Two kinds of structure are tested here: a frequency-domain front end (a Haar discrete wavelet transform, DWT) and a geometric description of roads (a centre-line and a width). Each is tested under controlled conditions: every variant shares the same ImageNet-pretrained ResNeXt-50 U-Net, data stream, training recipe and seeds, and the primary comparison and its decision rule are fixed in the code repository before any test score is read.</w:t>
      </w:r>
    </w:p>
    <w:p>
      <w:pPr>
        <w:pStyle w:val="BodyText"/>
      </w:pPr>
      <w:r>
        <w:rPr>
          <w:b/>
          <w:bCs/>
        </w:rPr>
        <w:t xml:space="preserve">DWT front end.</w:t>
      </w:r>
      <w:r>
        <w:t xml:space="preserve"> </w:t>
      </w:r>
      <w:r>
        <w:t xml:space="preserve">We give an exact, function-preserving initialisation of a DWT-input stem from pretrained weights and show that a DWT followed by a convolution is a re-parameterised strided convolution. Consistent with this, the DWT front end makes no detectable difference in per-image test IoU on Massachusetts Roads (+0.0004, 95% CI −0.0040 to +0.0060) or DeepGlobe (+0.0017, −0.0018 to +0.0059). Learned wavelet pooling throughout the network and a clDice topology loss also show no confirmed effect.</w:t>
      </w:r>
    </w:p>
    <w:p>
      <w:pPr>
        <w:pStyle w:val="BodyText"/>
      </w:pPr>
      <w:r>
        <w:rPr>
          <w:b/>
          <w:bCs/>
        </w:rPr>
        <w:t xml:space="preserve">Centre-line and width supervision.</w:t>
      </w:r>
      <w:r>
        <w:t xml:space="preserve"> </w:t>
      </w:r>
      <w:r>
        <w:t xml:space="preserve">We encode each road label losslessly as centre pixels with disc radii, and add these as auxiliary targets (GA). GA improves DeepGlobe IoU by +0.0073 (95% CI +0.0033 to +0.0118; confirmatory) to 0.6858, and outperforms the Deep-Distance-Transform targets of prior work by +0.0046 (pre-specified). The gain needs both the centre and the width terms and comes from fewer false positives. It does not replicate on Massachusetts Roads (+0.0027, five seeds) or on a third dataset, Ottawa (−0.0029, five seeds). Drawing the mask from the predicted geometry (GB), or feeding the geometry back into the decoder (GFa), gives no confirmed gain.</w:t>
      </w:r>
    </w:p>
    <w:p>
      <w:pPr>
        <w:pStyle w:val="BodyText"/>
      </w:pPr>
      <w:r>
        <w:t xml:space="preserve">On DeepGlobe, GA’s road IoU is above every published result we compared against except one, which it matches. Because those papers use different splits and protocols, the controlled comparisons are the evidence that matters.</w:t>
      </w:r>
    </w:p>
    <w:bookmarkEnd w:id="9"/>
    <w:bookmarkStart w:id="10" w:name="how-to-read-this-document"/>
    <w:p>
      <w:pPr>
        <w:pStyle w:val="Heading1"/>
      </w:pPr>
      <w:r>
        <w:t xml:space="preserve">How to read this document</w:t>
      </w:r>
    </w:p>
    <w:p>
      <w:pPr>
        <w:pStyle w:val="Explainer"/>
      </w:pPr>
      <w:r>
        <w:rPr>
          <w:b/>
          <w:bCs/>
        </w:rPr>
        <w:t xml:space="preserve">Shaded boxes like this one are explanations written for learning and for checking the work.</w:t>
      </w:r>
      <w:r>
        <w:t xml:space="preserve"> </w:t>
      </w:r>
      <w:r>
        <w:t xml:space="preserve">They walk through each step with concrete numbers and examples. Everything outside the boxes is written as paper text. To turn this document into a paper, delete the shaded boxes (Word: Home → Styles → right-click</w:t>
      </w:r>
      <w:r>
        <w:t xml:space="preserve"> </w:t>
      </w:r>
      <w:r>
        <w:t xml:space="preserve">“Explainer”</w:t>
      </w:r>
      <w:r>
        <w:t xml:space="preserve"> </w:t>
      </w:r>
      <w:r>
        <w:t xml:space="preserve">→ Select All Instances → Delete), then shorten the method sections as the venue requires.</w:t>
      </w:r>
    </w:p>
    <w:p>
      <w:pPr>
        <w:pStyle w:val="BodyText"/>
      </w:pPr>
      <w:r>
        <w:t xml:space="preserve">The document covers three studies run on one code base:</w:t>
      </w:r>
    </w:p>
    <w:p>
      <w:pPr>
        <w:pStyle w:val="TableCaption"/>
      </w:pPr>
      <w:r>
        <w:t xml:space="preserve">Table 1. The three studies. R0 is the common control for all of them.</w:t>
      </w:r>
    </w:p>
    <w:tbl>
      <w:tblPr>
        <w:tblStyle w:val="Table"/>
        <w:tblW w:type="pct" w:w="5000"/>
        <w:tblLayout w:type="fixed"/>
        <w:tblLook w:firstRow="1" w:lastRow="0" w:firstColumn="0" w:lastColumn="0" w:noHBand="0" w:noVBand="0" w:val="0020"/>
        <w:tblCaption w:val="Table 1. The three studies. R0 is the common control for all of them."/>
      </w:tblPr>
      <w:tblGrid>
        <w:gridCol w:w="1224"/>
        <w:gridCol w:w="3168"/>
        <w:gridCol w:w="1584"/>
        <w:gridCol w:w="1296"/>
        <w:gridCol w:w="648"/>
      </w:tblGrid>
      <w:tr>
        <w:trPr>
          <w:tblHeader w:val="on"/>
        </w:trPr>
        <w:tc>
          <w:tcPr/>
          <w:p>
            <w:pPr>
              <w:pStyle w:val="TableText"/>
              <w:jc w:val="left"/>
            </w:pPr>
            <w:r>
              <w:t xml:space="preserve">Study</w:t>
            </w:r>
          </w:p>
        </w:tc>
        <w:tc>
          <w:tcPr/>
          <w:p>
            <w:pPr>
              <w:pStyle w:val="TableText"/>
              <w:jc w:val="left"/>
            </w:pPr>
            <w:r>
              <w:t xml:space="preserve">Question</w:t>
            </w:r>
          </w:p>
        </w:tc>
        <w:tc>
          <w:tcPr/>
          <w:p>
            <w:pPr>
              <w:pStyle w:val="TableText"/>
              <w:jc w:val="left"/>
            </w:pPr>
            <w:r>
              <w:t xml:space="preserve">Models</w:t>
            </w:r>
          </w:p>
        </w:tc>
        <w:tc>
          <w:tcPr/>
          <w:p>
            <w:pPr>
              <w:pStyle w:val="TableText"/>
              <w:jc w:val="left"/>
            </w:pPr>
            <w:r>
              <w:t xml:space="preserve">Datasets</w:t>
            </w:r>
          </w:p>
        </w:tc>
        <w:tc>
          <w:tcPr/>
          <w:p>
            <w:pPr>
              <w:pStyle w:val="TableText"/>
              <w:jc w:val="center"/>
            </w:pPr>
            <w:r>
              <w:t xml:space="preserve">Seeds</w:t>
            </w:r>
          </w:p>
        </w:tc>
      </w:tr>
      <w:tr>
        <w:tc>
          <w:tcPr/>
          <w:p>
            <w:pPr>
              <w:pStyle w:val="TableText"/>
              <w:jc w:val="left"/>
            </w:pPr>
            <w:r>
              <w:t xml:space="preserve">1. Wavelets</w:t>
            </w:r>
          </w:p>
        </w:tc>
        <w:tc>
          <w:tcPr/>
          <w:p>
            <w:pPr>
              <w:pStyle w:val="TableText"/>
              <w:jc w:val="left"/>
            </w:pPr>
            <w:r>
              <w:t xml:space="preserve">Does a Haar DWT front end (the draft paper’s method) or wavelet pooling help a pretrained ResNeXt?</w:t>
            </w:r>
          </w:p>
        </w:tc>
        <w:tc>
          <w:tcPr/>
          <w:p>
            <w:pPr>
              <w:pStyle w:val="TableText"/>
              <w:jc w:val="left"/>
            </w:pPr>
            <w:r>
              <w:t xml:space="preserve">R0, R1, R2, R3, U-Net, D-LinkNet</w:t>
            </w:r>
          </w:p>
        </w:tc>
        <w:tc>
          <w:tcPr/>
          <w:p>
            <w:pPr>
              <w:pStyle w:val="TableText"/>
              <w:jc w:val="left"/>
            </w:pPr>
            <w:r>
              <w:t xml:space="preserve">Massachusetts, DeepGlobe</w:t>
            </w:r>
          </w:p>
        </w:tc>
        <w:tc>
          <w:tcPr/>
          <w:p>
            <w:pPr>
              <w:pStyle w:val="TableText"/>
              <w:jc w:val="center"/>
            </w:pPr>
            <w:r>
              <w:t xml:space="preserve">3</w:t>
            </w:r>
          </w:p>
        </w:tc>
      </w:tr>
      <w:tr>
        <w:tc>
          <w:tcPr/>
          <w:p>
            <w:pPr>
              <w:pStyle w:val="TableText"/>
              <w:jc w:val="left"/>
            </w:pPr>
            <w:r>
              <w:t xml:space="preserve">2. Geometric targets</w:t>
            </w:r>
          </w:p>
        </w:tc>
        <w:tc>
          <w:tcPr/>
          <w:p>
            <w:pPr>
              <w:pStyle w:val="TableText"/>
              <w:jc w:val="left"/>
            </w:pPr>
            <w:r>
              <w:t xml:space="preserve">Does supervising the road’s centre-line and width help? Which part of the target matters, and is it better than prior targets?</w:t>
            </w:r>
          </w:p>
        </w:tc>
        <w:tc>
          <w:tcPr/>
          <w:p>
            <w:pPr>
              <w:pStyle w:val="TableText"/>
              <w:jc w:val="left"/>
            </w:pPr>
            <w:r>
              <w:t xml:space="preserve">GA, GB, GAc, GAw, GD, GO</w:t>
            </w:r>
          </w:p>
        </w:tc>
        <w:tc>
          <w:tcPr/>
          <w:p>
            <w:pPr>
              <w:pStyle w:val="TableText"/>
              <w:jc w:val="left"/>
            </w:pPr>
            <w:r>
              <w:t xml:space="preserve">Massachusetts, DeepGlobe, Ottawa</w:t>
            </w:r>
          </w:p>
        </w:tc>
        <w:tc>
          <w:tcPr/>
          <w:p>
            <w:pPr>
              <w:pStyle w:val="TableText"/>
              <w:jc w:val="center"/>
            </w:pPr>
            <w:r>
              <w:t xml:space="preserve">3–5</w:t>
            </w:r>
          </w:p>
        </w:tc>
      </w:tr>
      <w:tr>
        <w:tc>
          <w:tcPr/>
          <w:p>
            <w:pPr>
              <w:pStyle w:val="TableText"/>
              <w:jc w:val="left"/>
            </w:pPr>
            <w:r>
              <w:t xml:space="preserve">3. Geometry feedback</w:t>
            </w:r>
          </w:p>
        </w:tc>
        <w:tc>
          <w:tcPr/>
          <w:p>
            <w:pPr>
              <w:pStyle w:val="TableText"/>
              <w:jc w:val="left"/>
            </w:pPr>
            <w:r>
              <w:t xml:space="preserve">Does feeding predicted geometry back into the decoder help further?</w:t>
            </w:r>
          </w:p>
        </w:tc>
        <w:tc>
          <w:tcPr/>
          <w:p>
            <w:pPr>
              <w:pStyle w:val="TableText"/>
              <w:jc w:val="left"/>
            </w:pPr>
            <w:r>
              <w:t xml:space="preserve">GFa, GFb</w:t>
            </w:r>
          </w:p>
        </w:tc>
        <w:tc>
          <w:tcPr/>
          <w:p>
            <w:pPr>
              <w:pStyle w:val="TableText"/>
              <w:jc w:val="left"/>
            </w:pPr>
            <w:r>
              <w:t xml:space="preserve">all three</w:t>
            </w:r>
          </w:p>
        </w:tc>
        <w:tc>
          <w:tcPr/>
          <w:p>
            <w:pPr>
              <w:pStyle w:val="TableText"/>
              <w:jc w:val="center"/>
            </w:pPr>
            <w:r>
              <w:t xml:space="preserve">1–3</w:t>
            </w:r>
          </w:p>
        </w:tc>
      </w:tr>
    </w:tbl>
    <w:bookmarkEnd w:id="10"/>
    <w:bookmarkStart w:id="11" w:name="introduction"/>
    <w:p>
      <w:pPr>
        <w:pStyle w:val="Heading1"/>
      </w:pPr>
      <w:r>
        <w:rPr>
          <w:rStyle w:val="SectionNumber"/>
        </w:rPr>
        <w:t xml:space="preserve">1</w:t>
      </w:r>
      <w:r>
        <w:tab/>
      </w:r>
      <w:r>
        <w:t xml:space="preserve">Introduction</w:t>
      </w:r>
    </w:p>
    <w:p>
      <w:pPr>
        <w:pStyle w:val="FirstParagraph"/>
      </w:pPr>
      <w:r>
        <w:t xml:space="preserve">Road maps derived from aerial and satellite images are used for navigation, disaster response and urban planning. The standard approach treats road extraction as binary semantic segmentation: a network labels every pixel as road or background. The task has two characteristic difficulties.</w:t>
      </w:r>
    </w:p>
    <w:p>
      <w:pPr>
        <w:pStyle w:val="Compact"/>
        <w:numPr>
          <w:ilvl w:val="0"/>
          <w:numId w:val="1001"/>
        </w:numPr>
      </w:pPr>
      <w:r>
        <w:rPr>
          <w:b/>
          <w:bCs/>
        </w:rPr>
        <w:t xml:space="preserve">Roads are thin.</w:t>
      </w:r>
      <w:r>
        <w:t xml:space="preserve"> </w:t>
      </w:r>
      <w:r>
        <w:t xml:space="preserve">They are 2–40 pixels wide at typical resolutions.</w:t>
      </w:r>
    </w:p>
    <w:p>
      <w:pPr>
        <w:pStyle w:val="Compact"/>
        <w:numPr>
          <w:ilvl w:val="0"/>
          <w:numId w:val="1001"/>
        </w:numPr>
      </w:pPr>
      <w:r>
        <w:rPr>
          <w:b/>
          <w:bCs/>
        </w:rPr>
        <w:t xml:space="preserve">Roads are often occluded.</w:t>
      </w:r>
      <w:r>
        <w:t xml:space="preserve"> </w:t>
      </w:r>
      <w:r>
        <w:t xml:space="preserve">Trees, shadows and vehicles hide parts of them, so small pixel errors break the connectivity of the road network.</w:t>
      </w:r>
    </w:p>
    <w:p>
      <w:pPr>
        <w:pStyle w:val="FirstParagraph"/>
      </w:pPr>
      <w:r>
        <w:t xml:space="preserve">Many architectural additions have been proposed to address these difficulties. This work tests two of them carefully.</w:t>
      </w:r>
    </w:p>
    <w:p>
      <w:pPr>
        <w:pStyle w:val="BodyText"/>
      </w:pPr>
      <w:r>
        <w:rPr>
          <w:b/>
          <w:bCs/>
        </w:rPr>
        <w:t xml:space="preserve">Wavelet front ends.</w:t>
      </w:r>
      <w:r>
        <w:t xml:space="preserve"> </w:t>
      </w:r>
      <w:r>
        <w:t xml:space="preserve">The draft paper this study started from proposes decomposing the input image with a single-level 2-D Haar DWT and feeding the 12 sub-bands (4 per colour channel) to a ResNeXt encoder. The motivation is that high-frequency sub-bands expose edges that help find thin, occluded roads. Several recent papers report gains from wavelet operators in segmentation networks [27–31].</w:t>
      </w:r>
    </w:p>
    <w:p>
      <w:pPr>
        <w:pStyle w:val="BodyText"/>
      </w:pPr>
      <w:r>
        <w:rPr>
          <w:b/>
          <w:bCs/>
        </w:rPr>
        <w:t xml:space="preserve">Geometric descriptions.</w:t>
      </w:r>
      <w:r>
        <w:t xml:space="preserve"> </w:t>
      </w:r>
      <w:r>
        <w:t xml:space="preserve">Road labels in both standard benchmarks are reliable about</w:t>
      </w:r>
      <w:r>
        <w:t xml:space="preserve"> </w:t>
      </w:r>
      <w:r>
        <w:rPr>
          <w:i/>
          <w:iCs/>
        </w:rPr>
        <w:t xml:space="preserve">where a road runs</w:t>
      </w:r>
      <w:r>
        <w:t xml:space="preserve"> </w:t>
      </w:r>
      <w:r>
        <w:t xml:space="preserve">but not about</w:t>
      </w:r>
      <w:r>
        <w:t xml:space="preserve"> </w:t>
      </w:r>
      <w:r>
        <w:rPr>
          <w:i/>
          <w:iCs/>
        </w:rPr>
        <w:t xml:space="preserve">where its edges are</w:t>
      </w:r>
      <w:r>
        <w:t xml:space="preserve">. A road can be described as a centre-line plus a width, and supervising that description directly might give the network a useful prior.</w:t>
      </w:r>
    </w:p>
    <w:p>
      <w:pPr>
        <w:pStyle w:val="BodyText"/>
      </w:pPr>
      <w:r>
        <w:t xml:space="preserve">Reported gains for such additions are usually small (fractions of an IoU point) and come from comparisons in which more than one thing changes at once: the added module, the parameter count, the initialisation, the training recipe or the random seed. This study isolates each change.</w:t>
      </w:r>
    </w:p>
    <w:p>
      <w:pPr>
        <w:pStyle w:val="BodyText"/>
      </w:pPr>
      <w:r>
        <w:rPr>
          <w:b/>
          <w:bCs/>
        </w:rPr>
        <w:t xml:space="preserve">Contributions.</w:t>
      </w:r>
    </w:p>
    <w:p>
      <w:pPr>
        <w:pStyle w:val="Compact"/>
        <w:numPr>
          <w:ilvl w:val="0"/>
          <w:numId w:val="1002"/>
        </w:numPr>
      </w:pPr>
      <w:r>
        <w:rPr>
          <w:b/>
          <w:bCs/>
        </w:rPr>
        <w:t xml:space="preserve">An exact initialisation of a DWT-input stem.</w:t>
      </w:r>
      <w:r>
        <w:t xml:space="preserve"> </w:t>
      </w:r>
      <w:r>
        <w:t xml:space="preserve">It is built from a pretrained strided convolution and makes the DWT network</w:t>
      </w:r>
      <w:r>
        <w:t xml:space="preserve"> </w:t>
      </w:r>
      <w:r>
        <w:rPr>
          <w:i/>
          <w:iCs/>
        </w:rPr>
        <w:t xml:space="preserve">the same function</w:t>
      </w:r>
      <w:r>
        <w:t xml:space="preserve"> </w:t>
      </w:r>
      <w:r>
        <w:t xml:space="preserve">as the pretrained network at the start of training. It also shows that</w:t>
      </w:r>
      <w:r>
        <w:t xml:space="preserve"> </w:t>
      </w:r>
      <w:r>
        <w:t xml:space="preserve">“DWT, then convolution”</w:t>
      </w:r>
      <w:r>
        <w:t xml:space="preserve"> </w:t>
      </w:r>
      <w:r>
        <w:t xml:space="preserve">is a re-parameterised strided convolution (Section 6.2).</w:t>
      </w:r>
    </w:p>
    <w:p>
      <w:pPr>
        <w:pStyle w:val="Compact"/>
        <w:numPr>
          <w:ilvl w:val="0"/>
          <w:numId w:val="1002"/>
        </w:numPr>
      </w:pPr>
      <w:r>
        <w:rPr>
          <w:b/>
          <w:bCs/>
        </w:rPr>
        <w:t xml:space="preserve">A controlled, pre-registered ablation ladder</w:t>
      </w:r>
      <w:r>
        <w:t xml:space="preserve"> </w:t>
      </w:r>
      <w:r>
        <w:t xml:space="preserve">on Massachusetts Roads and DeepGlobe. The DWT front end (R1), learned wavelet pooling (R2) and a clDice loss (R3) give no confirmed gain over the control (R0).</w:t>
      </w:r>
    </w:p>
    <w:p>
      <w:pPr>
        <w:pStyle w:val="Compact"/>
        <w:numPr>
          <w:ilvl w:val="0"/>
          <w:numId w:val="1002"/>
        </w:numPr>
      </w:pPr>
      <w:r>
        <w:rPr>
          <w:b/>
          <w:bCs/>
        </w:rPr>
        <w:t xml:space="preserve">A lossless centre-line + disc-width encoding</w:t>
      </w:r>
      <w:r>
        <w:t xml:space="preserve"> </w:t>
      </w:r>
      <w:r>
        <w:t xml:space="preserve">of road masks used as auxiliary supervision (GA). It gives a confirmed gain on DeepGlobe, beats the Deep-Distance-Transform targets of prior work [32], and is shown, with attribution runs, to need both of its terms.</w:t>
      </w:r>
    </w:p>
    <w:p>
      <w:pPr>
        <w:pStyle w:val="Compact"/>
        <w:numPr>
          <w:ilvl w:val="0"/>
          <w:numId w:val="1002"/>
        </w:numPr>
      </w:pPr>
      <w:r>
        <w:rPr>
          <w:b/>
          <w:bCs/>
        </w:rPr>
        <w:t xml:space="preserve">A replication on two more datasets.</w:t>
      </w:r>
      <w:r>
        <w:t xml:space="preserve"> </w:t>
      </w:r>
      <w:r>
        <w:t xml:space="preserve">The gain does</w:t>
      </w:r>
      <w:r>
        <w:t xml:space="preserve"> </w:t>
      </w:r>
      <w:r>
        <w:rPr>
          <w:i/>
          <w:iCs/>
        </w:rPr>
        <w:t xml:space="preserve">not</w:t>
      </w:r>
      <w:r>
        <w:t xml:space="preserve"> </w:t>
      </w:r>
      <w:r>
        <w:t xml:space="preserve">replicate on Massachusetts Roads (five seeds) or on Ottawa (five seeds). Every variant tried is reported, including the negative ones.</w:t>
      </w:r>
    </w:p>
    <w:bookmarkEnd w:id="11"/>
    <w:bookmarkStart w:id="12" w:name="background-and-related-work"/>
    <w:p>
      <w:pPr>
        <w:pStyle w:val="Heading1"/>
      </w:pPr>
      <w:r>
        <w:rPr>
          <w:rStyle w:val="SectionNumber"/>
        </w:rPr>
        <w:t xml:space="preserve">2</w:t>
      </w:r>
      <w:r>
        <w:tab/>
      </w:r>
      <w:r>
        <w:t xml:space="preserve">Background and related work</w:t>
      </w:r>
    </w:p>
    <w:p>
      <w:pPr>
        <w:pStyle w:val="FirstParagraph"/>
      </w:pPr>
      <w:r>
        <w:rPr>
          <w:b/>
          <w:bCs/>
        </w:rPr>
        <w:t xml:space="preserve">Road extraction as pixel classification.</w:t>
      </w:r>
      <w:r>
        <w:t xml:space="preserve"> </w:t>
      </w:r>
      <w:r>
        <w:t xml:space="preserve">Mnih and Hinton [2] introduced the Massachusetts Roads benchmark and the</w:t>
      </w:r>
      <w:r>
        <w:t xml:space="preserve"> </w:t>
      </w:r>
      <w:r>
        <w:rPr>
          <w:i/>
          <w:iCs/>
        </w:rPr>
        <w:t xml:space="preserve">relaxed</w:t>
      </w:r>
      <w:r>
        <w:t xml:space="preserve"> </w:t>
      </w:r>
      <w:r>
        <w:t xml:space="preserve">precision and recall that tolerate a few pixels of misregistration between label and image [1]. Fully convolutional networks [13] and the U-Net encoder–decoder with skip connections [6] replaced patch classifiers. The residual U-Net of Zhang et al. [14] reached a relaxed break-even of 0.9187 on Massachusetts. On DeepGlobe [3], D-LinkNet [7] won the 2018 challenge: a LinkNet with an ImageNet-pretrained ResNet-34 encoder and a centre block of cascaded dilated convolutions. NL-LinkNet [15] replaced the dilated block with non-local operations.</w:t>
      </w:r>
    </w:p>
    <w:p>
      <w:pPr>
        <w:pStyle w:val="BodyText"/>
      </w:pPr>
      <w:r>
        <w:rPr>
          <w:b/>
          <w:bCs/>
        </w:rPr>
        <w:t xml:space="preserve">Connectivity and topology.</w:t>
      </w:r>
      <w:r>
        <w:t xml:space="preserve"> </w:t>
      </w:r>
      <w:r>
        <w:t xml:space="preserve">Pixel-wise losses tolerate small gaps that break a road network. Proposed remedies include:</w:t>
      </w:r>
    </w:p>
    <w:p>
      <w:pPr>
        <w:pStyle w:val="Compact"/>
        <w:numPr>
          <w:ilvl w:val="0"/>
          <w:numId w:val="1003"/>
        </w:numPr>
      </w:pPr>
      <w:r>
        <w:t xml:space="preserve">graph reasoning to repair gaps (DeepRoadMapper [16]);</w:t>
      </w:r>
    </w:p>
    <w:p>
      <w:pPr>
        <w:pStyle w:val="Compact"/>
        <w:numPr>
          <w:ilvl w:val="0"/>
          <w:numId w:val="1003"/>
        </w:numPr>
      </w:pPr>
      <w:r>
        <w:t xml:space="preserve">a perceptual topology loss (Mosinska et al. [17]);</w:t>
      </w:r>
    </w:p>
    <w:p>
      <w:pPr>
        <w:pStyle w:val="Compact"/>
        <w:numPr>
          <w:ilvl w:val="0"/>
          <w:numId w:val="1003"/>
        </w:numPr>
      </w:pPr>
      <w:r>
        <w:t xml:space="preserve">learning road orientation jointly with segmentation (Batra et al. [18]);</w:t>
      </w:r>
    </w:p>
    <w:p>
      <w:pPr>
        <w:pStyle w:val="Compact"/>
        <w:numPr>
          <w:ilvl w:val="0"/>
          <w:numId w:val="1003"/>
        </w:numPr>
      </w:pPr>
      <w:r>
        <w:t xml:space="preserve">strip convolutions with a connectivity-attention module (CoANet [19]);</w:t>
      </w:r>
    </w:p>
    <w:p>
      <w:pPr>
        <w:pStyle w:val="Compact"/>
        <w:numPr>
          <w:ilvl w:val="0"/>
          <w:numId w:val="1003"/>
        </w:numPr>
      </w:pPr>
      <w:r>
        <w:t xml:space="preserve">a loss on the overlap of soft skeletons (clDice [8]).</w:t>
      </w:r>
    </w:p>
    <w:p>
      <w:pPr>
        <w:pStyle w:val="FirstParagraph"/>
      </w:pPr>
      <w:r>
        <w:t xml:space="preserve">Connectivity is commonly evaluated with APLS [9], which compares shortest paths in graphs built from prediction and ground truth.</w:t>
      </w:r>
    </w:p>
    <w:p>
      <w:pPr>
        <w:pStyle w:val="BodyText"/>
      </w:pPr>
      <w:r>
        <w:rPr>
          <w:b/>
          <w:bCs/>
        </w:rPr>
        <w:t xml:space="preserve">Graph extraction and foundation models.</w:t>
      </w:r>
      <w:r>
        <w:t xml:space="preserve"> </w:t>
      </w:r>
      <w:r>
        <w:t xml:space="preserve">RoadTracer [20], Sat2Graph [21] and SAM-Road [22] predict the road graph directly. They are evaluated with graph metrics and are not directly comparable with raster metrics.</w:t>
      </w:r>
    </w:p>
    <w:p>
      <w:pPr>
        <w:pStyle w:val="BodyText"/>
      </w:pPr>
      <w:r>
        <w:rPr>
          <w:b/>
          <w:bCs/>
        </w:rPr>
        <w:t xml:space="preserve">Transformers and hybrid encoders.</w:t>
      </w:r>
      <w:r>
        <w:t xml:space="preserve"> </w:t>
      </w:r>
      <w:r>
        <w:t xml:space="preserve">Recent results are dominated by transformer or hybrid CNN–transformer encoders: SegFormer [23] as a generic baseline; Seg-Road [24], with a transformer branch, a CNN branch and a pixel-connectivity structure; URoadNet [25], a U-Net with dual sparse attention; and DSFC-Net [26], which separates high- and low-frequency content with a Laplacian pyramid.</w:t>
      </w:r>
    </w:p>
    <w:p>
      <w:pPr>
        <w:pStyle w:val="BodyText"/>
      </w:pPr>
      <w:r>
        <w:rPr>
          <w:b/>
          <w:bCs/>
        </w:rPr>
        <w:t xml:space="preserve">Wavelets in CNNs.</w:t>
      </w:r>
      <w:r>
        <w:t xml:space="preserve"> </w:t>
      </w:r>
      <w:r>
        <w:t xml:space="preserve">The multiresolution wavelet representation [5] has entered deep networks in several ways:</w:t>
      </w:r>
    </w:p>
    <w:p>
      <w:pPr>
        <w:pStyle w:val="Compact"/>
        <w:numPr>
          <w:ilvl w:val="0"/>
          <w:numId w:val="1004"/>
        </w:numPr>
      </w:pPr>
      <w:r>
        <w:t xml:space="preserve">as pooling [27];</w:t>
      </w:r>
    </w:p>
    <w:p>
      <w:pPr>
        <w:pStyle w:val="Compact"/>
        <w:numPr>
          <w:ilvl w:val="0"/>
          <w:numId w:val="1004"/>
        </w:numPr>
      </w:pPr>
      <w:r>
        <w:t xml:space="preserve">as lossless down- and up-sampling (MWCNN [12], WaveCNet [11, 28], WaveSNet for segmentation [29]);</w:t>
      </w:r>
    </w:p>
    <w:p>
      <w:pPr>
        <w:pStyle w:val="Compact"/>
        <w:numPr>
          <w:ilvl w:val="0"/>
          <w:numId w:val="1004"/>
        </w:numPr>
      </w:pPr>
      <w:r>
        <w:t xml:space="preserve">as Haar wavelet down-sampling for segmentation [30];</w:t>
      </w:r>
    </w:p>
    <w:p>
      <w:pPr>
        <w:pStyle w:val="Compact"/>
        <w:numPr>
          <w:ilvl w:val="0"/>
          <w:numId w:val="1004"/>
        </w:numPr>
      </w:pPr>
      <w:r>
        <w:t xml:space="preserve">inside a road-extraction module combining wavelet and Fourier operations (PWFNet [31]).</w:t>
      </w:r>
    </w:p>
    <w:p>
      <w:pPr>
        <w:pStyle w:val="FirstParagraph"/>
      </w:pPr>
      <w:r>
        <w:t xml:space="preserve">Anti-aliased down-sampling [10] restores the shift-invariance that strided operations destroy; several wavelet methods appeal to the same mechanism.</w:t>
      </w:r>
    </w:p>
    <w:p>
      <w:pPr>
        <w:pStyle w:val="BodyText"/>
      </w:pPr>
      <w:r>
        <w:rPr>
          <w:b/>
          <w:bCs/>
        </w:rPr>
        <w:t xml:space="preserve">Distance, width and orientation targets.</w:t>
      </w:r>
      <w:r>
        <w:t xml:space="preserve"> </w:t>
      </w:r>
      <w:r>
        <w:t xml:space="preserve">The Deep Distance Transform (DDT) [32] adds a head that classifies, at every foreground voxel, the rounded distance to the boundary, and reconstructs tubular structures from a skeleton at inference. It was proposed for medical CT. Wei et al. [33] regress road centre-lines and widths in order to extract vectors. Batra et al. [18] supervise orientation. We did not find a lossless centre + disc-radius encoding used as auxiliary supervision for road segmentation, nor a controlled comparison of such targets with DDT targets.</w:t>
      </w:r>
    </w:p>
    <w:p>
      <w:pPr>
        <w:pStyle w:val="BodyText"/>
      </w:pPr>
      <w:r>
        <w:rPr>
          <w:b/>
          <w:bCs/>
        </w:rPr>
        <w:t xml:space="preserve">Position of this study.</w:t>
      </w:r>
      <w:r>
        <w:t xml:space="preserve"> </w:t>
      </w:r>
      <w:r>
        <w:t xml:space="preserve">Most papers above compare a modified network with a vanilla counterpart and report gains. We are not aware of a road-extraction study that does all three of the following:</w:t>
      </w:r>
    </w:p>
    <w:p>
      <w:pPr>
        <w:pStyle w:val="Compact"/>
        <w:numPr>
          <w:ilvl w:val="0"/>
          <w:numId w:val="1005"/>
        </w:numPr>
      </w:pPr>
      <w:r>
        <w:t xml:space="preserve">keeps every pretrained weight, and starts the modified network</w:t>
      </w:r>
      <w:r>
        <w:t xml:space="preserve"> </w:t>
      </w:r>
      <w:r>
        <w:rPr>
          <w:i/>
          <w:iCs/>
        </w:rPr>
        <w:t xml:space="preserve">functionally identical</w:t>
      </w:r>
      <w:r>
        <w:t xml:space="preserve"> </w:t>
      </w:r>
      <w:r>
        <w:t xml:space="preserve">to the baseline where possible;</w:t>
      </w:r>
    </w:p>
    <w:p>
      <w:pPr>
        <w:pStyle w:val="Compact"/>
        <w:numPr>
          <w:ilvl w:val="0"/>
          <w:numId w:val="1005"/>
        </w:numPr>
      </w:pPr>
      <w:r>
        <w:t xml:space="preserve">matches the data stream, recipe and seeds across variants;</w:t>
      </w:r>
    </w:p>
    <w:p>
      <w:pPr>
        <w:pStyle w:val="Compact"/>
        <w:numPr>
          <w:ilvl w:val="0"/>
          <w:numId w:val="1005"/>
        </w:numPr>
      </w:pPr>
      <w:r>
        <w:t xml:space="preserve">fixes the primary comparison and decision rule before seeing test results.</w:t>
      </w:r>
    </w:p>
    <w:bookmarkEnd w:id="12"/>
    <w:bookmarkStart w:id="27" w:name="data"/>
    <w:p>
      <w:pPr>
        <w:pStyle w:val="Heading1"/>
      </w:pPr>
      <w:r>
        <w:rPr>
          <w:rStyle w:val="SectionNumber"/>
        </w:rPr>
        <w:t xml:space="preserve">3</w:t>
      </w:r>
      <w:r>
        <w:tab/>
      </w:r>
      <w:r>
        <w:t xml:space="preserve">Data</w:t>
      </w:r>
    </w:p>
    <w:bookmarkStart w:id="22" w:name="datasets"/>
    <w:p>
      <w:pPr>
        <w:pStyle w:val="Heading2"/>
      </w:pPr>
      <w:r>
        <w:rPr>
          <w:rStyle w:val="SectionNumber"/>
        </w:rPr>
        <w:t xml:space="preserve">3.1</w:t>
      </w:r>
      <w:r>
        <w:tab/>
      </w:r>
      <w:r>
        <w:t xml:space="preserve">Datasets</w:t>
      </w:r>
    </w:p>
    <w:p>
      <w:pPr>
        <w:pStyle w:val="FirstParagraph"/>
      </w:pPr>
      <w:r>
        <w:rPr>
          <w:b/>
          <w:bCs/>
        </w:rPr>
        <w:t xml:space="preserve">Massachusetts Roads</w:t>
      </w:r>
      <w:r>
        <w:t xml:space="preserve"> </w:t>
      </w:r>
      <w:r>
        <w:t xml:space="preserve">[1]: aerial RGB imagery of Massachusetts at 1 m/px in 1500 × 1500 tiles. The binary masks are rasterised from OpenStreetMap centre-lines, so roads appear at an almost constant width (median 5.3 px). The official split is used: 1108 training, 14 validation and 49 test tiles.</w:t>
      </w:r>
    </w:p>
    <w:p>
      <w:pPr>
        <w:pStyle w:val="Compact"/>
        <w:numPr>
          <w:ilvl w:val="0"/>
          <w:numId w:val="1006"/>
        </w:numPr>
      </w:pPr>
      <w:r>
        <w:t xml:space="preserve">Source:</w:t>
      </w:r>
      <w:r>
        <w:t xml:space="preserve"> </w:t>
      </w:r>
      <w:hyperlink r:id="rId13">
        <w:r>
          <w:rPr>
            <w:rStyle w:val="Hyperlink"/>
          </w:rPr>
          <w:t xml:space="preserve">https://www.cs.toronto.edu/~vmnih/data/</w:t>
        </w:r>
      </w:hyperlink>
    </w:p>
    <w:p>
      <w:pPr>
        <w:pStyle w:val="Compact"/>
        <w:numPr>
          <w:ilvl w:val="0"/>
          <w:numId w:val="1006"/>
        </w:numPr>
      </w:pPr>
      <w:r>
        <w:t xml:space="preserve">Kaggle mirror:</w:t>
      </w:r>
      <w:r>
        <w:t xml:space="preserve"> </w:t>
      </w:r>
      <w:hyperlink r:id="rId14">
        <w:r>
          <w:rPr>
            <w:rStyle w:val="Hyperlink"/>
          </w:rPr>
          <w:t xml:space="preserve">https://www.kaggle.com/datasets/balraj98/massachusetts-roads-dataset</w:t>
        </w:r>
      </w:hyperlink>
    </w:p>
    <w:p>
      <w:pPr>
        <w:pStyle w:val="FirstParagraph"/>
      </w:pPr>
      <w:r>
        <w:rPr>
          <w:b/>
          <w:bCs/>
        </w:rPr>
        <w:t xml:space="preserve">DeepGlobe Road Extraction</w:t>
      </w:r>
      <w:r>
        <w:t xml:space="preserve"> </w:t>
      </w:r>
      <w:r>
        <w:t xml:space="preserve">[3]: satellite RGB imagery of Thailand, Indonesia and India at 0.5 m/px in 1024 × 1024 tiles. Road widths vary between images (median 9.8 px; 5th–95th percentile 5–22 px). Only the 6226 training tiles were released with labels, so they were re-split by image, 70/15/15%, with a fixed seed (1337). The test split is pinned by a SHA-256 fingerprint of its tile ids.</w:t>
      </w:r>
    </w:p>
    <w:p>
      <w:pPr>
        <w:pStyle w:val="Compact"/>
        <w:numPr>
          <w:ilvl w:val="0"/>
          <w:numId w:val="1007"/>
        </w:numPr>
      </w:pPr>
      <w:r>
        <w:t xml:space="preserve">Challenge page:</w:t>
      </w:r>
      <w:r>
        <w:t xml:space="preserve"> </w:t>
      </w:r>
      <w:hyperlink r:id="rId15">
        <w:r>
          <w:rPr>
            <w:rStyle w:val="Hyperlink"/>
          </w:rPr>
          <w:t xml:space="preserve">http://deepglobe.org/</w:t>
        </w:r>
      </w:hyperlink>
    </w:p>
    <w:p>
      <w:pPr>
        <w:pStyle w:val="Compact"/>
        <w:numPr>
          <w:ilvl w:val="0"/>
          <w:numId w:val="1007"/>
        </w:numPr>
      </w:pPr>
      <w:r>
        <w:t xml:space="preserve">Kaggle release:</w:t>
      </w:r>
      <w:r>
        <w:t xml:space="preserve"> </w:t>
      </w:r>
      <w:hyperlink r:id="rId16">
        <w:r>
          <w:rPr>
            <w:rStyle w:val="Hyperlink"/>
          </w:rPr>
          <w:t xml:space="preserve">https://www.kaggle.com/datasets/balraj98/deepglobe-road-extraction-dataset</w:t>
        </w:r>
      </w:hyperlink>
    </w:p>
    <w:p>
      <w:pPr>
        <w:pStyle w:val="Compact"/>
        <w:numPr>
          <w:ilvl w:val="0"/>
          <w:numId w:val="1007"/>
        </w:numPr>
      </w:pPr>
      <w:r>
        <w:t xml:space="preserve">Mirror used:</w:t>
      </w:r>
      <w:r>
        <w:t xml:space="preserve"> </w:t>
      </w:r>
      <w:hyperlink r:id="rId17">
        <w:r>
          <w:rPr>
            <w:rStyle w:val="Hyperlink"/>
          </w:rPr>
          <w:t xml:space="preserve">https://huggingface.co/datasets/lammtfkday/deepglobe-roads</w:t>
        </w:r>
      </w:hyperlink>
      <w:r>
        <w:t xml:space="preserve"> </w:t>
      </w:r>
      <w:r>
        <w:t xml:space="preserve">(counts, tile size and resolution match the original; pixel identity was not verified).</w:t>
      </w:r>
    </w:p>
    <w:p>
      <w:pPr>
        <w:pStyle w:val="FirstParagraph"/>
      </w:pPr>
      <w:r>
        <w:rPr>
          <w:b/>
          <w:bCs/>
        </w:rPr>
        <w:t xml:space="preserve">Ottawa (RoadNet)</w:t>
      </w:r>
      <w:r>
        <w:t xml:space="preserve"> </w:t>
      </w:r>
      <w:r>
        <w:t xml:space="preserve">[34]: 20 aerial scenes of Ottawa at 0.21 m/px with manually drawn road-</w:t>
      </w:r>
      <w:r>
        <w:rPr>
          <w:i/>
          <w:iCs/>
        </w:rPr>
        <w:t xml:space="preserve">surface</w:t>
      </w:r>
      <w:r>
        <w:t xml:space="preserve"> </w:t>
      </w:r>
      <w:r>
        <w:t xml:space="preserve">masks (widths 14–54 px).</w:t>
      </w:r>
    </w:p>
    <w:p>
      <w:pPr>
        <w:pStyle w:val="Compact"/>
        <w:numPr>
          <w:ilvl w:val="0"/>
          <w:numId w:val="1008"/>
        </w:numPr>
      </w:pPr>
      <w:r>
        <w:t xml:space="preserve">Source:</w:t>
      </w:r>
      <w:r>
        <w:t xml:space="preserve"> </w:t>
      </w:r>
      <w:hyperlink r:id="rId18">
        <w:r>
          <w:rPr>
            <w:rStyle w:val="Hyperlink"/>
          </w:rPr>
          <w:t xml:space="preserve">https://github.com/yhlleo/RoadNet</w:t>
        </w:r>
      </w:hyperlink>
    </w:p>
    <w:p>
      <w:pPr>
        <w:pStyle w:val="Compact"/>
        <w:numPr>
          <w:ilvl w:val="0"/>
          <w:numId w:val="1008"/>
        </w:numPr>
      </w:pPr>
      <w:r>
        <w:t xml:space="preserve">Preparation: images were downsampled exactly 2× (box filter) to 0.42 m/px, giving road widths of 7–27 px. Masks were downsampled by 2 × 2 majority vote.</w:t>
      </w:r>
    </w:p>
    <w:p>
      <w:pPr>
        <w:pStyle w:val="Compact"/>
        <w:numPr>
          <w:ilvl w:val="0"/>
          <w:numId w:val="1008"/>
        </w:numPr>
      </w:pPr>
      <w:r>
        <w:t xml:space="preserve">Split: the official test scenes (1, 16–20) are used for testing; two of the authors’ training scenes (9 and 14, drawn with a fixed seed) form the validation set; the other 12 scenes are used for training.</w:t>
      </w:r>
    </w:p>
    <w:p>
      <w:pPr>
        <w:pStyle w:val="Compact"/>
        <w:numPr>
          <w:ilvl w:val="0"/>
          <w:numId w:val="1008"/>
        </w:numPr>
      </w:pPr>
      <w:r>
        <w:t xml:space="preserve">Edge strips: two scenes had no-imagery strips at their right edge, which were cropped off.</w:t>
      </w:r>
    </w:p>
    <w:p>
      <w:pPr>
        <w:pStyle w:val="TableCaption"/>
      </w:pPr>
      <w:r>
        <w:t xml:space="preserve">Table 2. Datasets.</w:t>
      </w:r>
    </w:p>
    <w:tbl>
      <w:tblPr>
        <w:tblStyle w:val="Table"/>
        <w:tblW w:type="pct" w:w="5000"/>
        <w:tblLayout w:type="fixed"/>
        <w:tblLook w:firstRow="1" w:lastRow="0" w:firstColumn="0" w:lastColumn="0" w:noHBand="0" w:noVBand="0" w:val="0020"/>
        <w:tblCaption w:val="Table 2. Datasets."/>
      </w:tblPr>
      <w:tblGrid>
        <w:gridCol w:w="1568"/>
        <w:gridCol w:w="1097"/>
        <w:gridCol w:w="1097"/>
        <w:gridCol w:w="1489"/>
        <w:gridCol w:w="940"/>
        <w:gridCol w:w="1725"/>
      </w:tblGrid>
      <w:tr>
        <w:trPr>
          <w:tblHeader w:val="on"/>
        </w:trPr>
        <w:tc>
          <w:tcPr/>
          <w:p>
            <w:pPr>
              <w:pStyle w:val="TableText"/>
              <w:jc w:val="left"/>
            </w:pPr>
            <w:r>
              <w:t xml:space="preserve">Dataset</w:t>
            </w:r>
          </w:p>
        </w:tc>
        <w:tc>
          <w:tcPr/>
          <w:p>
            <w:pPr>
              <w:pStyle w:val="TableText"/>
              <w:jc w:val="center"/>
            </w:pPr>
            <w:r>
              <w:t xml:space="preserve">Resolution</w:t>
            </w:r>
          </w:p>
        </w:tc>
        <w:tc>
          <w:tcPr/>
          <w:p>
            <w:pPr>
              <w:pStyle w:val="TableText"/>
              <w:jc w:val="center"/>
            </w:pPr>
            <w:r>
              <w:t xml:space="preserve">Image size</w:t>
            </w:r>
          </w:p>
        </w:tc>
        <w:tc>
          <w:tcPr/>
          <w:p>
            <w:pPr>
              <w:pStyle w:val="TableText"/>
              <w:jc w:val="center"/>
            </w:pPr>
            <w:r>
              <w:t xml:space="preserve">Train / val / test</w:t>
            </w:r>
          </w:p>
        </w:tc>
        <w:tc>
          <w:tcPr/>
          <w:p>
            <w:pPr>
              <w:pStyle w:val="TableText"/>
              <w:jc w:val="center"/>
            </w:pPr>
            <w:r>
              <w:t xml:space="preserve">Road pixels</w:t>
            </w:r>
          </w:p>
        </w:tc>
        <w:tc>
          <w:tcPr/>
          <w:p>
            <w:pPr>
              <w:pStyle w:val="TableText"/>
              <w:jc w:val="left"/>
            </w:pPr>
            <w:r>
              <w:t xml:space="preserve">Label type</w:t>
            </w:r>
          </w:p>
        </w:tc>
      </w:tr>
      <w:tr>
        <w:tc>
          <w:tcPr/>
          <w:p>
            <w:pPr>
              <w:pStyle w:val="TableText"/>
              <w:jc w:val="left"/>
            </w:pPr>
            <w:r>
              <w:t xml:space="preserve">Massachusetts Roads</w:t>
            </w:r>
          </w:p>
        </w:tc>
        <w:tc>
          <w:tcPr/>
          <w:p>
            <w:pPr>
              <w:pStyle w:val="TableText"/>
              <w:jc w:val="center"/>
            </w:pPr>
            <w:r>
              <w:t xml:space="preserve">1.0 m/px</w:t>
            </w:r>
          </w:p>
        </w:tc>
        <w:tc>
          <w:tcPr/>
          <w:p>
            <w:pPr>
              <w:pStyle w:val="TableText"/>
              <w:jc w:val="center"/>
            </w:pPr>
            <w:r>
              <w:t xml:space="preserve">1500 × 1500</w:t>
            </w:r>
          </w:p>
        </w:tc>
        <w:tc>
          <w:tcPr/>
          <w:p>
            <w:pPr>
              <w:pStyle w:val="TableText"/>
              <w:jc w:val="center"/>
            </w:pPr>
            <w:r>
              <w:t xml:space="preserve">1108 / 14 / 49</w:t>
            </w:r>
          </w:p>
        </w:tc>
        <w:tc>
          <w:tcPr/>
          <w:p>
            <w:pPr>
              <w:pStyle w:val="TableText"/>
              <w:jc w:val="center"/>
            </w:pPr>
            <w:r>
              <w:t xml:space="preserve">≈ 5% of valid</w:t>
            </w:r>
          </w:p>
        </w:tc>
        <w:tc>
          <w:tcPr/>
          <w:p>
            <w:pPr>
              <w:pStyle w:val="TableText"/>
              <w:jc w:val="left"/>
            </w:pPr>
            <w:r>
              <w:t xml:space="preserve">rasterised centre-lines</w:t>
            </w:r>
          </w:p>
        </w:tc>
      </w:tr>
      <w:tr>
        <w:tc>
          <w:tcPr/>
          <w:p>
            <w:pPr>
              <w:pStyle w:val="TableText"/>
              <w:jc w:val="left"/>
            </w:pPr>
            <w:r>
              <w:t xml:space="preserve">DeepGlobe</w:t>
            </w:r>
          </w:p>
        </w:tc>
        <w:tc>
          <w:tcPr/>
          <w:p>
            <w:pPr>
              <w:pStyle w:val="TableText"/>
              <w:jc w:val="center"/>
            </w:pPr>
            <w:r>
              <w:t xml:space="preserve">0.5 m/px</w:t>
            </w:r>
          </w:p>
        </w:tc>
        <w:tc>
          <w:tcPr/>
          <w:p>
            <w:pPr>
              <w:pStyle w:val="TableText"/>
              <w:jc w:val="center"/>
            </w:pPr>
            <w:r>
              <w:t xml:space="preserve">1024 × 1024</w:t>
            </w:r>
          </w:p>
        </w:tc>
        <w:tc>
          <w:tcPr/>
          <w:p>
            <w:pPr>
              <w:pStyle w:val="TableText"/>
              <w:jc w:val="center"/>
            </w:pPr>
            <w:r>
              <w:t xml:space="preserve">4358 / 933 / 935</w:t>
            </w:r>
          </w:p>
        </w:tc>
        <w:tc>
          <w:tcPr/>
          <w:p>
            <w:pPr>
              <w:pStyle w:val="TableText"/>
              <w:jc w:val="center"/>
            </w:pPr>
            <w:r>
              <w:t xml:space="preserve">≈ 3.6%</w:t>
            </w:r>
          </w:p>
        </w:tc>
        <w:tc>
          <w:tcPr/>
          <w:p>
            <w:pPr>
              <w:pStyle w:val="TableText"/>
              <w:jc w:val="left"/>
            </w:pPr>
            <w:r>
              <w:t xml:space="preserve">hand-drawn, variable width</w:t>
            </w:r>
          </w:p>
        </w:tc>
      </w:tr>
      <w:tr>
        <w:tc>
          <w:tcPr/>
          <w:p>
            <w:pPr>
              <w:pStyle w:val="TableText"/>
              <w:jc w:val="left"/>
            </w:pPr>
            <w:r>
              <w:t xml:space="preserve">Ottawa</w:t>
            </w:r>
          </w:p>
        </w:tc>
        <w:tc>
          <w:tcPr/>
          <w:p>
            <w:pPr>
              <w:pStyle w:val="TableText"/>
              <w:jc w:val="center"/>
            </w:pPr>
            <w:r>
              <w:t xml:space="preserve">0.42 m/px (2× down)</w:t>
            </w:r>
          </w:p>
        </w:tc>
        <w:tc>
          <w:tcPr/>
          <w:p>
            <w:pPr>
              <w:pStyle w:val="TableText"/>
              <w:jc w:val="center"/>
            </w:pPr>
            <w:r>
              <w:t xml:space="preserve">≥ 512 × 640</w:t>
            </w:r>
          </w:p>
        </w:tc>
        <w:tc>
          <w:tcPr/>
          <w:p>
            <w:pPr>
              <w:pStyle w:val="TableText"/>
              <w:jc w:val="center"/>
            </w:pPr>
            <w:r>
              <w:t xml:space="preserve">12 / 2 / 6 scenes</w:t>
            </w:r>
          </w:p>
        </w:tc>
        <w:tc>
          <w:tcPr/>
          <w:p>
            <w:pPr>
              <w:pStyle w:val="TableText"/>
              <w:jc w:val="center"/>
            </w:pPr>
            <w:r>
              <w:t xml:space="preserve">≈ 13%</w:t>
            </w:r>
          </w:p>
        </w:tc>
        <w:tc>
          <w:tcPr/>
          <w:p>
            <w:pPr>
              <w:pStyle w:val="TableText"/>
              <w:jc w:val="left"/>
            </w:pPr>
            <w:r>
              <w:t xml:space="preserve">hand-drawn road surface</w:t>
            </w:r>
          </w:p>
        </w:tc>
      </w:tr>
    </w:tbl>
    <w:p>
      <w:pPr>
        <w:pStyle w:val="CaptionedFigure"/>
      </w:pPr>
      <w:r>
        <w:drawing>
          <wp:inline>
            <wp:extent cx="4754880" cy="6810076"/>
            <wp:effectExtent b="0" l="0" r="0" t="0"/>
            <wp:docPr descr="Figure 1. One example from each dataset. Left: the image. Right: the label overlaid in red. Massachusetts labels are thin, constant-width centre-line rasterisations; DeepGlobe labels vary in width; Ottawa labels cover the full road surface." title="" id="20" name="Picture"/>
            <a:graphic>
              <a:graphicData uri="http://schemas.openxmlformats.org/drawingml/2006/picture">
                <pic:pic>
                  <pic:nvPicPr>
                    <pic:cNvPr descr="fig/ex_datasets.png" id="21" name="Picture"/>
                    <pic:cNvPicPr>
                      <a:picLocks noChangeArrowheads="1" noChangeAspect="1"/>
                    </pic:cNvPicPr>
                  </pic:nvPicPr>
                  <pic:blipFill>
                    <a:blip r:embed="rId19"/>
                    <a:stretch>
                      <a:fillRect/>
                    </a:stretch>
                  </pic:blipFill>
                  <pic:spPr bwMode="auto">
                    <a:xfrm>
                      <a:off x="0" y="0"/>
                      <a:ext cx="4754880" cy="6810076"/>
                    </a:xfrm>
                    <a:prstGeom prst="rect">
                      <a:avLst/>
                    </a:prstGeom>
                    <a:noFill/>
                    <a:ln w="9525">
                      <a:noFill/>
                      <a:headEnd/>
                      <a:tailEnd/>
                    </a:ln>
                  </pic:spPr>
                </pic:pic>
              </a:graphicData>
            </a:graphic>
          </wp:inline>
        </w:drawing>
      </w:r>
    </w:p>
    <w:p>
      <w:pPr>
        <w:pStyle w:val="ImageCaption"/>
      </w:pPr>
      <w:r>
        <w:rPr>
          <w:b/>
          <w:bCs/>
        </w:rPr>
        <w:t xml:space="preserve">Figure 1. One example from each dataset.</w:t>
      </w:r>
      <w:r>
        <w:t xml:space="preserve"> </w:t>
      </w:r>
      <w:r>
        <w:t xml:space="preserve">Left: the image. Right: the label overlaid in red. Massachusetts labels are thin, constant-width centre-line rasterisations; DeepGlobe labels vary in width; Ottawa labels cover the full road surface.</w:t>
      </w:r>
    </w:p>
    <w:bookmarkEnd w:id="22"/>
    <w:bookmarkStart w:id="26" w:name="no-data-regions-massachusetts"/>
    <w:p>
      <w:pPr>
        <w:pStyle w:val="Heading2"/>
      </w:pPr>
      <w:r>
        <w:rPr>
          <w:rStyle w:val="SectionNumber"/>
        </w:rPr>
        <w:t xml:space="preserve">3.2</w:t>
      </w:r>
      <w:r>
        <w:tab/>
      </w:r>
      <w:r>
        <w:t xml:space="preserve">No-data regions (Massachusetts)</w:t>
      </w:r>
    </w:p>
    <w:p>
      <w:pPr>
        <w:pStyle w:val="FirstParagraph"/>
      </w:pPr>
      <w:r>
        <w:t xml:space="preserve">Many Massachusetts tiles contain large blank white areas with no imagery: in a 40-image sample they covered 11% of pixels on average and up to 79%. The labels nevertheless draw roads through them (Figure 2). Counting those pixels would reward a network for guessing roads in a blank image.</w:t>
      </w:r>
    </w:p>
    <w:p>
      <w:pPr>
        <w:pStyle w:val="BodyText"/>
      </w:pPr>
      <w:r>
        <w:t xml:space="preserve">We therefore define a</w:t>
      </w:r>
      <w:r>
        <w:t xml:space="preserve"> </w:t>
      </w:r>
      <w:r>
        <w:rPr>
          <w:b/>
          <w:bCs/>
        </w:rPr>
        <w:t xml:space="preserve">validity mask</w:t>
      </w:r>
      <w:r>
        <w:t xml:space="preserve"> </w:t>
      </w:r>
      <w:r>
        <w:rPr>
          <w:i/>
          <w:iCs/>
        </w:rPr>
        <w:t xml:space="preserve">V</w:t>
      </w:r>
      <w:r>
        <w:t xml:space="preserve">. A pixel is</w:t>
      </w:r>
      <w:r>
        <w:t xml:space="preserve"> </w:t>
      </w:r>
      <w:r>
        <w:rPr>
          <w:i/>
          <w:iCs/>
        </w:rPr>
        <w:t xml:space="preserve">no-data</w:t>
      </w:r>
      <w:r>
        <w:t xml:space="preserve"> </w:t>
      </w:r>
      <w:r>
        <w:t xml:space="preserve">if all three colour channels are ≥ 250</w:t>
      </w:r>
      <w:r>
        <w:t xml:space="preserve"> </w:t>
      </w:r>
      <w:r>
        <w:rPr>
          <w:b/>
          <w:bCs/>
        </w:rPr>
        <w:t xml:space="preserve">and</w:t>
      </w:r>
      <w:r>
        <w:t xml:space="preserve"> </w:t>
      </w:r>
      <w:r>
        <w:t xml:space="preserve">it belongs to a 4-connected white region of at least 2500 pixels. The size condition keeps isolated bright pixels such as roofs and lane paint.</w:t>
      </w:r>
      <w:r>
        <w:t xml:space="preserve"> </w:t>
      </w:r>
      <w:r>
        <w:rPr>
          <w:i/>
          <w:iCs/>
        </w:rPr>
        <w:t xml:space="preserve">V</w:t>
      </w:r>
      <w:r>
        <w:t xml:space="preserve"> </w:t>
      </w:r>
      <w:r>
        <w:t xml:space="preserve">is excluded from the loss, from crop sampling, from model selection and from every metric. DeepGlobe and Ottawa need no such mask (</w:t>
      </w:r>
      <w:r>
        <w:rPr>
          <w:i/>
          <w:iCs/>
        </w:rPr>
        <w:t xml:space="preserve">V</w:t>
      </w:r>
      <w:r>
        <w:t xml:space="preserve"> </w:t>
      </w:r>
      <w:r>
        <w:t xml:space="preserve">≡ 1).</w:t>
      </w:r>
    </w:p>
    <w:p>
      <w:pPr>
        <w:pStyle w:val="CaptionedFigure"/>
      </w:pPr>
      <w:r>
        <w:drawing>
          <wp:inline>
            <wp:extent cx="5852160" cy="2265352"/>
            <wp:effectExtent b="0" l="0" r="0" t="0"/>
            <wp:docPr descr="Figure 2. The validity mask on a Massachusetts training image. The label (middle) draws roads through the area with no imagery; the validity mask (right, purple) removes that area from training and evaluation." title="" id="24" name="Picture"/>
            <a:graphic>
              <a:graphicData uri="http://schemas.openxmlformats.org/drawingml/2006/picture">
                <pic:pic>
                  <pic:nvPicPr>
                    <pic:cNvPr descr="fig/ex_nodata.png" id="25" name="Picture"/>
                    <pic:cNvPicPr>
                      <a:picLocks noChangeArrowheads="1" noChangeAspect="1"/>
                    </pic:cNvPicPr>
                  </pic:nvPicPr>
                  <pic:blipFill>
                    <a:blip r:embed="rId23"/>
                    <a:stretch>
                      <a:fillRect/>
                    </a:stretch>
                  </pic:blipFill>
                  <pic:spPr bwMode="auto">
                    <a:xfrm>
                      <a:off x="0" y="0"/>
                      <a:ext cx="5852160" cy="2265352"/>
                    </a:xfrm>
                    <a:prstGeom prst="rect">
                      <a:avLst/>
                    </a:prstGeom>
                    <a:noFill/>
                    <a:ln w="9525">
                      <a:noFill/>
                      <a:headEnd/>
                      <a:tailEnd/>
                    </a:ln>
                  </pic:spPr>
                </pic:pic>
              </a:graphicData>
            </a:graphic>
          </wp:inline>
        </w:drawing>
      </w:r>
    </w:p>
    <w:p>
      <w:pPr>
        <w:pStyle w:val="ImageCaption"/>
      </w:pPr>
      <w:r>
        <w:rPr>
          <w:b/>
          <w:bCs/>
        </w:rPr>
        <w:t xml:space="preserve">Figure 2. The validity mask on a Massachusetts training image.</w:t>
      </w:r>
      <w:r>
        <w:t xml:space="preserve"> </w:t>
      </w:r>
      <w:r>
        <w:t xml:space="preserve">The label (middle) draws roads through the area with no imagery; the validity mask (right, purple) removes that area from training and evaluation.</w:t>
      </w:r>
    </w:p>
    <w:p>
      <w:pPr>
        <w:pStyle w:val="Explainer"/>
      </w:pPr>
      <w:r>
        <w:rPr>
          <w:b/>
          <w:bCs/>
        </w:rPr>
        <w:t xml:space="preserve">Why not simply delete those images?</w:t>
      </w:r>
      <w:r>
        <w:t xml:space="preserve"> </w:t>
      </w:r>
      <w:r>
        <w:t xml:space="preserve">Half of this tile is valid imagery with correct labels. Masking keeps the good half and drops only the pixels where the label cannot be right. Because the same mask is applied to every model, it cannot favour one model over another. It does mean that our Massachusetts numbers are not directly comparable with papers that score those pixels.</w:t>
      </w:r>
    </w:p>
    <w:bookmarkEnd w:id="26"/>
    <w:bookmarkEnd w:id="27"/>
    <w:bookmarkStart w:id="56" w:name="the-pipeline-step-by-step"/>
    <w:p>
      <w:pPr>
        <w:pStyle w:val="Heading1"/>
      </w:pPr>
      <w:r>
        <w:rPr>
          <w:rStyle w:val="SectionNumber"/>
        </w:rPr>
        <w:t xml:space="preserve">4</w:t>
      </w:r>
      <w:r>
        <w:tab/>
      </w:r>
      <w:r>
        <w:t xml:space="preserve">The pipeline, step by step</w:t>
      </w:r>
    </w:p>
    <w:p>
      <w:pPr>
        <w:pStyle w:val="CaptionedFigure"/>
      </w:pPr>
      <w:r>
        <w:drawing>
          <wp:inline>
            <wp:extent cx="5943600" cy="3853502"/>
            <wp:effectExtent b="0" l="0" r="0" t="0"/>
            <wp:docPr descr="Figure 3. End-to-end pipeline. (1) Data: datasets, splits, no-data mask, in-memory preload. (2) Training: crop sampler, augmentation, network, loss, optimiser, repeated every epoch. (3) Model selection on the validation split, tiled test inference, binarisation, metrics and statistics." title="" id="29" name="Picture"/>
            <a:graphic>
              <a:graphicData uri="http://schemas.openxmlformats.org/drawingml/2006/picture">
                <pic:pic>
                  <pic:nvPicPr>
                    <pic:cNvPr descr="fig/pipeline.png" id="30" name="Picture"/>
                    <pic:cNvPicPr>
                      <a:picLocks noChangeArrowheads="1" noChangeAspect="1"/>
                    </pic:cNvPicPr>
                  </pic:nvPicPr>
                  <pic:blipFill>
                    <a:blip r:embed="rId28"/>
                    <a:stretch>
                      <a:fillRect/>
                    </a:stretch>
                  </pic:blipFill>
                  <pic:spPr bwMode="auto">
                    <a:xfrm>
                      <a:off x="0" y="0"/>
                      <a:ext cx="5943600" cy="3853502"/>
                    </a:xfrm>
                    <a:prstGeom prst="rect">
                      <a:avLst/>
                    </a:prstGeom>
                    <a:noFill/>
                    <a:ln w="9525">
                      <a:noFill/>
                      <a:headEnd/>
                      <a:tailEnd/>
                    </a:ln>
                  </pic:spPr>
                </pic:pic>
              </a:graphicData>
            </a:graphic>
          </wp:inline>
        </w:drawing>
      </w:r>
    </w:p>
    <w:p>
      <w:pPr>
        <w:pStyle w:val="ImageCaption"/>
      </w:pPr>
      <w:r>
        <w:rPr>
          <w:b/>
          <w:bCs/>
        </w:rPr>
        <w:t xml:space="preserve">Figure 3. End-to-end pipeline.</w:t>
      </w:r>
      <w:r>
        <w:t xml:space="preserve"> </w:t>
      </w:r>
      <w:r>
        <w:t xml:space="preserve">(1) Data: datasets, splits, no-data mask, in-memory preload. (2) Training: crop sampler, augmentation, network, loss, optimiser, repeated every epoch. (3) Model selection on the validation split, tiled test inference, binarisation, metrics and statistics.</w:t>
      </w:r>
    </w:p>
    <w:p>
      <w:pPr>
        <w:pStyle w:val="BodyText"/>
      </w:pPr>
      <w:r>
        <w:t xml:space="preserve">This section follows the data through the whole pipeline (Figure 3) in the order in which it happens. The network itself is described in Sections 5 and 6.</w:t>
      </w:r>
    </w:p>
    <w:bookmarkStart w:id="31" w:name="step-1-load-the-data-and-fix-the-split"/>
    <w:p>
      <w:pPr>
        <w:pStyle w:val="Heading2"/>
      </w:pPr>
      <w:r>
        <w:rPr>
          <w:rStyle w:val="SectionNumber"/>
        </w:rPr>
        <w:t xml:space="preserve">4.1</w:t>
      </w:r>
      <w:r>
        <w:tab/>
      </w:r>
      <w:r>
        <w:t xml:space="preserve">Step 1 — Load the data and fix the split</w:t>
      </w:r>
    </w:p>
    <w:p>
      <w:pPr>
        <w:pStyle w:val="FirstParagraph"/>
      </w:pPr>
      <w:r>
        <w:t xml:space="preserve">Each dataset is read once, with its fixed split (Table 2), and the decoded images are kept in shared memory so that the data-loader workers do not decode the same image repeatedly. The test images are not read at all until Step 11.</w:t>
      </w:r>
    </w:p>
    <w:bookmarkEnd w:id="31"/>
    <w:bookmarkStart w:id="32" w:name="step-2-compute-the-validity-mask"/>
    <w:p>
      <w:pPr>
        <w:pStyle w:val="Heading2"/>
      </w:pPr>
      <w:r>
        <w:rPr>
          <w:rStyle w:val="SectionNumber"/>
        </w:rPr>
        <w:t xml:space="preserve">4.2</w:t>
      </w:r>
      <w:r>
        <w:tab/>
      </w:r>
      <w:r>
        <w:t xml:space="preserve">Step 2 — Compute the validity mask</w:t>
      </w:r>
    </w:p>
    <w:p>
      <w:pPr>
        <w:pStyle w:val="FirstParagraph"/>
      </w:pPr>
      <w:r>
        <w:t xml:space="preserve">For Massachusetts,</w:t>
      </w:r>
      <w:r>
        <w:t xml:space="preserve"> </w:t>
      </w:r>
      <w:r>
        <w:rPr>
          <w:i/>
          <w:iCs/>
        </w:rPr>
        <w:t xml:space="preserve">V</w:t>
      </w:r>
      <w:r>
        <w:t xml:space="preserve"> </w:t>
      </w:r>
      <w:r>
        <w:t xml:space="preserve">is computed for every image as in Section 3.2. It travels with the image through every later step: cropping, augmentation, loss and metrics.</w:t>
      </w:r>
    </w:p>
    <w:bookmarkEnd w:id="32"/>
    <w:bookmarkStart w:id="36" w:name="step-3-sample-training-crops"/>
    <w:p>
      <w:pPr>
        <w:pStyle w:val="Heading2"/>
      </w:pPr>
      <w:r>
        <w:rPr>
          <w:rStyle w:val="SectionNumber"/>
        </w:rPr>
        <w:t xml:space="preserve">4.3</w:t>
      </w:r>
      <w:r>
        <w:tab/>
      </w:r>
      <w:r>
        <w:t xml:space="preserve">Step 3 — Sample training crops</w:t>
      </w:r>
    </w:p>
    <w:p>
      <w:pPr>
        <w:pStyle w:val="FirstParagraph"/>
      </w:pPr>
      <w:r>
        <w:t xml:space="preserve">The network is trained on 512 × 512 crops, never on resized images: roads are only 2–7 px wide at their narrowest, and down-sampling would erase exactly the structures under study.</w:t>
      </w:r>
    </w:p>
    <w:p>
      <w:pPr>
        <w:pStyle w:val="Compact"/>
        <w:numPr>
          <w:ilvl w:val="0"/>
          <w:numId w:val="1009"/>
        </w:numPr>
      </w:pPr>
      <w:r>
        <w:t xml:space="preserve">Each epoch draws 8 crops per training image on average (8864 crops = 554 steps of 16 for Massachusetts; 34,864 = 2179 steps for DeepGlobe). For Ottawa, which has only 12 large scenes, the rate is 64 crops per scene (48 steps).</w:t>
      </w:r>
    </w:p>
    <w:p>
      <w:pPr>
        <w:pStyle w:val="Compact"/>
        <w:numPr>
          <w:ilvl w:val="0"/>
          <w:numId w:val="1009"/>
        </w:numPr>
      </w:pPr>
      <w:r>
        <w:t xml:space="preserve">With probability 0.75 a crop is re-drawn, up to 12 times, until it contains road on valid pixels. This road-biased sampling counters the class imbalance (only 4–5% of Massachusetts and DeepGlobe pixels are road).</w:t>
      </w:r>
    </w:p>
    <w:p>
      <w:pPr>
        <w:pStyle w:val="Compact"/>
        <w:numPr>
          <w:ilvl w:val="0"/>
          <w:numId w:val="1009"/>
        </w:numPr>
      </w:pPr>
      <w:r>
        <w:t xml:space="preserve">Crops with less than 50% valid pixels are rejected.</w:t>
      </w:r>
    </w:p>
    <w:p>
      <w:pPr>
        <w:pStyle w:val="FirstParagraph"/>
      </w:pPr>
      <w:r>
        <w:rPr>
          <w:b/>
          <w:bCs/>
        </w:rPr>
        <w:t xml:space="preserve">Pairing.</w:t>
      </w:r>
      <w:r>
        <w:t xml:space="preserve"> </w:t>
      </w:r>
      <w:r>
        <w:t xml:space="preserve">All randomness comes from one seeded generator per item, and the data loader has its own seeded generator. For a given seed,</w:t>
      </w:r>
      <w:r>
        <w:t xml:space="preserve"> </w:t>
      </w:r>
      <w:r>
        <w:rPr>
          <w:i/>
          <w:iCs/>
        </w:rPr>
        <w:t xml:space="preserve">every model sees exactly the same sequence of crops</w:t>
      </w:r>
      <w:r>
        <w:t xml:space="preserve">. Two models trained with the same seed therefore differ only in the component under test.</w:t>
      </w:r>
    </w:p>
    <w:p>
      <w:pPr>
        <w:pStyle w:val="CaptionedFigure"/>
      </w:pPr>
      <w:r>
        <w:drawing>
          <wp:inline>
            <wp:extent cx="5943600" cy="2788195"/>
            <wp:effectExtent b="0" l="0" r="0" t="0"/>
            <wp:docPr descr="Figure 4. Crop sampling and augmentation on a DeepGlobe training image. Left: three random 512 × 512 crop windows. Right: one crop as sampled and five augmented versions produced by the training code with different random draws (label in red). Flips, 90° rotations, small rotations/scalings and brightness/contrast changes are applied identically to the image, the label and the validity mask." title="" id="34" name="Picture"/>
            <a:graphic>
              <a:graphicData uri="http://schemas.openxmlformats.org/drawingml/2006/picture">
                <pic:pic>
                  <pic:nvPicPr>
                    <pic:cNvPr descr="fig/ex_crops_aug.png" id="35" name="Picture"/>
                    <pic:cNvPicPr>
                      <a:picLocks noChangeArrowheads="1" noChangeAspect="1"/>
                    </pic:cNvPicPr>
                  </pic:nvPicPr>
                  <pic:blipFill>
                    <a:blip r:embed="rId33"/>
                    <a:stretch>
                      <a:fillRect/>
                    </a:stretch>
                  </pic:blipFill>
                  <pic:spPr bwMode="auto">
                    <a:xfrm>
                      <a:off x="0" y="0"/>
                      <a:ext cx="5943600" cy="2788195"/>
                    </a:xfrm>
                    <a:prstGeom prst="rect">
                      <a:avLst/>
                    </a:prstGeom>
                    <a:noFill/>
                    <a:ln w="9525">
                      <a:noFill/>
                      <a:headEnd/>
                      <a:tailEnd/>
                    </a:ln>
                  </pic:spPr>
                </pic:pic>
              </a:graphicData>
            </a:graphic>
          </wp:inline>
        </w:drawing>
      </w:r>
    </w:p>
    <w:p>
      <w:pPr>
        <w:pStyle w:val="ImageCaption"/>
      </w:pPr>
      <w:r>
        <w:rPr>
          <w:b/>
          <w:bCs/>
        </w:rPr>
        <w:t xml:space="preserve">Figure 4. Crop sampling and augmentation on a DeepGlobe training image.</w:t>
      </w:r>
      <w:r>
        <w:t xml:space="preserve"> </w:t>
      </w:r>
      <w:r>
        <w:t xml:space="preserve">Left: three random 512 × 512 crop windows. Right: one crop as sampled and five augmented versions produced by the training code with different random draws (label in red). Flips, 90° rotations, small rotations/scalings and brightness/contrast changes are applied identically to the image, the label and the validity mask.</w:t>
      </w:r>
    </w:p>
    <w:bookmarkEnd w:id="36"/>
    <w:bookmarkStart w:id="37" w:name="step-4-augment"/>
    <w:p>
      <w:pPr>
        <w:pStyle w:val="Heading2"/>
      </w:pPr>
      <w:r>
        <w:rPr>
          <w:rStyle w:val="SectionNumber"/>
        </w:rPr>
        <w:t xml:space="preserve">4.4</w:t>
      </w:r>
      <w:r>
        <w:tab/>
      </w:r>
      <w:r>
        <w:t xml:space="preserve">Step 4 — Augment</w:t>
      </w:r>
    </w:p>
    <w:p>
      <w:pPr>
        <w:pStyle w:val="FirstParagraph"/>
      </w:pPr>
      <w:r>
        <w:t xml:space="preserve">Each crop is augmented (Figure 4), with the same geometric transform applied to the image, the mask and</w:t>
      </w:r>
      <w:r>
        <w:t xml:space="preserve"> </w:t>
      </w:r>
      <w:r>
        <w:rPr>
          <w:i/>
          <w:iCs/>
        </w:rPr>
        <w:t xml:space="preserve">V</w:t>
      </w:r>
      <w:r>
        <w:t xml:space="preserve">:</w:t>
      </w:r>
    </w:p>
    <w:p>
      <w:pPr>
        <w:pStyle w:val="Compact"/>
        <w:numPr>
          <w:ilvl w:val="0"/>
          <w:numId w:val="1010"/>
        </w:numPr>
      </w:pPr>
      <w:r>
        <w:t xml:space="preserve">horizontal flip (p = 0.5) and vertical flip (p = 0.5);</w:t>
      </w:r>
    </w:p>
    <w:p>
      <w:pPr>
        <w:pStyle w:val="Compact"/>
        <w:numPr>
          <w:ilvl w:val="0"/>
          <w:numId w:val="1010"/>
        </w:numPr>
      </w:pPr>
      <w:r>
        <w:t xml:space="preserve">rotation by a random multiple of 90°;</w:t>
      </w:r>
    </w:p>
    <w:p>
      <w:pPr>
        <w:pStyle w:val="Compact"/>
        <w:numPr>
          <w:ilvl w:val="0"/>
          <w:numId w:val="1010"/>
        </w:numPr>
      </w:pPr>
      <w:r>
        <w:t xml:space="preserve">with p = 0.5, an affine warp: rotation ±15° and scale 0.9–1.1, with bilinear interpolation for the image, nearest-neighbour for the masks and reflective borders;</w:t>
      </w:r>
    </w:p>
    <w:p>
      <w:pPr>
        <w:pStyle w:val="Compact"/>
        <w:numPr>
          <w:ilvl w:val="0"/>
          <w:numId w:val="1010"/>
        </w:numPr>
      </w:pPr>
      <w:r>
        <w:t xml:space="preserve">with p = 0.5, brightness and contrast jitter in [0.9, 1.1].</w:t>
      </w:r>
    </w:p>
    <w:bookmarkEnd w:id="37"/>
    <w:bookmarkStart w:id="38" w:name="step-5-normalise"/>
    <w:p>
      <w:pPr>
        <w:pStyle w:val="Heading2"/>
      </w:pPr>
      <w:r>
        <w:rPr>
          <w:rStyle w:val="SectionNumber"/>
        </w:rPr>
        <w:t xml:space="preserve">4.5</w:t>
      </w:r>
      <w:r>
        <w:tab/>
      </w:r>
      <w:r>
        <w:t xml:space="preserve">Step 5 — Normalise</w:t>
      </w:r>
    </w:p>
    <w:p>
      <w:pPr>
        <w:pStyle w:val="FirstParagraph"/>
      </w:pPr>
      <w:r>
        <w:t xml:space="preserve">Pixel values are scaled to [0, 1] and normalised with the ImageNet channel means and standard deviations, because the encoder was pretrained on ImageNet with that normalisation. The result is a batch tensor of shape 16 × 3 × 512 × 512.</w:t>
      </w:r>
    </w:p>
    <w:bookmarkEnd w:id="38"/>
    <w:bookmarkStart w:id="39" w:name="step-6-forward-pass"/>
    <w:p>
      <w:pPr>
        <w:pStyle w:val="Heading2"/>
      </w:pPr>
      <w:r>
        <w:rPr>
          <w:rStyle w:val="SectionNumber"/>
        </w:rPr>
        <w:t xml:space="preserve">4.6</w:t>
      </w:r>
      <w:r>
        <w:tab/>
      </w:r>
      <w:r>
        <w:t xml:space="preserve">Step 6 — Forward pass</w:t>
      </w:r>
    </w:p>
    <w:p>
      <w:pPr>
        <w:pStyle w:val="FirstParagraph"/>
      </w:pPr>
      <w:r>
        <w:t xml:space="preserve">The batch passes through the encoder and decoder (Section 5). Table 3 traces the tensor shapes for R0 and R1. All other ResNeXt models have R0’s shapes.</w:t>
      </w:r>
    </w:p>
    <w:p>
      <w:pPr>
        <w:pStyle w:val="TableCaption"/>
      </w:pPr>
      <w:r>
        <w:t xml:space="preserve">Table 3. Tensor shapes through the network for a batch of 16 crops. 512² means 512 × 512.</w:t>
      </w:r>
    </w:p>
    <w:tbl>
      <w:tblPr>
        <w:tblStyle w:val="Table"/>
        <w:tblW w:type="pct" w:w="5000"/>
        <w:tblLayout w:type="fixed"/>
        <w:tblLook w:firstRow="1" w:lastRow="0" w:firstColumn="0" w:lastColumn="0" w:noHBand="0" w:noVBand="0" w:val="0020"/>
        <w:tblCaption w:val="Table 3. Tensor shapes through the network for a batch of 16 crops. 512² means 512 × 512."/>
      </w:tblPr>
      <w:tblGrid>
        <w:gridCol w:w="829"/>
        <w:gridCol w:w="4073"/>
        <w:gridCol w:w="1206"/>
        <w:gridCol w:w="1206"/>
        <w:gridCol w:w="603"/>
      </w:tblGrid>
      <w:tr>
        <w:trPr>
          <w:tblHeader w:val="on"/>
        </w:trPr>
        <w:tc>
          <w:tcPr/>
          <w:p>
            <w:pPr>
              <w:pStyle w:val="TableText"/>
              <w:jc w:val="left"/>
            </w:pPr>
            <w:r>
              <w:t xml:space="preserve">Stage</w:t>
            </w:r>
          </w:p>
        </w:tc>
        <w:tc>
          <w:tcPr/>
          <w:p>
            <w:pPr>
              <w:pStyle w:val="TableText"/>
              <w:jc w:val="left"/>
            </w:pPr>
            <w:r>
              <w:t xml:space="preserve">Operation</w:t>
            </w:r>
          </w:p>
        </w:tc>
        <w:tc>
          <w:tcPr/>
          <w:p>
            <w:pPr>
              <w:pStyle w:val="TableText"/>
              <w:jc w:val="center"/>
            </w:pPr>
            <w:r>
              <w:t xml:space="preserve">R0 output</w:t>
            </w:r>
          </w:p>
        </w:tc>
        <w:tc>
          <w:tcPr/>
          <w:p>
            <w:pPr>
              <w:pStyle w:val="TableText"/>
              <w:jc w:val="center"/>
            </w:pPr>
            <w:r>
              <w:t xml:space="preserve">R1 output</w:t>
            </w:r>
          </w:p>
        </w:tc>
        <w:tc>
          <w:tcPr/>
          <w:p>
            <w:pPr>
              <w:pStyle w:val="TableText"/>
              <w:jc w:val="center"/>
            </w:pPr>
            <w:r>
              <w:t xml:space="preserve">Name</w:t>
            </w:r>
          </w:p>
        </w:tc>
      </w:tr>
      <w:tr>
        <w:tc>
          <w:tcPr/>
          <w:p>
            <w:pPr>
              <w:pStyle w:val="TableText"/>
              <w:jc w:val="left"/>
            </w:pPr>
            <w:r>
              <w:t xml:space="preserve">input</w:t>
            </w:r>
          </w:p>
        </w:tc>
        <w:tc>
          <w:tcPr/>
          <w:p>
            <w:pPr>
              <w:pStyle w:val="TableText"/>
              <w:jc w:val="left"/>
            </w:pPr>
            <w:r>
              <w:t xml:space="preserve">normalised crops</w:t>
            </w:r>
          </w:p>
        </w:tc>
        <w:tc>
          <w:tcPr/>
          <w:p>
            <w:pPr>
              <w:pStyle w:val="TableText"/>
              <w:jc w:val="center"/>
            </w:pPr>
            <w:r>
              <w:t xml:space="preserve">16×3×512²</w:t>
            </w:r>
          </w:p>
        </w:tc>
        <w:tc>
          <w:tcPr/>
          <w:p>
            <w:pPr>
              <w:pStyle w:val="TableText"/>
              <w:jc w:val="center"/>
            </w:pPr>
            <w:r>
              <w:t xml:space="preserve">16×3×512²</w:t>
            </w:r>
          </w:p>
        </w:tc>
        <w:tc>
          <w:tcPr/>
          <w:p>
            <w:pPr>
              <w:pStyle w:val="TableText"/>
              <w:jc w:val="center"/>
            </w:pPr>
            <w:r>
              <w:t xml:space="preserve">x</w:t>
            </w:r>
          </w:p>
        </w:tc>
      </w:tr>
      <w:tr>
        <w:tc>
          <w:tcPr/>
          <w:p>
            <w:pPr>
              <w:pStyle w:val="TableText"/>
              <w:jc w:val="left"/>
            </w:pPr>
            <w:r>
              <w:t xml:space="preserve">DWT</w:t>
            </w:r>
          </w:p>
        </w:tc>
        <w:tc>
          <w:tcPr/>
          <w:p>
            <w:pPr>
              <w:pStyle w:val="TableText"/>
              <w:jc w:val="left"/>
            </w:pPr>
            <w:r>
              <w:t xml:space="preserve">Haar analysis, fixed (R1 only)</w:t>
            </w:r>
          </w:p>
        </w:tc>
        <w:tc>
          <w:tcPr/>
          <w:p>
            <w:pPr>
              <w:pStyle w:val="TableText"/>
              <w:jc w:val="center"/>
            </w:pPr>
            <w:r>
              <w:t xml:space="preserve">—</w:t>
            </w:r>
          </w:p>
        </w:tc>
        <w:tc>
          <w:tcPr/>
          <w:p>
            <w:pPr>
              <w:pStyle w:val="TableText"/>
              <w:jc w:val="center"/>
            </w:pPr>
            <w:r>
              <w:t xml:space="preserve">16×12×256²</w:t>
            </w:r>
          </w:p>
        </w:tc>
        <w:tc>
          <w:tcPr/>
          <w:p>
            <w:pPr>
              <w:pStyle w:val="TableText"/>
            </w:pPr>
          </w:p>
        </w:tc>
      </w:tr>
      <w:tr>
        <w:tc>
          <w:tcPr/>
          <w:p>
            <w:pPr>
              <w:pStyle w:val="TableText"/>
              <w:jc w:val="left"/>
            </w:pPr>
            <w:r>
              <w:t xml:space="preserve">stem</w:t>
            </w:r>
          </w:p>
        </w:tc>
        <w:tc>
          <w:tcPr/>
          <w:p>
            <w:pPr>
              <w:pStyle w:val="TableText"/>
              <w:jc w:val="left"/>
            </w:pPr>
            <w:r>
              <w:t xml:space="preserve">conv 7×7 (R0: stride 2; R1: stride 1), BN, ReLU</w:t>
            </w:r>
          </w:p>
        </w:tc>
        <w:tc>
          <w:tcPr/>
          <w:p>
            <w:pPr>
              <w:pStyle w:val="TableText"/>
              <w:jc w:val="center"/>
            </w:pPr>
            <w:r>
              <w:t xml:space="preserve">16×64×256²</w:t>
            </w:r>
          </w:p>
        </w:tc>
        <w:tc>
          <w:tcPr/>
          <w:p>
            <w:pPr>
              <w:pStyle w:val="TableText"/>
              <w:jc w:val="center"/>
            </w:pPr>
            <w:r>
              <w:t xml:space="preserve">16×64×256²</w:t>
            </w:r>
          </w:p>
        </w:tc>
        <w:tc>
          <w:tcPr/>
          <w:p>
            <w:pPr>
              <w:pStyle w:val="TableText"/>
              <w:jc w:val="center"/>
            </w:pPr>
            <w:r>
              <w:t xml:space="preserve">f₀</w:t>
            </w:r>
          </w:p>
        </w:tc>
      </w:tr>
      <w:tr>
        <w:tc>
          <w:tcPr/>
          <w:p>
            <w:pPr>
              <w:pStyle w:val="TableText"/>
              <w:jc w:val="left"/>
            </w:pPr>
            <w:r>
              <w:t xml:space="preserve">pool</w:t>
            </w:r>
          </w:p>
        </w:tc>
        <w:tc>
          <w:tcPr/>
          <w:p>
            <w:pPr>
              <w:pStyle w:val="TableText"/>
              <w:jc w:val="left"/>
            </w:pPr>
            <w:r>
              <w:t xml:space="preserve">max-pool 3×3, stride 2</w:t>
            </w:r>
          </w:p>
        </w:tc>
        <w:tc>
          <w:tcPr/>
          <w:p>
            <w:pPr>
              <w:pStyle w:val="TableText"/>
              <w:jc w:val="center"/>
            </w:pPr>
            <w:r>
              <w:t xml:space="preserve">16×64×128²</w:t>
            </w:r>
          </w:p>
        </w:tc>
        <w:tc>
          <w:tcPr/>
          <w:p>
            <w:pPr>
              <w:pStyle w:val="TableText"/>
              <w:jc w:val="center"/>
            </w:pPr>
            <w:r>
              <w:t xml:space="preserve">same</w:t>
            </w:r>
          </w:p>
        </w:tc>
        <w:tc>
          <w:tcPr/>
          <w:p>
            <w:pPr>
              <w:pStyle w:val="TableText"/>
            </w:pPr>
          </w:p>
        </w:tc>
      </w:tr>
      <w:tr>
        <w:tc>
          <w:tcPr/>
          <w:p>
            <w:pPr>
              <w:pStyle w:val="TableText"/>
              <w:jc w:val="left"/>
            </w:pPr>
            <w:r>
              <w:t xml:space="preserve">layer1</w:t>
            </w:r>
          </w:p>
        </w:tc>
        <w:tc>
          <w:tcPr/>
          <w:p>
            <w:pPr>
              <w:pStyle w:val="TableText"/>
              <w:jc w:val="left"/>
            </w:pPr>
            <w:r>
              <w:t xml:space="preserve">3 ResNeXt bottlenecks</w:t>
            </w:r>
          </w:p>
        </w:tc>
        <w:tc>
          <w:tcPr/>
          <w:p>
            <w:pPr>
              <w:pStyle w:val="TableText"/>
              <w:jc w:val="center"/>
            </w:pPr>
            <w:r>
              <w:t xml:space="preserve">16×256×128²</w:t>
            </w:r>
          </w:p>
        </w:tc>
        <w:tc>
          <w:tcPr/>
          <w:p>
            <w:pPr>
              <w:pStyle w:val="TableText"/>
              <w:jc w:val="center"/>
            </w:pPr>
            <w:r>
              <w:t xml:space="preserve">same</w:t>
            </w:r>
          </w:p>
        </w:tc>
        <w:tc>
          <w:tcPr/>
          <w:p>
            <w:pPr>
              <w:pStyle w:val="TableText"/>
              <w:jc w:val="center"/>
            </w:pPr>
            <w:r>
              <w:t xml:space="preserve">f₁</w:t>
            </w:r>
          </w:p>
        </w:tc>
      </w:tr>
      <w:tr>
        <w:tc>
          <w:tcPr/>
          <w:p>
            <w:pPr>
              <w:pStyle w:val="TableText"/>
              <w:jc w:val="left"/>
            </w:pPr>
            <w:r>
              <w:t xml:space="preserve">layer2</w:t>
            </w:r>
          </w:p>
        </w:tc>
        <w:tc>
          <w:tcPr/>
          <w:p>
            <w:pPr>
              <w:pStyle w:val="TableText"/>
              <w:jc w:val="left"/>
            </w:pPr>
            <w:r>
              <w:t xml:space="preserve">4 bottlenecks, first with stride 2</w:t>
            </w:r>
          </w:p>
        </w:tc>
        <w:tc>
          <w:tcPr/>
          <w:p>
            <w:pPr>
              <w:pStyle w:val="TableText"/>
              <w:jc w:val="center"/>
            </w:pPr>
            <w:r>
              <w:t xml:space="preserve">16×512×64²</w:t>
            </w:r>
          </w:p>
        </w:tc>
        <w:tc>
          <w:tcPr/>
          <w:p>
            <w:pPr>
              <w:pStyle w:val="TableText"/>
              <w:jc w:val="center"/>
            </w:pPr>
            <w:r>
              <w:t xml:space="preserve">same</w:t>
            </w:r>
          </w:p>
        </w:tc>
        <w:tc>
          <w:tcPr/>
          <w:p>
            <w:pPr>
              <w:pStyle w:val="TableText"/>
              <w:jc w:val="center"/>
            </w:pPr>
            <w:r>
              <w:t xml:space="preserve">f₂</w:t>
            </w:r>
          </w:p>
        </w:tc>
      </w:tr>
      <w:tr>
        <w:tc>
          <w:tcPr/>
          <w:p>
            <w:pPr>
              <w:pStyle w:val="TableText"/>
              <w:jc w:val="left"/>
            </w:pPr>
            <w:r>
              <w:t xml:space="preserve">layer3</w:t>
            </w:r>
          </w:p>
        </w:tc>
        <w:tc>
          <w:tcPr/>
          <w:p>
            <w:pPr>
              <w:pStyle w:val="TableText"/>
              <w:jc w:val="left"/>
            </w:pPr>
            <w:r>
              <w:t xml:space="preserve">6 bottlenecks, first with stride 2</w:t>
            </w:r>
          </w:p>
        </w:tc>
        <w:tc>
          <w:tcPr/>
          <w:p>
            <w:pPr>
              <w:pStyle w:val="TableText"/>
              <w:jc w:val="center"/>
            </w:pPr>
            <w:r>
              <w:t xml:space="preserve">16×1024×32²</w:t>
            </w:r>
          </w:p>
        </w:tc>
        <w:tc>
          <w:tcPr/>
          <w:p>
            <w:pPr>
              <w:pStyle w:val="TableText"/>
              <w:jc w:val="center"/>
            </w:pPr>
            <w:r>
              <w:t xml:space="preserve">same</w:t>
            </w:r>
          </w:p>
        </w:tc>
        <w:tc>
          <w:tcPr/>
          <w:p>
            <w:pPr>
              <w:pStyle w:val="TableText"/>
              <w:jc w:val="center"/>
            </w:pPr>
            <w:r>
              <w:t xml:space="preserve">f₃</w:t>
            </w:r>
          </w:p>
        </w:tc>
      </w:tr>
      <w:tr>
        <w:tc>
          <w:tcPr/>
          <w:p>
            <w:pPr>
              <w:pStyle w:val="TableText"/>
              <w:jc w:val="left"/>
            </w:pPr>
            <w:r>
              <w:t xml:space="preserve">layer4</w:t>
            </w:r>
          </w:p>
        </w:tc>
        <w:tc>
          <w:tcPr/>
          <w:p>
            <w:pPr>
              <w:pStyle w:val="TableText"/>
              <w:jc w:val="left"/>
            </w:pPr>
            <w:r>
              <w:t xml:space="preserve">3 bottlenecks, first with stride 2</w:t>
            </w:r>
          </w:p>
        </w:tc>
        <w:tc>
          <w:tcPr/>
          <w:p>
            <w:pPr>
              <w:pStyle w:val="TableText"/>
              <w:jc w:val="center"/>
            </w:pPr>
            <w:r>
              <w:t xml:space="preserve">16×2048×16²</w:t>
            </w:r>
          </w:p>
        </w:tc>
        <w:tc>
          <w:tcPr/>
          <w:p>
            <w:pPr>
              <w:pStyle w:val="TableText"/>
              <w:jc w:val="center"/>
            </w:pPr>
            <w:r>
              <w:t xml:space="preserve">same</w:t>
            </w:r>
          </w:p>
        </w:tc>
        <w:tc>
          <w:tcPr/>
          <w:p>
            <w:pPr>
              <w:pStyle w:val="TableText"/>
              <w:jc w:val="center"/>
            </w:pPr>
            <w:r>
              <w:t xml:space="preserve">f₄</w:t>
            </w:r>
          </w:p>
        </w:tc>
      </w:tr>
      <w:tr>
        <w:tc>
          <w:tcPr/>
          <w:p>
            <w:pPr>
              <w:pStyle w:val="TableText"/>
              <w:jc w:val="left"/>
            </w:pPr>
            <w:r>
              <w:t xml:space="preserve">up 1</w:t>
            </w:r>
          </w:p>
        </w:tc>
        <w:tc>
          <w:tcPr/>
          <w:p>
            <w:pPr>
              <w:pStyle w:val="TableText"/>
              <w:jc w:val="left"/>
            </w:pPr>
            <w:r>
              <w:t xml:space="preserve">×2 up + conv 3×3 → 512; concat f₃ (1536 ch); 2 × conv-BN-ReLU</w:t>
            </w:r>
          </w:p>
        </w:tc>
        <w:tc>
          <w:tcPr/>
          <w:p>
            <w:pPr>
              <w:pStyle w:val="TableText"/>
              <w:jc w:val="center"/>
            </w:pPr>
            <w:r>
              <w:t xml:space="preserve">16×512×32²</w:t>
            </w:r>
          </w:p>
        </w:tc>
        <w:tc>
          <w:tcPr/>
          <w:p>
            <w:pPr>
              <w:pStyle w:val="TableText"/>
              <w:jc w:val="center"/>
            </w:pPr>
            <w:r>
              <w:t xml:space="preserve">same</w:t>
            </w:r>
          </w:p>
        </w:tc>
        <w:tc>
          <w:tcPr/>
          <w:p>
            <w:pPr>
              <w:pStyle w:val="TableText"/>
            </w:pPr>
          </w:p>
        </w:tc>
      </w:tr>
      <w:tr>
        <w:tc>
          <w:tcPr/>
          <w:p>
            <w:pPr>
              <w:pStyle w:val="TableText"/>
              <w:jc w:val="left"/>
            </w:pPr>
            <w:r>
              <w:t xml:space="preserve">up 2</w:t>
            </w:r>
          </w:p>
        </w:tc>
        <w:tc>
          <w:tcPr/>
          <w:p>
            <w:pPr>
              <w:pStyle w:val="TableText"/>
              <w:jc w:val="left"/>
            </w:pPr>
            <w:r>
              <w:t xml:space="preserve">→ 256; concat f₂ (768 ch); 2 × conv-BN-ReLU</w:t>
            </w:r>
          </w:p>
        </w:tc>
        <w:tc>
          <w:tcPr/>
          <w:p>
            <w:pPr>
              <w:pStyle w:val="TableText"/>
              <w:jc w:val="center"/>
            </w:pPr>
            <w:r>
              <w:t xml:space="preserve">16×256×64²</w:t>
            </w:r>
          </w:p>
        </w:tc>
        <w:tc>
          <w:tcPr/>
          <w:p>
            <w:pPr>
              <w:pStyle w:val="TableText"/>
              <w:jc w:val="center"/>
            </w:pPr>
            <w:r>
              <w:t xml:space="preserve">same</w:t>
            </w:r>
          </w:p>
        </w:tc>
        <w:tc>
          <w:tcPr/>
          <w:p>
            <w:pPr>
              <w:pStyle w:val="TableText"/>
            </w:pPr>
          </w:p>
        </w:tc>
      </w:tr>
      <w:tr>
        <w:tc>
          <w:tcPr/>
          <w:p>
            <w:pPr>
              <w:pStyle w:val="TableText"/>
              <w:jc w:val="left"/>
            </w:pPr>
            <w:r>
              <w:t xml:space="preserve">up 3</w:t>
            </w:r>
          </w:p>
        </w:tc>
        <w:tc>
          <w:tcPr/>
          <w:p>
            <w:pPr>
              <w:pStyle w:val="TableText"/>
              <w:jc w:val="left"/>
            </w:pPr>
            <w:r>
              <w:t xml:space="preserve">→ 128; concat f₁ (384 ch); 2 × conv-BN-ReLU</w:t>
            </w:r>
          </w:p>
        </w:tc>
        <w:tc>
          <w:tcPr/>
          <w:p>
            <w:pPr>
              <w:pStyle w:val="TableText"/>
              <w:jc w:val="center"/>
            </w:pPr>
            <w:r>
              <w:t xml:space="preserve">16×128×128²</w:t>
            </w:r>
          </w:p>
        </w:tc>
        <w:tc>
          <w:tcPr/>
          <w:p>
            <w:pPr>
              <w:pStyle w:val="TableText"/>
              <w:jc w:val="center"/>
            </w:pPr>
            <w:r>
              <w:t xml:space="preserve">same</w:t>
            </w:r>
          </w:p>
        </w:tc>
        <w:tc>
          <w:tcPr/>
          <w:p>
            <w:pPr>
              <w:pStyle w:val="TableText"/>
            </w:pPr>
          </w:p>
        </w:tc>
      </w:tr>
      <w:tr>
        <w:tc>
          <w:tcPr/>
          <w:p>
            <w:pPr>
              <w:pStyle w:val="TableText"/>
              <w:jc w:val="left"/>
            </w:pPr>
            <w:r>
              <w:t xml:space="preserve">up 4</w:t>
            </w:r>
          </w:p>
        </w:tc>
        <w:tc>
          <w:tcPr/>
          <w:p>
            <w:pPr>
              <w:pStyle w:val="TableText"/>
              <w:jc w:val="left"/>
            </w:pPr>
            <w:r>
              <w:t xml:space="preserve">→ 64; concat f₀ (128 ch); 2 × conv-BN-ReLU</w:t>
            </w:r>
          </w:p>
        </w:tc>
        <w:tc>
          <w:tcPr/>
          <w:p>
            <w:pPr>
              <w:pStyle w:val="TableText"/>
              <w:jc w:val="center"/>
            </w:pPr>
            <w:r>
              <w:t xml:space="preserve">16×64×256²</w:t>
            </w:r>
          </w:p>
        </w:tc>
        <w:tc>
          <w:tcPr/>
          <w:p>
            <w:pPr>
              <w:pStyle w:val="TableText"/>
              <w:jc w:val="center"/>
            </w:pPr>
            <w:r>
              <w:t xml:space="preserve">same</w:t>
            </w:r>
          </w:p>
        </w:tc>
        <w:tc>
          <w:tcPr/>
          <w:p>
            <w:pPr>
              <w:pStyle w:val="TableText"/>
            </w:pPr>
          </w:p>
        </w:tc>
      </w:tr>
      <w:tr>
        <w:tc>
          <w:tcPr/>
          <w:p>
            <w:pPr>
              <w:pStyle w:val="TableText"/>
              <w:jc w:val="left"/>
            </w:pPr>
            <w:r>
              <w:t xml:space="preserve">up 5</w:t>
            </w:r>
          </w:p>
        </w:tc>
        <w:tc>
          <w:tcPr/>
          <w:p>
            <w:pPr>
              <w:pStyle w:val="TableText"/>
              <w:jc w:val="left"/>
            </w:pPr>
            <w:r>
              <w:t xml:space="preserve">→ 32; no skip; 2 × conv-BN-ReLU</w:t>
            </w:r>
          </w:p>
        </w:tc>
        <w:tc>
          <w:tcPr/>
          <w:p>
            <w:pPr>
              <w:pStyle w:val="TableText"/>
              <w:jc w:val="center"/>
            </w:pPr>
            <w:r>
              <w:t xml:space="preserve">16×32×512²</w:t>
            </w:r>
          </w:p>
        </w:tc>
        <w:tc>
          <w:tcPr/>
          <w:p>
            <w:pPr>
              <w:pStyle w:val="TableText"/>
              <w:jc w:val="center"/>
            </w:pPr>
            <w:r>
              <w:t xml:space="preserve">same</w:t>
            </w:r>
          </w:p>
        </w:tc>
        <w:tc>
          <w:tcPr/>
          <w:p>
            <w:pPr>
              <w:pStyle w:val="TableText"/>
            </w:pPr>
          </w:p>
        </w:tc>
      </w:tr>
      <w:tr>
        <w:tc>
          <w:tcPr/>
          <w:p>
            <w:pPr>
              <w:pStyle w:val="TableText"/>
              <w:jc w:val="left"/>
            </w:pPr>
            <w:r>
              <w:t xml:space="preserve">head</w:t>
            </w:r>
          </w:p>
        </w:tc>
        <w:tc>
          <w:tcPr/>
          <w:p>
            <w:pPr>
              <w:pStyle w:val="TableText"/>
              <w:jc w:val="left"/>
            </w:pPr>
            <w:r>
              <w:t xml:space="preserve">conv 1×1</w:t>
            </w:r>
          </w:p>
        </w:tc>
        <w:tc>
          <w:tcPr/>
          <w:p>
            <w:pPr>
              <w:pStyle w:val="TableText"/>
              <w:jc w:val="center"/>
            </w:pPr>
            <w:r>
              <w:t xml:space="preserve">16×1×512²</w:t>
            </w:r>
          </w:p>
        </w:tc>
        <w:tc>
          <w:tcPr/>
          <w:p>
            <w:pPr>
              <w:pStyle w:val="TableText"/>
              <w:jc w:val="center"/>
            </w:pPr>
            <w:r>
              <w:t xml:space="preserve">same</w:t>
            </w:r>
          </w:p>
        </w:tc>
        <w:tc>
          <w:tcPr/>
          <w:p>
            <w:pPr>
              <w:pStyle w:val="TableText"/>
              <w:jc w:val="center"/>
            </w:pPr>
            <w:r>
              <w:t xml:space="preserve">logits z</w:t>
            </w:r>
          </w:p>
        </w:tc>
      </w:tr>
    </w:tbl>
    <w:p>
      <w:pPr>
        <w:pStyle w:val="Explainer"/>
      </w:pPr>
      <w:r>
        <w:rPr>
          <w:b/>
          <w:bCs/>
        </w:rPr>
        <w:t xml:space="preserve">Reading Table 3.</w:t>
      </w:r>
      <w:r>
        <w:t xml:space="preserve"> </w:t>
      </w:r>
      <w:r>
        <w:t xml:space="preserve">Each encoder stage halves the resolution and widens the channels: a 512 × 512 crop becomes a 16 × 16 grid of 2048-dimensional feature vectors. Each vector describes a 32 × 32-pixel neighbourhood with much more context than any single pixel. The decoder reverses this. At every stage it doubles the resolution and</w:t>
      </w:r>
      <w:r>
        <w:t xml:space="preserve"> </w:t>
      </w:r>
      <w:r>
        <w:rPr>
          <w:i/>
          <w:iCs/>
        </w:rPr>
        <w:t xml:space="preserve">concatenates</w:t>
      </w:r>
      <w:r>
        <w:t xml:space="preserve"> </w:t>
      </w:r>
      <w:r>
        <w:t xml:space="preserve">the encoder feature map of the same size (the skip connection), so the fine detail lost by down-sampling is available again. The output has one number (a</w:t>
      </w:r>
      <w:r>
        <w:t xml:space="preserve"> </w:t>
      </w:r>
      <w:r>
        <w:rPr>
          <w:i/>
          <w:iCs/>
        </w:rPr>
        <w:t xml:space="preserve">logit</w:t>
      </w:r>
      <w:r>
        <w:t xml:space="preserve">) per pixel; the sigmoid σ(z) = 1/(1 + e</w:t>
      </w:r>
      <w:r>
        <w:rPr>
          <w:vertAlign w:val="superscript"/>
        </w:rPr>
        <w:t xml:space="preserve">−z</w:t>
      </w:r>
      <w:r>
        <w:t xml:space="preserve">) turns it into a road probability.</w:t>
      </w:r>
    </w:p>
    <w:p>
      <w:pPr>
        <w:pStyle w:val="Explainer"/>
      </w:pPr>
      <w:r>
        <w:t xml:space="preserve">The only difference between R0 and R1 is in the first two rows: R1 replaces</w:t>
      </w:r>
      <w:r>
        <w:t xml:space="preserve"> </w:t>
      </w:r>
      <w:r>
        <w:t xml:space="preserve">“stride-2 convolution”</w:t>
      </w:r>
      <w:r>
        <w:t xml:space="preserve"> </w:t>
      </w:r>
      <w:r>
        <w:t xml:space="preserve">by</w:t>
      </w:r>
      <w:r>
        <w:t xml:space="preserve"> </w:t>
      </w:r>
      <w:r>
        <w:t xml:space="preserve">“DWT, then stride-1 convolution”</w:t>
      </w:r>
      <w:r>
        <w:t xml:space="preserve">. Every shape from f₀ onwards is identical.</w:t>
      </w:r>
    </w:p>
    <w:bookmarkEnd w:id="39"/>
    <w:bookmarkStart w:id="40" w:name="step-7-compute-the-loss"/>
    <w:p>
      <w:pPr>
        <w:pStyle w:val="Heading2"/>
      </w:pPr>
      <w:r>
        <w:rPr>
          <w:rStyle w:val="SectionNumber"/>
        </w:rPr>
        <w:t xml:space="preserve">4.7</w:t>
      </w:r>
      <w:r>
        <w:tab/>
      </w:r>
      <w:r>
        <w:t xml:space="preserve">Step 7 — Compute the loss</w:t>
      </w:r>
    </w:p>
    <w:p>
      <w:pPr>
        <w:pStyle w:val="FirstParagraph"/>
      </w:pPr>
      <w:r>
        <w:t xml:space="preserve">The loss compares the predicted probabilities with the label on valid pixels (Section 7). It is computed in 32-bit precision even though the forward pass runs in bfloat16.</w:t>
      </w:r>
    </w:p>
    <w:bookmarkEnd w:id="40"/>
    <w:bookmarkStart w:id="44" w:name="step-8-update-the-weights"/>
    <w:p>
      <w:pPr>
        <w:pStyle w:val="Heading2"/>
      </w:pPr>
      <w:r>
        <w:rPr>
          <w:rStyle w:val="SectionNumber"/>
        </w:rPr>
        <w:t xml:space="preserve">4.8</w:t>
      </w:r>
      <w:r>
        <w:tab/>
      </w:r>
      <w:r>
        <w:t xml:space="preserve">Step 8 — Update the weights</w:t>
      </w:r>
    </w:p>
    <w:p>
      <w:pPr>
        <w:pStyle w:val="FirstParagraph"/>
      </w:pPr>
      <w:r>
        <w:t xml:space="preserve">AdamW updates all weights with a learning rate that warms up linearly for two epochs and then decays along a cosine curve (Figure 5). Gradients are clipped to norm 1.0. A non-finite loss or gradient stops the run instead of silently corrupting it. Checkpoints are written every epoch, so a pre-empted job resumes where it stopped.</w:t>
      </w:r>
    </w:p>
    <w:p>
      <w:pPr>
        <w:pStyle w:val="CaptionedFigure"/>
      </w:pPr>
      <w:r>
        <w:drawing>
          <wp:inline>
            <wp:extent cx="4206240" cy="1810009"/>
            <wp:effectExtent b="0" l="0" r="0" t="0"/>
            <wp:docPr descr="Figure 5. Learning-rate schedule (DeepGlobe). Linear warm-up from 1% to 100% of 3 × 10⁻⁴ over two epochs, then cosine decay to 1%." title="" id="42" name="Picture"/>
            <a:graphic>
              <a:graphicData uri="http://schemas.openxmlformats.org/drawingml/2006/picture">
                <pic:pic>
                  <pic:nvPicPr>
                    <pic:cNvPr descr="fig/ex_lr.png" id="43" name="Picture"/>
                    <pic:cNvPicPr>
                      <a:picLocks noChangeArrowheads="1" noChangeAspect="1"/>
                    </pic:cNvPicPr>
                  </pic:nvPicPr>
                  <pic:blipFill>
                    <a:blip r:embed="rId41"/>
                    <a:stretch>
                      <a:fillRect/>
                    </a:stretch>
                  </pic:blipFill>
                  <pic:spPr bwMode="auto">
                    <a:xfrm>
                      <a:off x="0" y="0"/>
                      <a:ext cx="4206240" cy="1810009"/>
                    </a:xfrm>
                    <a:prstGeom prst="rect">
                      <a:avLst/>
                    </a:prstGeom>
                    <a:noFill/>
                    <a:ln w="9525">
                      <a:noFill/>
                      <a:headEnd/>
                      <a:tailEnd/>
                    </a:ln>
                  </pic:spPr>
                </pic:pic>
              </a:graphicData>
            </a:graphic>
          </wp:inline>
        </w:drawing>
      </w:r>
    </w:p>
    <w:p>
      <w:pPr>
        <w:pStyle w:val="ImageCaption"/>
      </w:pPr>
      <w:r>
        <w:rPr>
          <w:b/>
          <w:bCs/>
        </w:rPr>
        <w:t xml:space="preserve">Figure 5. Learning-rate schedule (DeepGlobe).</w:t>
      </w:r>
      <w:r>
        <w:t xml:space="preserve"> </w:t>
      </w:r>
      <w:r>
        <w:t xml:space="preserve">Linear warm-up from 1% to 100% of 3 × 10⁻⁴ over two epochs, then cosine decay to 1%.</w:t>
      </w:r>
    </w:p>
    <w:bookmarkEnd w:id="44"/>
    <w:bookmarkStart w:id="48" w:name="step-9-validate-and-keep-the-best-epoch"/>
    <w:p>
      <w:pPr>
        <w:pStyle w:val="Heading2"/>
      </w:pPr>
      <w:r>
        <w:rPr>
          <w:rStyle w:val="SectionNumber"/>
        </w:rPr>
        <w:t xml:space="preserve">4.9</w:t>
      </w:r>
      <w:r>
        <w:tab/>
      </w:r>
      <w:r>
        <w:t xml:space="preserve">Step 9 — Validate and keep the best epoch</w:t>
      </w:r>
    </w:p>
    <w:p>
      <w:pPr>
        <w:pStyle w:val="FirstParagraph"/>
      </w:pPr>
      <w:r>
        <w:t xml:space="preserve">After each epoch, the model is evaluated on the</w:t>
      </w:r>
      <w:r>
        <w:t xml:space="preserve"> </w:t>
      </w:r>
      <w:r>
        <w:rPr>
          <w:i/>
          <w:iCs/>
        </w:rPr>
        <w:t xml:space="preserve">validation</w:t>
      </w:r>
      <w:r>
        <w:t xml:space="preserve"> </w:t>
      </w:r>
      <w:r>
        <w:t xml:space="preserve">split (pooled IoU at threshold 0.5, on non-overlapping tiles), and the weights of the best epoch are kept. Figure 6 shows the validation curves.</w:t>
      </w:r>
    </w:p>
    <w:p>
      <w:pPr>
        <w:pStyle w:val="CaptionedFigure"/>
      </w:pPr>
      <w:r>
        <w:drawing>
          <wp:inline>
            <wp:extent cx="5943600" cy="2072933"/>
            <wp:effectExtent b="0" l="0" r="0" t="0"/>
            <wp:docPr descr="Figure 6. Validation IoU per epoch (mean over seeds 0–2). R1 and R3 track the control R0 on both datasets. R2 and GA end higher on DeepGlobe. GA is also higher on Massachusetts validation (only 14 images), but that difference was not detected on the test set." title="" id="46" name="Picture"/>
            <a:graphic>
              <a:graphicData uri="http://schemas.openxmlformats.org/drawingml/2006/picture">
                <pic:pic>
                  <pic:nvPicPr>
                    <pic:cNvPr descr="fig/ex_curves.png" id="47" name="Picture"/>
                    <pic:cNvPicPr>
                      <a:picLocks noChangeArrowheads="1" noChangeAspect="1"/>
                    </pic:cNvPicPr>
                  </pic:nvPicPr>
                  <pic:blipFill>
                    <a:blip r:embed="rId45"/>
                    <a:stretch>
                      <a:fillRect/>
                    </a:stretch>
                  </pic:blipFill>
                  <pic:spPr bwMode="auto">
                    <a:xfrm>
                      <a:off x="0" y="0"/>
                      <a:ext cx="5943600" cy="2072933"/>
                    </a:xfrm>
                    <a:prstGeom prst="rect">
                      <a:avLst/>
                    </a:prstGeom>
                    <a:noFill/>
                    <a:ln w="9525">
                      <a:noFill/>
                      <a:headEnd/>
                      <a:tailEnd/>
                    </a:ln>
                  </pic:spPr>
                </pic:pic>
              </a:graphicData>
            </a:graphic>
          </wp:inline>
        </w:drawing>
      </w:r>
    </w:p>
    <w:p>
      <w:pPr>
        <w:pStyle w:val="ImageCaption"/>
      </w:pPr>
      <w:r>
        <w:rPr>
          <w:b/>
          <w:bCs/>
        </w:rPr>
        <w:t xml:space="preserve">Figure 6. Validation IoU per epoch</w:t>
      </w:r>
      <w:r>
        <w:t xml:space="preserve"> </w:t>
      </w:r>
      <w:r>
        <w:t xml:space="preserve">(mean over seeds 0–2). R1 and R3 track the control R0 on both datasets. R2 and GA end higher on DeepGlobe. GA is also higher on Massachusetts validation (only 14 images), but that difference was not detected on the test set.</w:t>
      </w:r>
    </w:p>
    <w:bookmarkEnd w:id="48"/>
    <w:bookmarkStart w:id="49" w:name="step-10-choose-the-decision-threshold"/>
    <w:p>
      <w:pPr>
        <w:pStyle w:val="Heading2"/>
      </w:pPr>
      <w:r>
        <w:rPr>
          <w:rStyle w:val="SectionNumber"/>
        </w:rPr>
        <w:t xml:space="preserve">4.10</w:t>
      </w:r>
      <w:r>
        <w:tab/>
      </w:r>
      <w:r>
        <w:t xml:space="preserve">Step 10 — Choose the decision threshold</w:t>
      </w:r>
    </w:p>
    <w:p>
      <w:pPr>
        <w:pStyle w:val="FirstParagraph"/>
      </w:pPr>
      <w:r>
        <w:t xml:space="preserve">The network outputs probabilities; a pixel is called road if its probability is at least a threshold τ. The threshold is chosen on the validation split from {0.20, 0.25, …, 0.80} to maximise validation IoU. For example, DeepGlobe R0 seed 0 selected τ* = 0.45 (validation IoU 0.6813). Choosing τ on validation and not on test keeps the test score an honest estimate.</w:t>
      </w:r>
    </w:p>
    <w:bookmarkEnd w:id="49"/>
    <w:bookmarkStart w:id="53" w:name="Xaafb4a92c3a90c75e12bef1d1c0a06b88e01cd6"/>
    <w:p>
      <w:pPr>
        <w:pStyle w:val="Heading2"/>
      </w:pPr>
      <w:r>
        <w:rPr>
          <w:rStyle w:val="SectionNumber"/>
        </w:rPr>
        <w:t xml:space="preserve">4.11</w:t>
      </w:r>
      <w:r>
        <w:tab/>
      </w:r>
      <w:r>
        <w:t xml:space="preserve">Step 11 — Predict full test images by tiling</w:t>
      </w:r>
    </w:p>
    <w:p>
      <w:pPr>
        <w:pStyle w:val="FirstParagraph"/>
      </w:pPr>
      <w:r>
        <w:t xml:space="preserve">Test images are larger than 512 × 512. Each image is covered by 512 × 512 tiles at stride 256 (half-overlapping), with the last row and column moved to align with the image edge (Figure 7). Probabilities are averaged where tiles overlap:</w:t>
      </w:r>
    </w:p>
    <w:p>
      <w:pPr>
        <w:pStyle w:val="BodyText"/>
      </w:pPr>
      <m:oMathPara>
        <m:oMathParaPr>
          <m:jc m:val="center"/>
        </m:oMathParaPr>
        <m:oMath>
          <m:r>
            <m:t>P</m:t>
          </m:r>
          <m:r>
            <m:rPr>
              <m:sty m:val="p"/>
            </m:rPr>
            <m:t>(</m:t>
          </m:r>
          <m:r>
            <m:t>u</m:t>
          </m:r>
          <m:r>
            <m:rPr>
              <m:sty m:val="p"/>
            </m:rPr>
            <m:t>)</m:t>
          </m:r>
          <m:r>
            <m:rPr>
              <m:sty m:val="p"/>
            </m:rPr>
            <m:t>=</m:t>
          </m:r>
          <m:f>
            <m:fPr>
              <m:type m:val="bar"/>
            </m:fPr>
            <m:num>
              <m:nary>
                <m:naryPr>
                  <m:chr m:val="∑"/>
                  <m:limLoc m:val="undOvr"/>
                  <m:subHide m:val="off"/>
                  <m:supHide m:val="on"/>
                </m:naryPr>
                <m:sub>
                  <m:r>
                    <m:t>t</m:t>
                  </m:r>
                </m:sub>
                <m:sup>
                  <m:r>
                    <m:t>​</m:t>
                  </m:r>
                </m:sup>
                <m:e>
                  <m:r>
                    <m:rPr>
                      <m:sty m:val="b"/>
                    </m:rPr>
                    <m:t>1</m:t>
                  </m:r>
                </m:e>
              </m:nary>
              <m:r>
                <m:rPr>
                  <m:sty m:val="p"/>
                </m:rPr>
                <m:t>[</m:t>
              </m:r>
              <m:r>
                <m:t>u</m:t>
              </m:r>
              <m:r>
                <m:rPr>
                  <m:sty m:val="p"/>
                </m:rPr>
                <m:t>∈</m:t>
              </m:r>
              <m:r>
                <m:t>t</m:t>
              </m:r>
              <m:r>
                <m:rPr>
                  <m:sty m:val="p"/>
                </m:rPr>
                <m:t>]</m:t>
              </m:r>
              <m:r>
                <m:t> </m:t>
              </m:r>
              <m:sSub>
                <m:e>
                  <m:r>
                    <m:t>P</m:t>
                  </m:r>
                </m:e>
                <m:sub>
                  <m:r>
                    <m:t>t</m:t>
                  </m:r>
                </m:sub>
              </m:sSub>
              <m:r>
                <m:rPr>
                  <m:sty m:val="p"/>
                </m:rPr>
                <m:t>(</m:t>
              </m:r>
              <m:r>
                <m:t>u</m:t>
              </m:r>
              <m:r>
                <m:rPr>
                  <m:sty m:val="p"/>
                </m:rPr>
                <m:t>)</m:t>
              </m:r>
            </m:num>
            <m:den>
              <m:nary>
                <m:naryPr>
                  <m:chr m:val="∑"/>
                  <m:limLoc m:val="undOvr"/>
                  <m:subHide m:val="off"/>
                  <m:supHide m:val="on"/>
                </m:naryPr>
                <m:sub>
                  <m:r>
                    <m:t>t</m:t>
                  </m:r>
                </m:sub>
                <m:sup>
                  <m:r>
                    <m:t>​</m:t>
                  </m:r>
                </m:sup>
                <m:e>
                  <m:r>
                    <m:rPr>
                      <m:sty m:val="b"/>
                    </m:rPr>
                    <m:t>1</m:t>
                  </m:r>
                </m:e>
              </m:nary>
              <m:r>
                <m:rPr>
                  <m:sty m:val="p"/>
                </m:rPr>
                <m:t>[</m:t>
              </m:r>
              <m:r>
                <m:t>u</m:t>
              </m:r>
              <m:r>
                <m:rPr>
                  <m:sty m:val="p"/>
                </m:rPr>
                <m:t>∈</m:t>
              </m:r>
              <m:r>
                <m:t>t</m:t>
              </m:r>
              <m:r>
                <m:rPr>
                  <m:sty m:val="p"/>
                </m:rPr>
                <m:t>]</m:t>
              </m:r>
            </m:den>
          </m:f>
          <m:r>
            <m:rPr>
              <m:sty m:val="p"/>
            </m:rPr>
            <m:t>.</m:t>
          </m:r>
        </m:oMath>
      </m:oMathPara>
    </w:p>
    <w:p>
      <w:pPr>
        <w:pStyle w:val="CaptionedFigure"/>
      </w:pPr>
      <w:r>
        <w:drawing>
          <wp:inline>
            <wp:extent cx="5669280" cy="2906101"/>
            <wp:effectExtent b="0" l="0" r="0" t="0"/>
            <wp:docPr descr="Figure 7. Tiled inference on a 1500 × 1500 Massachusetts test image. Left: the 25 tile windows (three highlighted). Right: how many tiles cover each pixel. Overlapping predictions are averaged, which removes seams at tile borders." title="" id="51" name="Picture"/>
            <a:graphic>
              <a:graphicData uri="http://schemas.openxmlformats.org/drawingml/2006/picture">
                <pic:pic>
                  <pic:nvPicPr>
                    <pic:cNvPr descr="fig/ex_tiling.png" id="52" name="Picture"/>
                    <pic:cNvPicPr>
                      <a:picLocks noChangeArrowheads="1" noChangeAspect="1"/>
                    </pic:cNvPicPr>
                  </pic:nvPicPr>
                  <pic:blipFill>
                    <a:blip r:embed="rId50"/>
                    <a:stretch>
                      <a:fillRect/>
                    </a:stretch>
                  </pic:blipFill>
                  <pic:spPr bwMode="auto">
                    <a:xfrm>
                      <a:off x="0" y="0"/>
                      <a:ext cx="5669280" cy="2906101"/>
                    </a:xfrm>
                    <a:prstGeom prst="rect">
                      <a:avLst/>
                    </a:prstGeom>
                    <a:noFill/>
                    <a:ln w="9525">
                      <a:noFill/>
                      <a:headEnd/>
                      <a:tailEnd/>
                    </a:ln>
                  </pic:spPr>
                </pic:pic>
              </a:graphicData>
            </a:graphic>
          </wp:inline>
        </w:drawing>
      </w:r>
    </w:p>
    <w:p>
      <w:pPr>
        <w:pStyle w:val="ImageCaption"/>
      </w:pPr>
      <w:r>
        <w:rPr>
          <w:b/>
          <w:bCs/>
        </w:rPr>
        <w:t xml:space="preserve">Figure 7. Tiled inference on a 1500 × 1500 Massachusetts test image.</w:t>
      </w:r>
      <w:r>
        <w:t xml:space="preserve"> </w:t>
      </w:r>
      <w:r>
        <w:t xml:space="preserve">Left: the 25 tile windows (three highlighted). Right: how many tiles cover each pixel. Overlapping predictions are averaged, which removes seams at tile borders.</w:t>
      </w:r>
    </w:p>
    <w:p>
      <w:pPr>
        <w:pStyle w:val="Explainer"/>
      </w:pPr>
      <w:r>
        <w:rPr>
          <w:b/>
          <w:bCs/>
        </w:rPr>
        <w:t xml:space="preserve">Where do 25 and 9 tiles come from?</w:t>
      </w:r>
      <w:r>
        <w:t xml:space="preserve"> </w:t>
      </w:r>
      <w:r>
        <w:t xml:space="preserve">Along a 1500-pixel side, tiles start at 0, 256, 512 and 768; the next start (1024) would run past the edge, so the last tile is moved to start at 1500 − 512 = 988. That gives 5 starts per side and 5 × 5 = 25 tiles. Along a 1024-pixel DeepGlobe side, the starts are 0, 256 and 512, giving 3 × 3 = 9 tiles.</w:t>
      </w:r>
    </w:p>
    <w:bookmarkEnd w:id="53"/>
    <w:bookmarkStart w:id="54" w:name="step-12-binarise-and-score-once"/>
    <w:p>
      <w:pPr>
        <w:pStyle w:val="Heading2"/>
      </w:pPr>
      <w:r>
        <w:rPr>
          <w:rStyle w:val="SectionNumber"/>
        </w:rPr>
        <w:t xml:space="preserve">4.12</w:t>
      </w:r>
      <w:r>
        <w:tab/>
      </w:r>
      <w:r>
        <w:t xml:space="preserve">Step 12 — Binarise and score once</w:t>
      </w:r>
    </w:p>
    <w:p>
      <w:pPr>
        <w:pStyle w:val="FirstParagraph"/>
      </w:pPr>
      <w:r>
        <w:t xml:space="preserve">The stitched probability map is thresholded at the run’s τ*, and the metrics of Section 8 are computed on the full-resolution image, over valid pixels only. Each run’s test split is scored</w:t>
      </w:r>
      <w:r>
        <w:t xml:space="preserve"> </w:t>
      </w:r>
      <w:r>
        <w:rPr>
          <w:b/>
          <w:bCs/>
        </w:rPr>
        <w:t xml:space="preserve">exactly once</w:t>
      </w:r>
      <w:r>
        <w:t xml:space="preserve">; the scoring code refuses a second pass. The probability maps are saved, and every figure in this document that shows predictions is drawn from those saved maps.</w:t>
      </w:r>
    </w:p>
    <w:bookmarkEnd w:id="54"/>
    <w:bookmarkStart w:id="55" w:name="step-13-compare-models-statistically"/>
    <w:p>
      <w:pPr>
        <w:pStyle w:val="Heading2"/>
      </w:pPr>
      <w:r>
        <w:rPr>
          <w:rStyle w:val="SectionNumber"/>
        </w:rPr>
        <w:t xml:space="preserve">4.13</w:t>
      </w:r>
      <w:r>
        <w:tab/>
      </w:r>
      <w:r>
        <w:t xml:space="preserve">Step 13 — Compare models statistically</w:t>
      </w:r>
    </w:p>
    <w:p>
      <w:pPr>
        <w:pStyle w:val="FirstParagraph"/>
      </w:pPr>
      <w:r>
        <w:t xml:space="preserve">Each model is trained with several seeds. Differences between models are estimated per test image and summarised with two confidence intervals and a pre-specified decision rule (Section 9).</w:t>
      </w:r>
    </w:p>
    <w:bookmarkEnd w:id="55"/>
    <w:bookmarkEnd w:id="56"/>
    <w:bookmarkStart w:id="66" w:name="building-blocks"/>
    <w:p>
      <w:pPr>
        <w:pStyle w:val="Heading1"/>
      </w:pPr>
      <w:r>
        <w:rPr>
          <w:rStyle w:val="SectionNumber"/>
        </w:rPr>
        <w:t xml:space="preserve">5</w:t>
      </w:r>
      <w:r>
        <w:tab/>
      </w:r>
      <w:r>
        <w:t xml:space="preserve">Building blocks</w:t>
      </w:r>
    </w:p>
    <w:bookmarkStart w:id="60" w:name="the-haar-wavelet-transform"/>
    <w:p>
      <w:pPr>
        <w:pStyle w:val="Heading2"/>
      </w:pPr>
      <w:r>
        <w:rPr>
          <w:rStyle w:val="SectionNumber"/>
        </w:rPr>
        <w:t xml:space="preserve">5.1</w:t>
      </w:r>
      <w:r>
        <w:tab/>
      </w:r>
      <w:r>
        <w:t xml:space="preserve">The Haar wavelet transform</w:t>
      </w:r>
    </w:p>
    <w:p>
      <w:pPr>
        <w:pStyle w:val="FirstParagraph"/>
      </w:pPr>
      <w:r>
        <w:t xml:space="preserve">The single-level 2-D Haar DWT splits an image into four half-resolution</w:t>
      </w:r>
      <w:r>
        <w:t xml:space="preserve"> </w:t>
      </w:r>
      <w:r>
        <w:rPr>
          <w:i/>
          <w:iCs/>
        </w:rPr>
        <w:t xml:space="preserve">sub-bands</w:t>
      </w:r>
      <w:r>
        <w:t xml:space="preserve">. With the low-pass filter</w:t>
      </w:r>
      <w:r>
        <w:t xml:space="preserve"> </w:t>
      </w:r>
      <m:oMath>
        <m:r>
          <m:t>ℓ</m:t>
        </m:r>
        <m:r>
          <m:rPr>
            <m:sty m:val="p"/>
          </m:rPr>
          <m:t>=</m:t>
        </m:r>
        <m:f>
          <m:fPr>
            <m:type m:val="lin"/>
          </m:fPr>
          <m:num>
            <m:r>
              <m:t>1</m:t>
            </m:r>
          </m:num>
          <m:den>
            <m:rad>
              <m:radPr>
                <m:degHide m:val="on"/>
              </m:radPr>
              <m:deg/>
              <m:e>
                <m:r>
                  <m:t>2</m:t>
                </m:r>
              </m:e>
            </m:rad>
          </m:den>
        </m:f>
        <m:r>
          <m:rPr>
            <m:sty m:val="p"/>
          </m:rPr>
          <m:t>(</m:t>
        </m:r>
        <m:r>
          <m:t>1</m:t>
        </m:r>
        <m:r>
          <m:rPr>
            <m:sty m:val="p"/>
          </m:rPr>
          <m:t>,</m:t>
        </m:r>
        <m:r>
          <m:t>1</m:t>
        </m:r>
        <m:r>
          <m:rPr>
            <m:sty m:val="p"/>
          </m:rPr>
          <m:t>)</m:t>
        </m:r>
      </m:oMath>
      <w:r>
        <w:t xml:space="preserve"> </w:t>
      </w:r>
      <w:r>
        <w:t xml:space="preserve">and the high-pass filter</w:t>
      </w:r>
      <w:r>
        <w:t xml:space="preserve"> </w:t>
      </w:r>
      <m:oMath>
        <m:r>
          <m:t>h</m:t>
        </m:r>
        <m:r>
          <m:rPr>
            <m:sty m:val="p"/>
          </m:rPr>
          <m:t>=</m:t>
        </m:r>
        <m:f>
          <m:fPr>
            <m:type m:val="lin"/>
          </m:fPr>
          <m:num>
            <m:r>
              <m:t>1</m:t>
            </m:r>
          </m:num>
          <m:den>
            <m:rad>
              <m:radPr>
                <m:degHide m:val="on"/>
              </m:radPr>
              <m:deg/>
              <m:e>
                <m:r>
                  <m:t>2</m:t>
                </m:r>
              </m:e>
            </m:rad>
          </m:den>
        </m:f>
        <m:r>
          <m:rPr>
            <m:sty m:val="p"/>
          </m:rPr>
          <m:t>(</m:t>
        </m:r>
        <m:r>
          <m:t>1</m:t>
        </m:r>
        <m:r>
          <m:rPr>
            <m:sty m:val="p"/>
          </m:rPr>
          <m:t>,</m:t>
        </m:r>
        <m:r>
          <m:rPr>
            <m:sty m:val="p"/>
          </m:rPr>
          <m:t>−</m:t>
        </m:r>
        <m:r>
          <m:t>1</m:t>
        </m:r>
        <m:r>
          <m:rPr>
            <m:sty m:val="p"/>
          </m:rPr>
          <m:t>)</m:t>
        </m:r>
      </m:oMath>
      <w:r>
        <w:t xml:space="preserve">, the four 2 × 2 analysis kernels are</w:t>
      </w:r>
    </w:p>
    <w:p>
      <w:pPr>
        <w:pStyle w:val="BodyText"/>
      </w:pPr>
      <m:oMathPara>
        <m:oMathParaPr>
          <m:jc m:val="center"/>
        </m:oMathParaPr>
        <m:oMath>
          <m:sSub>
            <m:e>
              <m:r>
                <m:t>κ</m:t>
              </m:r>
            </m:e>
            <m:sub>
              <m:r>
                <m:t>L</m:t>
              </m:r>
              <m:r>
                <m:t>L</m:t>
              </m:r>
            </m:sub>
          </m:sSub>
          <m:r>
            <m:rPr>
              <m:sty m:val="p"/>
            </m:rPr>
            <m:t>=</m:t>
          </m:r>
          <m:sSup>
            <m:e>
              <m:r>
                <m:t>ℓ</m:t>
              </m:r>
            </m:e>
            <m:sup>
              <m:r>
                <m:rPr>
                  <m:sty m:val="p"/>
                </m:rPr>
                <m:t>⊤</m:t>
              </m:r>
            </m:sup>
          </m:sSup>
          <m:r>
            <m:t>ℓ</m:t>
          </m:r>
          <m:r>
            <m:rPr>
              <m:sty m:val="p"/>
            </m:rPr>
            <m:t>,</m:t>
          </m:r>
          <m:r>
            <m:t>  </m:t>
          </m:r>
          <m:sSub>
            <m:e>
              <m:r>
                <m:t>κ</m:t>
              </m:r>
            </m:e>
            <m:sub>
              <m:r>
                <m:t>L</m:t>
              </m:r>
              <m:r>
                <m:t>H</m:t>
              </m:r>
            </m:sub>
          </m:sSub>
          <m:r>
            <m:rPr>
              <m:sty m:val="p"/>
            </m:rPr>
            <m:t>=</m:t>
          </m:r>
          <m:sSup>
            <m:e>
              <m:r>
                <m:t>h</m:t>
              </m:r>
            </m:e>
            <m:sup>
              <m:r>
                <m:rPr>
                  <m:sty m:val="p"/>
                </m:rPr>
                <m:t>⊤</m:t>
              </m:r>
            </m:sup>
          </m:sSup>
          <m:r>
            <m:t>ℓ</m:t>
          </m:r>
          <m:r>
            <m:rPr>
              <m:sty m:val="p"/>
            </m:rPr>
            <m:t>,</m:t>
          </m:r>
          <m:r>
            <m:t>  </m:t>
          </m:r>
          <m:sSub>
            <m:e>
              <m:r>
                <m:t>κ</m:t>
              </m:r>
            </m:e>
            <m:sub>
              <m:r>
                <m:t>H</m:t>
              </m:r>
              <m:r>
                <m:t>L</m:t>
              </m:r>
            </m:sub>
          </m:sSub>
          <m:r>
            <m:rPr>
              <m:sty m:val="p"/>
            </m:rPr>
            <m:t>=</m:t>
          </m:r>
          <m:sSup>
            <m:e>
              <m:r>
                <m:t>ℓ</m:t>
              </m:r>
            </m:e>
            <m:sup>
              <m:r>
                <m:rPr>
                  <m:sty m:val="p"/>
                </m:rPr>
                <m:t>⊤</m:t>
              </m:r>
            </m:sup>
          </m:sSup>
          <m:r>
            <m:t>h</m:t>
          </m:r>
          <m:r>
            <m:rPr>
              <m:sty m:val="p"/>
            </m:rPr>
            <m:t>,</m:t>
          </m:r>
          <m:r>
            <m:t>  </m:t>
          </m:r>
          <m:sSub>
            <m:e>
              <m:r>
                <m:t>κ</m:t>
              </m:r>
            </m:e>
            <m:sub>
              <m:r>
                <m:t>H</m:t>
              </m:r>
              <m:r>
                <m:t>H</m:t>
              </m:r>
            </m:sub>
          </m:sSub>
          <m:r>
            <m:rPr>
              <m:sty m:val="p"/>
            </m:rPr>
            <m:t>=</m:t>
          </m:r>
          <m:sSup>
            <m:e>
              <m:r>
                <m:t>h</m:t>
              </m:r>
            </m:e>
            <m:sup>
              <m:r>
                <m:rPr>
                  <m:sty m:val="p"/>
                </m:rPr>
                <m:t>⊤</m:t>
              </m:r>
            </m:sup>
          </m:sSup>
          <m:r>
            <m:t>h</m:t>
          </m:r>
          <m:r>
            <m:rPr>
              <m:sty m:val="p"/>
            </m:rPr>
            <m:t>.</m:t>
          </m:r>
        </m:oMath>
      </m:oMathPara>
    </w:p>
    <w:p>
      <w:pPr>
        <w:pStyle w:val="FirstParagraph"/>
      </w:pPr>
      <w:r>
        <w:t xml:space="preserve">For a 2 × 2 block with values</w:t>
      </w:r>
      <w:r>
        <w:t xml:space="preserve"> </w:t>
      </w:r>
      <m:oMath>
        <m:r>
          <m:t>a</m:t>
        </m:r>
        <m:r>
          <m:rPr>
            <m:sty m:val="p"/>
          </m:rPr>
          <m:t>,</m:t>
        </m:r>
        <m:r>
          <m:t>b</m:t>
        </m:r>
      </m:oMath>
      <w:r>
        <w:t xml:space="preserve"> </w:t>
      </w:r>
      <w:r>
        <w:t xml:space="preserve">(top row) and</w:t>
      </w:r>
      <w:r>
        <w:t xml:space="preserve"> </w:t>
      </w:r>
      <m:oMath>
        <m:r>
          <m:t>c</m:t>
        </m:r>
        <m:r>
          <m:rPr>
            <m:sty m:val="p"/>
          </m:rPr>
          <m:t>,</m:t>
        </m:r>
        <m:r>
          <m:t>d</m:t>
        </m:r>
      </m:oMath>
      <w:r>
        <w:t xml:space="preserve"> </w:t>
      </w:r>
      <w:r>
        <w:t xml:space="preserve">(bottom row):</w:t>
      </w:r>
    </w:p>
    <w:p>
      <w:pPr>
        <w:pStyle w:val="BodyText"/>
      </w:pPr>
      <m:oMathPara>
        <m:oMathParaPr>
          <m:jc m:val="center"/>
        </m:oMathParaPr>
        <m:oMath>
          <m:r>
            <m:rPr>
              <m:nor/>
              <m:sty m:val="p"/>
            </m:rPr>
            <m:t>LL</m:t>
          </m:r>
          <m:r>
            <m:rPr>
              <m:sty m:val="p"/>
            </m:rPr>
            <m:t>=</m:t>
          </m:r>
          <m:f>
            <m:fPr>
              <m:type m:val="bar"/>
            </m:fPr>
            <m:num>
              <m:r>
                <m:t>a</m:t>
              </m:r>
              <m:r>
                <m:rPr>
                  <m:sty m:val="p"/>
                </m:rPr>
                <m:t>+</m:t>
              </m:r>
              <m:r>
                <m:t>b</m:t>
              </m:r>
              <m:r>
                <m:rPr>
                  <m:sty m:val="p"/>
                </m:rPr>
                <m:t>+</m:t>
              </m:r>
              <m:r>
                <m:t>c</m:t>
              </m:r>
              <m:r>
                <m:rPr>
                  <m:sty m:val="p"/>
                </m:rPr>
                <m:t>+</m:t>
              </m:r>
              <m:r>
                <m:t>d</m:t>
              </m:r>
            </m:num>
            <m:den>
              <m:r>
                <m:t>2</m:t>
              </m:r>
            </m:den>
          </m:f>
          <m:r>
            <m:rPr>
              <m:sty m:val="p"/>
            </m:rPr>
            <m:t>,</m:t>
          </m:r>
          <m:r>
            <m:t> </m:t>
          </m:r>
          <m:r>
            <m:rPr>
              <m:nor/>
              <m:sty m:val="p"/>
            </m:rPr>
            <m:t>LH</m:t>
          </m:r>
          <m:r>
            <m:rPr>
              <m:sty m:val="p"/>
            </m:rPr>
            <m:t>=</m:t>
          </m:r>
          <m:f>
            <m:fPr>
              <m:type m:val="bar"/>
            </m:fPr>
            <m:num>
              <m:r>
                <m:t>a</m:t>
              </m:r>
              <m:r>
                <m:rPr>
                  <m:sty m:val="p"/>
                </m:rPr>
                <m:t>+</m:t>
              </m:r>
              <m:r>
                <m:t>b</m:t>
              </m:r>
              <m:r>
                <m:rPr>
                  <m:sty m:val="p"/>
                </m:rPr>
                <m:t>−</m:t>
              </m:r>
              <m:r>
                <m:t>c</m:t>
              </m:r>
              <m:r>
                <m:rPr>
                  <m:sty m:val="p"/>
                </m:rPr>
                <m:t>−</m:t>
              </m:r>
              <m:r>
                <m:t>d</m:t>
              </m:r>
            </m:num>
            <m:den>
              <m:r>
                <m:t>2</m:t>
              </m:r>
            </m:den>
          </m:f>
          <m:r>
            <m:rPr>
              <m:sty m:val="p"/>
            </m:rPr>
            <m:t>,</m:t>
          </m:r>
          <m:r>
            <m:t> </m:t>
          </m:r>
          <m:r>
            <m:rPr>
              <m:nor/>
              <m:sty m:val="p"/>
            </m:rPr>
            <m:t>HL</m:t>
          </m:r>
          <m:r>
            <m:rPr>
              <m:sty m:val="p"/>
            </m:rPr>
            <m:t>=</m:t>
          </m:r>
          <m:f>
            <m:fPr>
              <m:type m:val="bar"/>
            </m:fPr>
            <m:num>
              <m:r>
                <m:t>a</m:t>
              </m:r>
              <m:r>
                <m:rPr>
                  <m:sty m:val="p"/>
                </m:rPr>
                <m:t>−</m:t>
              </m:r>
              <m:r>
                <m:t>b</m:t>
              </m:r>
              <m:r>
                <m:rPr>
                  <m:sty m:val="p"/>
                </m:rPr>
                <m:t>+</m:t>
              </m:r>
              <m:r>
                <m:t>c</m:t>
              </m:r>
              <m:r>
                <m:rPr>
                  <m:sty m:val="p"/>
                </m:rPr>
                <m:t>−</m:t>
              </m:r>
              <m:r>
                <m:t>d</m:t>
              </m:r>
            </m:num>
            <m:den>
              <m:r>
                <m:t>2</m:t>
              </m:r>
            </m:den>
          </m:f>
          <m:r>
            <m:rPr>
              <m:sty m:val="p"/>
            </m:rPr>
            <m:t>,</m:t>
          </m:r>
          <m:r>
            <m:t> </m:t>
          </m:r>
          <m:r>
            <m:rPr>
              <m:nor/>
              <m:sty m:val="p"/>
            </m:rPr>
            <m:t>HH</m:t>
          </m:r>
          <m:r>
            <m:rPr>
              <m:sty m:val="p"/>
            </m:rPr>
            <m:t>=</m:t>
          </m:r>
          <m:f>
            <m:fPr>
              <m:type m:val="bar"/>
            </m:fPr>
            <m:num>
              <m:r>
                <m:t>a</m:t>
              </m:r>
              <m:r>
                <m:rPr>
                  <m:sty m:val="p"/>
                </m:rPr>
                <m:t>−</m:t>
              </m:r>
              <m:r>
                <m:t>b</m:t>
              </m:r>
              <m:r>
                <m:rPr>
                  <m:sty m:val="p"/>
                </m:rPr>
                <m:t>−</m:t>
              </m:r>
              <m:r>
                <m:t>c</m:t>
              </m:r>
              <m:r>
                <m:rPr>
                  <m:sty m:val="p"/>
                </m:rPr>
                <m:t>+</m:t>
              </m:r>
              <m:r>
                <m:t>d</m:t>
              </m:r>
            </m:num>
            <m:den>
              <m:r>
                <m:t>2</m:t>
              </m:r>
            </m:den>
          </m:f>
          <m:r>
            <m:rPr>
              <m:sty m:val="p"/>
            </m:rPr>
            <m:t>.</m:t>
          </m:r>
        </m:oMath>
      </m:oMathPara>
    </w:p>
    <w:p>
      <w:pPr>
        <w:pStyle w:val="FirstParagraph"/>
      </w:pPr>
      <w:r>
        <w:t xml:space="preserve">The four kernels form an orthonormal basis of the 2 × 2 blocks. Applied to each channel with stride 2, the DWT maps a</w:t>
      </w:r>
      <w:r>
        <w:t xml:space="preserve"> </w:t>
      </w:r>
      <m:oMath>
        <m:r>
          <m:t>C</m:t>
        </m:r>
        <m:r>
          <m:rPr>
            <m:sty m:val="p"/>
          </m:rPr>
          <m:t>×</m:t>
        </m:r>
        <m:r>
          <m:t>H</m:t>
        </m:r>
        <m:r>
          <m:rPr>
            <m:sty m:val="p"/>
          </m:rPr>
          <m:t>×</m:t>
        </m:r>
        <m:r>
          <m:t>W</m:t>
        </m:r>
      </m:oMath>
      <w:r>
        <w:t xml:space="preserve"> </w:t>
      </w:r>
      <w:r>
        <w:t xml:space="preserve">tensor to</w:t>
      </w:r>
      <w:r>
        <w:t xml:space="preserve"> </w:t>
      </w:r>
      <m:oMath>
        <m:r>
          <m:t>4</m:t>
        </m:r>
        <m:r>
          <m:t>C</m:t>
        </m:r>
        <m:r>
          <m:rPr>
            <m:sty m:val="p"/>
          </m:rPr>
          <m:t>×</m:t>
        </m:r>
        <m:f>
          <m:fPr>
            <m:type m:val="bar"/>
          </m:fPr>
          <m:num>
            <m:r>
              <m:t>H</m:t>
            </m:r>
          </m:num>
          <m:den>
            <m:r>
              <m:t>2</m:t>
            </m:r>
          </m:den>
        </m:f>
        <m:r>
          <m:rPr>
            <m:sty m:val="p"/>
          </m:rPr>
          <m:t>×</m:t>
        </m:r>
        <m:f>
          <m:fPr>
            <m:type m:val="bar"/>
          </m:fPr>
          <m:num>
            <m:r>
              <m:t>W</m:t>
            </m:r>
          </m:num>
          <m:den>
            <m:r>
              <m:t>2</m:t>
            </m:r>
          </m:den>
        </m:f>
      </m:oMath>
      <w:r>
        <w:t xml:space="preserve">. It is implemented as a grouped convolution with frozen weights, and its inverse (IDWT) is the transposed convolution with the same kernels:</w:t>
      </w:r>
      <w:r>
        <w:t xml:space="preserve"> </w:t>
      </w:r>
      <m:oMath>
        <m:r>
          <m:rPr>
            <m:nor/>
            <m:sty m:val="p"/>
          </m:rPr>
          <m:t>IDWT</m:t>
        </m:r>
        <m:r>
          <m:rPr>
            <m:sty m:val="p"/>
          </m:rPr>
          <m:t>(</m:t>
        </m:r>
        <m:r>
          <m:rPr>
            <m:nor/>
            <m:sty m:val="p"/>
          </m:rPr>
          <m:t>DWT</m:t>
        </m:r>
        <m:r>
          <m:rPr>
            <m:sty m:val="p"/>
          </m:rPr>
          <m:t>(</m:t>
        </m:r>
        <m:r>
          <m:t>x</m:t>
        </m:r>
        <m:r>
          <m:rPr>
            <m:sty m:val="p"/>
          </m:rPr>
          <m:t>)</m:t>
        </m:r>
        <m:r>
          <m:rPr>
            <m:sty m:val="p"/>
          </m:rPr>
          <m:t>)</m:t>
        </m:r>
        <m:r>
          <m:rPr>
            <m:sty m:val="p"/>
          </m:rPr>
          <m:t>=</m:t>
        </m:r>
        <m:r>
          <m:t>x</m:t>
        </m:r>
      </m:oMath>
      <w:r>
        <w:t xml:space="preserve"> </w:t>
      </w:r>
      <w:r>
        <w:t xml:space="preserve">exactly.</w:t>
      </w:r>
    </w:p>
    <w:p>
      <w:pPr>
        <w:pStyle w:val="Explainer"/>
      </w:pPr>
      <w:r>
        <w:rPr>
          <w:b/>
          <w:bCs/>
        </w:rPr>
        <w:t xml:space="preserve">Worked example (computed with the project’s own DWT code).</w:t>
      </w:r>
      <w:r>
        <w:t xml:space="preserve"> </w:t>
      </w:r>
      <w:r>
        <w:t xml:space="preserve">Take a 2 × 2 block straddling the lower edge of a road: the top row is bright road (a = 120, b = 124) and the bottom row is darker verge (c = 60, d = 64).</w:t>
      </w:r>
    </w:p>
    <w:p>
      <w:pPr>
        <w:pStyle w:val="Explainer"/>
      </w:pPr>
      <w:r>
        <w:t xml:space="preserve">• LL = (120 + 124 + 60 + 64)/2 =</w:t>
      </w:r>
      <w:r>
        <w:t xml:space="preserve"> </w:t>
      </w:r>
      <w:r>
        <w:rPr>
          <w:b/>
          <w:bCs/>
        </w:rPr>
        <w:t xml:space="preserve">184</w:t>
      </w:r>
      <w:r>
        <w:t xml:space="preserve">: twice the block average (92). This is the</w:t>
      </w:r>
      <w:r>
        <w:t xml:space="preserve"> </w:t>
      </w:r>
      <w:r>
        <w:t xml:space="preserve">“smoothed image”</w:t>
      </w:r>
      <w:r>
        <w:t xml:space="preserve">.</w:t>
      </w:r>
    </w:p>
    <w:p>
      <w:pPr>
        <w:pStyle w:val="Explainer"/>
      </w:pPr>
      <w:r>
        <w:t xml:space="preserve">• LH = (120 + 124 − 60 − 64)/2 =</w:t>
      </w:r>
      <w:r>
        <w:t xml:space="preserve"> </w:t>
      </w:r>
      <w:r>
        <w:rPr>
          <w:b/>
          <w:bCs/>
        </w:rPr>
        <w:t xml:space="preserve">60</w:t>
      </w:r>
      <w:r>
        <w:t xml:space="preserve">: top minus bottom. It is large because there is a</w:t>
      </w:r>
      <w:r>
        <w:t xml:space="preserve"> </w:t>
      </w:r>
      <w:r>
        <w:rPr>
          <w:i/>
          <w:iCs/>
        </w:rPr>
        <w:t xml:space="preserve">horizontal</w:t>
      </w:r>
      <w:r>
        <w:t xml:space="preserve"> </w:t>
      </w:r>
      <w:r>
        <w:t xml:space="preserve">edge.</w:t>
      </w:r>
    </w:p>
    <w:p>
      <w:pPr>
        <w:pStyle w:val="Explainer"/>
      </w:pPr>
      <w:r>
        <w:t xml:space="preserve">• HL = (120 − 124 + 60 − 64)/2 =</w:t>
      </w:r>
      <w:r>
        <w:t xml:space="preserve"> </w:t>
      </w:r>
      <w:r>
        <w:rPr>
          <w:b/>
          <w:bCs/>
        </w:rPr>
        <w:t xml:space="preserve">−4</w:t>
      </w:r>
      <w:r>
        <w:t xml:space="preserve">: left minus right. It is small because there is almost no vertical edge.</w:t>
      </w:r>
    </w:p>
    <w:p>
      <w:pPr>
        <w:pStyle w:val="Explainer"/>
      </w:pPr>
      <w:r>
        <w:t xml:space="preserve">• HH = (120 − 124 − 60 + 64)/2 =</w:t>
      </w:r>
      <w:r>
        <w:t xml:space="preserve"> </w:t>
      </w:r>
      <w:r>
        <w:rPr>
          <w:b/>
          <w:bCs/>
        </w:rPr>
        <w:t xml:space="preserve">0</w:t>
      </w:r>
      <w:r>
        <w:t xml:space="preserve">: no diagonal (checkerboard) pattern.</w:t>
      </w:r>
    </w:p>
    <w:p>
      <w:pPr>
        <w:pStyle w:val="Explainer"/>
      </w:pPr>
      <w:r>
        <w:t xml:space="preserve">So the 2 × 2 pixel block becomes one coefficient per sub-band, at half the resolution. Nothing is lost: the inverse transform gives back 120, 124, 60, 64 exactly. Figure 8 shows the same transform on a real image: LL looks like a blurred copy, LH lights up at horizontal edges (rows of buildings), HL at vertical edges (the highway’s sides), and HH at fine texture.</w:t>
      </w:r>
    </w:p>
    <w:p>
      <w:pPr>
        <w:pStyle w:val="CaptionedFigure"/>
      </w:pPr>
      <w:r>
        <w:drawing>
          <wp:inline>
            <wp:extent cx="5943600" cy="1447629"/>
            <wp:effectExtent b="0" l="0" r="0" t="0"/>
            <wp:docPr descr="Figure 8. Haar DWT of a 256 × 256 DeepGlobe crop. LL is a half-resolution smoothed image; the magnitudes of LH, HL and HH show horizontal edges, vertical edges and diagonal detail. R1 feeds all 12 sub-bands (4 per colour) to the network instead of the image." title="" id="58" name="Picture"/>
            <a:graphic>
              <a:graphicData uri="http://schemas.openxmlformats.org/drawingml/2006/picture">
                <pic:pic>
                  <pic:nvPicPr>
                    <pic:cNvPr descr="fig/ex_haar.png" id="59" name="Picture"/>
                    <pic:cNvPicPr>
                      <a:picLocks noChangeArrowheads="1" noChangeAspect="1"/>
                    </pic:cNvPicPr>
                  </pic:nvPicPr>
                  <pic:blipFill>
                    <a:blip r:embed="rId57"/>
                    <a:stretch>
                      <a:fillRect/>
                    </a:stretch>
                  </pic:blipFill>
                  <pic:spPr bwMode="auto">
                    <a:xfrm>
                      <a:off x="0" y="0"/>
                      <a:ext cx="5943600" cy="1447629"/>
                    </a:xfrm>
                    <a:prstGeom prst="rect">
                      <a:avLst/>
                    </a:prstGeom>
                    <a:noFill/>
                    <a:ln w="9525">
                      <a:noFill/>
                      <a:headEnd/>
                      <a:tailEnd/>
                    </a:ln>
                  </pic:spPr>
                </pic:pic>
              </a:graphicData>
            </a:graphic>
          </wp:inline>
        </w:drawing>
      </w:r>
    </w:p>
    <w:p>
      <w:pPr>
        <w:pStyle w:val="ImageCaption"/>
      </w:pPr>
      <w:r>
        <w:rPr>
          <w:b/>
          <w:bCs/>
        </w:rPr>
        <w:t xml:space="preserve">Figure 8. Haar DWT of a 256 × 256 DeepGlobe crop.</w:t>
      </w:r>
      <w:r>
        <w:t xml:space="preserve"> </w:t>
      </w:r>
      <w:r>
        <w:t xml:space="preserve">LL is a half-resolution smoothed image; the magnitudes of LH, HL and HH show horizontal edges, vertical edges and diagonal detail. R1 feeds all 12 sub-bands (4 per colour) to the network instead of the image.</w:t>
      </w:r>
    </w:p>
    <w:bookmarkEnd w:id="60"/>
    <w:bookmarkStart w:id="61" w:name="the-resnext-50-encoder"/>
    <w:p>
      <w:pPr>
        <w:pStyle w:val="Heading2"/>
      </w:pPr>
      <w:r>
        <w:rPr>
          <w:rStyle w:val="SectionNumber"/>
        </w:rPr>
        <w:t xml:space="preserve">5.2</w:t>
      </w:r>
      <w:r>
        <w:tab/>
      </w:r>
      <w:r>
        <w:t xml:space="preserve">The ResNeXt-50 encoder</w:t>
      </w:r>
    </w:p>
    <w:p>
      <w:pPr>
        <w:pStyle w:val="FirstParagraph"/>
      </w:pPr>
      <w:r>
        <w:t xml:space="preserve">ResNeXt [4] builds each residual block from</w:t>
      </w:r>
      <w:r>
        <w:t xml:space="preserve"> </w:t>
      </w:r>
      <m:oMath>
        <m:r>
          <m:t>C</m:t>
        </m:r>
        <m:r>
          <m:rPr>
            <m:sty m:val="p"/>
          </m:rPr>
          <m:t>=</m:t>
        </m:r>
        <m:r>
          <m:t>32</m:t>
        </m:r>
      </m:oMath>
      <w:r>
        <w:t xml:space="preserve"> </w:t>
      </w:r>
      <w:r>
        <w:t xml:space="preserve">parallel paths of identical shape (its</w:t>
      </w:r>
      <w:r>
        <w:t xml:space="preserve"> </w:t>
      </w:r>
      <w:r>
        <w:rPr>
          <w:i/>
          <w:iCs/>
        </w:rPr>
        <w:t xml:space="preserve">cardinality</w:t>
      </w:r>
      <w:r>
        <w:t xml:space="preserve">):</w:t>
      </w:r>
    </w:p>
    <w:p>
      <w:pPr>
        <w:pStyle w:val="BodyText"/>
      </w:pPr>
      <m:oMathPara>
        <m:oMathParaPr>
          <m:jc m:val="center"/>
        </m:oMathParaPr>
        <m:oMath>
          <m:r>
            <m:t>y</m:t>
          </m:r>
          <m:r>
            <m:rPr>
              <m:sty m:val="p"/>
            </m:rPr>
            <m:t>=</m:t>
          </m:r>
          <m:r>
            <m:t>x</m:t>
          </m:r>
          <m:r>
            <m:rPr>
              <m:sty m:val="p"/>
            </m:rPr>
            <m:t>+</m:t>
          </m:r>
          <m:nary>
            <m:naryPr>
              <m:chr m:val="∑"/>
              <m:limLoc m:val="undOvr"/>
              <m:subHide m:val="off"/>
              <m:supHide m:val="off"/>
            </m:naryPr>
            <m:sub>
              <m:r>
                <m:t>i</m:t>
              </m:r>
              <m:r>
                <m:rPr>
                  <m:sty m:val="p"/>
                </m:rPr>
                <m:t>=</m:t>
              </m:r>
              <m:r>
                <m:t>1</m:t>
              </m:r>
            </m:sub>
            <m:sup>
              <m:r>
                <m:t>32</m:t>
              </m:r>
            </m:sup>
            <m:e>
              <m:sSub>
                <m:e>
                  <m:r>
                    <m:rPr>
                      <m:scr m:val="script"/>
                      <m:sty m:val="p"/>
                    </m:rPr>
                    <m:t>T</m:t>
                  </m:r>
                </m:e>
                <m:sub>
                  <m:r>
                    <m:t>i</m:t>
                  </m:r>
                </m:sub>
              </m:sSub>
            </m:e>
          </m:nary>
          <m:r>
            <m:rPr>
              <m:sty m:val="p"/>
            </m:rPr>
            <m:t>(</m:t>
          </m:r>
          <m:r>
            <m:t>x</m:t>
          </m:r>
          <m:r>
            <m:rPr>
              <m:sty m:val="p"/>
            </m:rPr>
            <m:t>)</m:t>
          </m:r>
          <m:r>
            <m:rPr>
              <m:sty m:val="p"/>
            </m:rPr>
            <m:t>.</m:t>
          </m:r>
        </m:oMath>
      </m:oMathPara>
    </w:p>
    <w:p>
      <w:pPr>
        <w:pStyle w:val="FirstParagraph"/>
      </w:pPr>
      <w:r>
        <w:t xml:space="preserve">In practice this is a 1 × 1 convolution that reduces the channels, a 3 × 3 convolution split into 32 groups, and a 1 × 1 convolution that expands them again. The 50-layer network has 3, 4, 6 and 3 such blocks in its four stages (Table 3). We use the ImageNet-pretrained</w:t>
      </w:r>
      <w:r>
        <w:t xml:space="preserve"> </w:t>
      </w:r>
      <w:r>
        <w:t xml:space="preserve">“32 × 4d”</w:t>
      </w:r>
      <w:r>
        <w:t xml:space="preserve"> </w:t>
      </w:r>
      <w:r>
        <w:t xml:space="preserve">weights.</w:t>
      </w:r>
    </w:p>
    <w:p>
      <w:pPr>
        <w:pStyle w:val="Explainer"/>
      </w:pPr>
      <w:r>
        <w:rPr>
          <w:b/>
          <w:bCs/>
        </w:rPr>
        <w:t xml:space="preserve">Why a pretrained encoder?</w:t>
      </w:r>
      <w:r>
        <w:t xml:space="preserve"> </w:t>
      </w:r>
      <w:r>
        <w:t xml:space="preserve">ImageNet pretraining gives the network generic edge, texture and shape detectors before it sees a single road. With only 1108 Massachusetts tiles, or 12 Ottawa scenes, learning these from scratch is hard. The results bear this out on DeepGlobe, where the from-scratch U-Net is 3.3 IoU points below R0.</w:t>
      </w:r>
    </w:p>
    <w:bookmarkEnd w:id="61"/>
    <w:bookmarkStart w:id="65" w:name="the-u-net-decoder"/>
    <w:p>
      <w:pPr>
        <w:pStyle w:val="Heading2"/>
      </w:pPr>
      <w:r>
        <w:rPr>
          <w:rStyle w:val="SectionNumber"/>
        </w:rPr>
        <w:t xml:space="preserve">5.3</w:t>
      </w:r>
      <w:r>
        <w:tab/>
      </w:r>
      <w:r>
        <w:t xml:space="preserve">The U-Net decoder</w:t>
      </w:r>
    </w:p>
    <w:p>
      <w:pPr>
        <w:pStyle w:val="FirstParagraph"/>
      </w:pPr>
      <w:r>
        <w:t xml:space="preserve">The decoder [6] has five up-sampling stages with explicit skip connections:</w:t>
      </w:r>
    </w:p>
    <w:p>
      <w:pPr>
        <w:pStyle w:val="BodyText"/>
      </w:pPr>
      <m:oMathPara>
        <m:oMathParaPr>
          <m:jc m:val="center"/>
        </m:oMathParaPr>
        <m:oMath>
          <m:sSub>
            <m:e>
              <m:r>
                <m:t>d</m:t>
              </m:r>
            </m:e>
            <m:sub>
              <m:r>
                <m:t>ℓ</m:t>
              </m:r>
            </m:sub>
          </m:sSub>
          <m:r>
            <m:rPr>
              <m:sty m:val="p"/>
            </m:rPr>
            <m:t>=</m:t>
          </m:r>
          <m:sSub>
            <m:e>
              <m:r>
                <m:t>ϕ</m:t>
              </m:r>
            </m:e>
            <m:sub>
              <m:r>
                <m:t>ℓ</m:t>
              </m:r>
            </m:sub>
          </m:sSub>
          <m:d>
            <m:dPr>
              <m:begChr m:val="("/>
              <m:sepChr m:val=""/>
              <m:endChr m:val=")"/>
              <m:grow/>
            </m:dPr>
            <m:e>
              <m:r>
                <m:rPr>
                  <m:sty m:val="p"/>
                </m:rPr>
                <m:t>[</m:t>
              </m:r>
              <m:r>
                <m:t> </m:t>
              </m:r>
              <m:r>
                <m:rPr>
                  <m:nor/>
                  <m:sty m:val="p"/>
                </m:rPr>
                <m:t>Up</m:t>
              </m:r>
              <m:r>
                <m:rPr>
                  <m:sty m:val="p"/>
                </m:rPr>
                <m:t>(</m:t>
              </m:r>
              <m:sSub>
                <m:e>
                  <m:r>
                    <m:t>d</m:t>
                  </m:r>
                </m:e>
                <m:sub>
                  <m:r>
                    <m:t>ℓ</m:t>
                  </m:r>
                  <m:r>
                    <m:rPr>
                      <m:sty m:val="p"/>
                    </m:rPr>
                    <m:t>−</m:t>
                  </m:r>
                  <m:r>
                    <m:t>1</m:t>
                  </m:r>
                </m:sub>
              </m:sSub>
              <m:r>
                <m:rPr>
                  <m:sty m:val="p"/>
                </m:rPr>
                <m:t>)</m:t>
              </m:r>
              <m:r>
                <m:t> </m:t>
              </m:r>
              <m:r>
                <m:rPr>
                  <m:sty m:val="p"/>
                </m:rPr>
                <m:t>;</m:t>
              </m:r>
              <m:r>
                <m:t> </m:t>
              </m:r>
              <m:sSub>
                <m:e>
                  <m:r>
                    <m:t>f</m:t>
                  </m:r>
                </m:e>
                <m:sub>
                  <m:r>
                    <m:t>4</m:t>
                  </m:r>
                  <m:r>
                    <m:rPr>
                      <m:sty m:val="p"/>
                    </m:rPr>
                    <m:t>−</m:t>
                  </m:r>
                  <m:r>
                    <m:t>ℓ</m:t>
                  </m:r>
                </m:sub>
              </m:sSub>
              <m:r>
                <m:t> </m:t>
              </m:r>
              <m:r>
                <m:rPr>
                  <m:sty m:val="p"/>
                </m:rPr>
                <m:t>]</m:t>
              </m:r>
            </m:e>
          </m:d>
          <m:r>
            <m:rPr>
              <m:sty m:val="p"/>
            </m:rPr>
            <m:t>,</m:t>
          </m:r>
          <m:r>
            <m:t>  </m:t>
          </m:r>
          <m:sSub>
            <m:e>
              <m:r>
                <m:t>d</m:t>
              </m:r>
            </m:e>
            <m:sub>
              <m:r>
                <m:t>0</m:t>
              </m:r>
            </m:sub>
          </m:sSub>
          <m:r>
            <m:rPr>
              <m:sty m:val="p"/>
            </m:rPr>
            <m:t>=</m:t>
          </m:r>
          <m:sSub>
            <m:e>
              <m:r>
                <m:t>f</m:t>
              </m:r>
            </m:e>
            <m:sub>
              <m:r>
                <m:t>4</m:t>
              </m:r>
            </m:sub>
          </m:sSub>
          <m:r>
            <m:rPr>
              <m:sty m:val="p"/>
            </m:rPr>
            <m:t>,</m:t>
          </m:r>
        </m:oMath>
      </m:oMathPara>
    </w:p>
    <w:p>
      <w:pPr>
        <w:pStyle w:val="FirstParagraph"/>
      </w:pPr>
      <w:r>
        <w:t xml:space="preserve">where Up is ×2 bilinear up-sampling followed by a 3 × 3 convolution, [· ; ·] is channel concatenation, and</w:t>
      </w:r>
      <w:r>
        <w:t xml:space="preserve"> </w:t>
      </w:r>
      <m:oMath>
        <m:sSub>
          <m:e>
            <m:r>
              <m:t>ϕ</m:t>
            </m:r>
          </m:e>
          <m:sub>
            <m:r>
              <m:t>ℓ</m:t>
            </m:r>
          </m:sub>
        </m:sSub>
      </m:oMath>
      <w:r>
        <w:t xml:space="preserve"> </w:t>
      </w:r>
      <w:r>
        <w:t xml:space="preserve">is two 3 × 3 convolution–BatchNorm–ReLU layers. The widths are 512, 256, 128, 64 and 32. A final 1 × 1 convolution gives one logit per pixel (Figure 9).</w:t>
      </w:r>
    </w:p>
    <w:p>
      <w:pPr>
        <w:pStyle w:val="CaptionedFigure"/>
      </w:pPr>
      <w:r>
        <w:drawing>
          <wp:inline>
            <wp:extent cx="5943600" cy="2219898"/>
            <wp:effectExtent b="0" l="0" r="0" t="0"/>
            <wp:docPr descr="Figure 9. The shared network. ResNeXt-50 32×4d encoder (blue), U-Net decoder (orange), skip connections (dashed) and output heads (green). The models differ only in the parts named in Section 6." title="" id="63" name="Picture"/>
            <a:graphic>
              <a:graphicData uri="http://schemas.openxmlformats.org/drawingml/2006/picture">
                <pic:pic>
                  <pic:nvPicPr>
                    <pic:cNvPr descr="fig/network.png" id="64" name="Picture"/>
                    <pic:cNvPicPr>
                      <a:picLocks noChangeArrowheads="1" noChangeAspect="1"/>
                    </pic:cNvPicPr>
                  </pic:nvPicPr>
                  <pic:blipFill>
                    <a:blip r:embed="rId62"/>
                    <a:stretch>
                      <a:fillRect/>
                    </a:stretch>
                  </pic:blipFill>
                  <pic:spPr bwMode="auto">
                    <a:xfrm>
                      <a:off x="0" y="0"/>
                      <a:ext cx="5943600" cy="2219898"/>
                    </a:xfrm>
                    <a:prstGeom prst="rect">
                      <a:avLst/>
                    </a:prstGeom>
                    <a:noFill/>
                    <a:ln w="9525">
                      <a:noFill/>
                      <a:headEnd/>
                      <a:tailEnd/>
                    </a:ln>
                  </pic:spPr>
                </pic:pic>
              </a:graphicData>
            </a:graphic>
          </wp:inline>
        </w:drawing>
      </w:r>
    </w:p>
    <w:p>
      <w:pPr>
        <w:pStyle w:val="ImageCaption"/>
      </w:pPr>
      <w:r>
        <w:rPr>
          <w:b/>
          <w:bCs/>
        </w:rPr>
        <w:t xml:space="preserve">Figure 9. The shared network.</w:t>
      </w:r>
      <w:r>
        <w:t xml:space="preserve"> </w:t>
      </w:r>
      <w:r>
        <w:t xml:space="preserve">ResNeXt-50 32×4d encoder (blue), U-Net decoder (orange), skip connections (dashed) and output heads (green). The models differ only in the parts named in Section 6.</w:t>
      </w:r>
    </w:p>
    <w:bookmarkEnd w:id="65"/>
    <w:bookmarkEnd w:id="66"/>
    <w:bookmarkStart w:id="91" w:name="the-models-one-by-one"/>
    <w:p>
      <w:pPr>
        <w:pStyle w:val="Heading1"/>
      </w:pPr>
      <w:r>
        <w:rPr>
          <w:rStyle w:val="SectionNumber"/>
        </w:rPr>
        <w:t xml:space="preserve">6</w:t>
      </w:r>
      <w:r>
        <w:tab/>
      </w:r>
      <w:r>
        <w:t xml:space="preserve">The models, one by one</w:t>
      </w:r>
    </w:p>
    <w:p>
      <w:pPr>
        <w:pStyle w:val="TableCaption"/>
      </w:pPr>
      <w:r>
        <w:t xml:space="preserve">Table 4. All models. Bold rows are the ones each study is built around.</w:t>
      </w:r>
    </w:p>
    <w:tbl>
      <w:tblPr>
        <w:tblStyle w:val="Table"/>
        <w:tblW w:type="pct" w:w="5000"/>
        <w:tblLayout w:type="fixed"/>
        <w:tblLook w:firstRow="1" w:lastRow="0" w:firstColumn="0" w:lastColumn="0" w:noHBand="0" w:noVBand="0" w:val="0020"/>
        <w:tblCaption w:val="Table 4. All models. Bold rows are the ones each study is built around."/>
      </w:tblPr>
      <w:tblGrid>
        <w:gridCol w:w="913"/>
        <w:gridCol w:w="4188"/>
        <w:gridCol w:w="609"/>
        <w:gridCol w:w="2208"/>
      </w:tblGrid>
      <w:tr>
        <w:trPr>
          <w:tblHeader w:val="on"/>
        </w:trPr>
        <w:tc>
          <w:tcPr/>
          <w:p>
            <w:pPr>
              <w:pStyle w:val="TableText"/>
              <w:jc w:val="left"/>
            </w:pPr>
            <w:r>
              <w:t xml:space="preserve">Model</w:t>
            </w:r>
          </w:p>
        </w:tc>
        <w:tc>
          <w:tcPr/>
          <w:p>
            <w:pPr>
              <w:pStyle w:val="TableText"/>
              <w:jc w:val="left"/>
            </w:pPr>
            <w:r>
              <w:t xml:space="preserve">What changes relative to R0</w:t>
            </w:r>
          </w:p>
        </w:tc>
        <w:tc>
          <w:tcPr/>
          <w:p>
            <w:pPr>
              <w:pStyle w:val="TableText"/>
              <w:jc w:val="center"/>
            </w:pPr>
            <w:r>
              <w:t xml:space="preserve">Study</w:t>
            </w:r>
          </w:p>
        </w:tc>
        <w:tc>
          <w:tcPr/>
          <w:p>
            <w:pPr>
              <w:pStyle w:val="TableText"/>
              <w:jc w:val="left"/>
            </w:pPr>
            <w:r>
              <w:t xml:space="preserve">Why it is there</w:t>
            </w:r>
          </w:p>
        </w:tc>
      </w:tr>
      <w:tr>
        <w:tc>
          <w:tcPr/>
          <w:p>
            <w:pPr>
              <w:pStyle w:val="TableText"/>
              <w:jc w:val="left"/>
            </w:pPr>
            <w:r>
              <w:rPr>
                <w:b/>
                <w:bCs/>
              </w:rPr>
              <w:t xml:space="preserve">R0</w:t>
            </w:r>
          </w:p>
        </w:tc>
        <w:tc>
          <w:tcPr/>
          <w:p>
            <w:pPr>
              <w:pStyle w:val="TableText"/>
              <w:jc w:val="left"/>
            </w:pPr>
            <w:r>
              <w:t xml:space="preserve">nothing: ImageNet ResNeXt-50 + U-Net, BCE + Dice loss</w:t>
            </w:r>
          </w:p>
        </w:tc>
        <w:tc>
          <w:tcPr/>
          <w:p>
            <w:pPr>
              <w:pStyle w:val="TableText"/>
              <w:jc w:val="center"/>
            </w:pPr>
            <w:r>
              <w:t xml:space="preserve">all</w:t>
            </w:r>
          </w:p>
        </w:tc>
        <w:tc>
          <w:tcPr/>
          <w:p>
            <w:pPr>
              <w:pStyle w:val="TableText"/>
              <w:jc w:val="left"/>
            </w:pPr>
            <w:r>
              <w:t xml:space="preserve">the control</w:t>
            </w:r>
          </w:p>
        </w:tc>
      </w:tr>
      <w:tr>
        <w:tc>
          <w:tcPr/>
          <w:p>
            <w:pPr>
              <w:pStyle w:val="TableText"/>
              <w:jc w:val="left"/>
            </w:pPr>
            <w:r>
              <w:rPr>
                <w:b/>
                <w:bCs/>
              </w:rPr>
              <w:t xml:space="preserve">R1</w:t>
            </w:r>
          </w:p>
        </w:tc>
        <w:tc>
          <w:tcPr/>
          <w:p>
            <w:pPr>
              <w:pStyle w:val="TableText"/>
              <w:jc w:val="left"/>
            </w:pPr>
            <w:r>
              <w:t xml:space="preserve">Haar DWT at the input; stride-1 stem with exact initialisation</w:t>
            </w:r>
          </w:p>
        </w:tc>
        <w:tc>
          <w:tcPr/>
          <w:p>
            <w:pPr>
              <w:pStyle w:val="TableText"/>
              <w:jc w:val="center"/>
            </w:pPr>
            <w:r>
              <w:t xml:space="preserve">1</w:t>
            </w:r>
          </w:p>
        </w:tc>
        <w:tc>
          <w:tcPr/>
          <w:p>
            <w:pPr>
              <w:pStyle w:val="TableText"/>
              <w:jc w:val="left"/>
            </w:pPr>
            <w:r>
              <w:rPr>
                <w:b/>
                <w:bCs/>
              </w:rPr>
              <w:t xml:space="preserve">the draft paper’s method</w:t>
            </w:r>
          </w:p>
        </w:tc>
      </w:tr>
      <w:tr>
        <w:tc>
          <w:tcPr/>
          <w:p>
            <w:pPr>
              <w:pStyle w:val="TableText"/>
              <w:jc w:val="left"/>
            </w:pPr>
            <w:r>
              <w:rPr>
                <w:b/>
                <w:bCs/>
              </w:rPr>
              <w:t xml:space="preserve">R2</w:t>
            </w:r>
          </w:p>
        </w:tc>
        <w:tc>
          <w:tcPr/>
          <w:p>
            <w:pPr>
              <w:pStyle w:val="TableText"/>
              <w:jc w:val="left"/>
            </w:pPr>
            <w:r>
              <w:t xml:space="preserve">learned Haar-basis pooling at every down-sampling; wavelet unpooling in the decoder</w:t>
            </w:r>
          </w:p>
        </w:tc>
        <w:tc>
          <w:tcPr/>
          <w:p>
            <w:pPr>
              <w:pStyle w:val="TableText"/>
              <w:jc w:val="center"/>
            </w:pPr>
            <w:r>
              <w:t xml:space="preserve">1</w:t>
            </w:r>
          </w:p>
        </w:tc>
        <w:tc>
          <w:tcPr/>
          <w:p>
            <w:pPr>
              <w:pStyle w:val="TableText"/>
              <w:jc w:val="left"/>
            </w:pPr>
            <w:r>
              <w:t xml:space="preserve">the strongest wavelet variant</w:t>
            </w:r>
          </w:p>
        </w:tc>
      </w:tr>
      <w:tr>
        <w:tc>
          <w:tcPr/>
          <w:p>
            <w:pPr>
              <w:pStyle w:val="TableText"/>
              <w:jc w:val="left"/>
            </w:pPr>
            <w:r>
              <w:rPr>
                <w:b/>
                <w:bCs/>
              </w:rPr>
              <w:t xml:space="preserve">R3</w:t>
            </w:r>
          </w:p>
        </w:tc>
        <w:tc>
          <w:tcPr/>
          <w:p>
            <w:pPr>
              <w:pStyle w:val="TableText"/>
              <w:jc w:val="left"/>
            </w:pPr>
            <w:r>
              <w:t xml:space="preserve">R2 + soft-clDice topology loss</w:t>
            </w:r>
          </w:p>
        </w:tc>
        <w:tc>
          <w:tcPr/>
          <w:p>
            <w:pPr>
              <w:pStyle w:val="TableText"/>
              <w:jc w:val="center"/>
            </w:pPr>
            <w:r>
              <w:t xml:space="preserve">1</w:t>
            </w:r>
          </w:p>
        </w:tc>
        <w:tc>
          <w:tcPr/>
          <w:p>
            <w:pPr>
              <w:pStyle w:val="TableText"/>
              <w:jc w:val="left"/>
            </w:pPr>
            <w:r>
              <w:t xml:space="preserve">a connectivity variant</w:t>
            </w:r>
          </w:p>
        </w:tc>
      </w:tr>
      <w:tr>
        <w:tc>
          <w:tcPr/>
          <w:p>
            <w:pPr>
              <w:pStyle w:val="TableText"/>
              <w:jc w:val="left"/>
            </w:pPr>
            <w:r>
              <w:t xml:space="preserve">U-Net</w:t>
            </w:r>
          </w:p>
        </w:tc>
        <w:tc>
          <w:tcPr/>
          <w:p>
            <w:pPr>
              <w:pStyle w:val="TableText"/>
              <w:jc w:val="left"/>
            </w:pPr>
            <w:r>
              <w:t xml:space="preserve">classic U-Net, trained from scratch</w:t>
            </w:r>
          </w:p>
        </w:tc>
        <w:tc>
          <w:tcPr/>
          <w:p>
            <w:pPr>
              <w:pStyle w:val="TableText"/>
              <w:jc w:val="center"/>
            </w:pPr>
            <w:r>
              <w:t xml:space="preserve">1</w:t>
            </w:r>
          </w:p>
        </w:tc>
        <w:tc>
          <w:tcPr/>
          <w:p>
            <w:pPr>
              <w:pStyle w:val="TableText"/>
              <w:jc w:val="left"/>
            </w:pPr>
            <w:r>
              <w:t xml:space="preserve">external baseline</w:t>
            </w:r>
          </w:p>
        </w:tc>
      </w:tr>
      <w:tr>
        <w:tc>
          <w:tcPr/>
          <w:p>
            <w:pPr>
              <w:pStyle w:val="TableText"/>
              <w:jc w:val="left"/>
            </w:pPr>
            <w:r>
              <w:t xml:space="preserve">D-LinkNet</w:t>
            </w:r>
          </w:p>
        </w:tc>
        <w:tc>
          <w:tcPr/>
          <w:p>
            <w:pPr>
              <w:pStyle w:val="TableText"/>
              <w:jc w:val="left"/>
            </w:pPr>
            <w:r>
              <w:t xml:space="preserve">ResNet-34 LinkNet with dilated centre block</w:t>
            </w:r>
          </w:p>
        </w:tc>
        <w:tc>
          <w:tcPr/>
          <w:p>
            <w:pPr>
              <w:pStyle w:val="TableText"/>
              <w:jc w:val="center"/>
            </w:pPr>
            <w:r>
              <w:t xml:space="preserve">1</w:t>
            </w:r>
          </w:p>
        </w:tc>
        <w:tc>
          <w:tcPr/>
          <w:p>
            <w:pPr>
              <w:pStyle w:val="TableText"/>
              <w:jc w:val="left"/>
            </w:pPr>
            <w:r>
              <w:t xml:space="preserve">external baseline (DeepGlobe 2018 winner)</w:t>
            </w:r>
          </w:p>
        </w:tc>
      </w:tr>
      <w:tr>
        <w:tc>
          <w:tcPr/>
          <w:p>
            <w:pPr>
              <w:pStyle w:val="TableText"/>
              <w:jc w:val="left"/>
            </w:pPr>
            <w:r>
              <w:rPr>
                <w:b/>
                <w:bCs/>
              </w:rPr>
              <w:t xml:space="preserve">GA</w:t>
            </w:r>
          </w:p>
        </w:tc>
        <w:tc>
          <w:tcPr/>
          <w:p>
            <w:pPr>
              <w:pStyle w:val="TableText"/>
              <w:jc w:val="left"/>
            </w:pPr>
            <w:r>
              <w:t xml:space="preserve">+ centre-line head and width head, trained as auxiliary outputs</w:t>
            </w:r>
          </w:p>
        </w:tc>
        <w:tc>
          <w:tcPr/>
          <w:p>
            <w:pPr>
              <w:pStyle w:val="TableText"/>
              <w:jc w:val="center"/>
            </w:pPr>
            <w:r>
              <w:t xml:space="preserve">2</w:t>
            </w:r>
          </w:p>
        </w:tc>
        <w:tc>
          <w:tcPr/>
          <w:p>
            <w:pPr>
              <w:pStyle w:val="TableText"/>
              <w:jc w:val="left"/>
            </w:pPr>
            <w:r>
              <w:t xml:space="preserve">geometric supervision</w:t>
            </w:r>
          </w:p>
        </w:tc>
      </w:tr>
      <w:tr>
        <w:tc>
          <w:tcPr/>
          <w:p>
            <w:pPr>
              <w:pStyle w:val="TableText"/>
              <w:jc w:val="left"/>
            </w:pPr>
            <w:r>
              <w:rPr>
                <w:b/>
                <w:bCs/>
              </w:rPr>
              <w:t xml:space="preserve">GB</w:t>
            </w:r>
          </w:p>
        </w:tc>
        <w:tc>
          <w:tcPr/>
          <w:p>
            <w:pPr>
              <w:pStyle w:val="TableText"/>
              <w:jc w:val="left"/>
            </w:pPr>
            <w:r>
              <w:t xml:space="preserve">as GA, but the mask is</w:t>
            </w:r>
            <w:r>
              <w:t xml:space="preserve"> </w:t>
            </w:r>
            <w:r>
              <w:rPr>
                <w:i/>
                <w:iCs/>
              </w:rPr>
              <w:t xml:space="preserve">drawn</w:t>
            </w:r>
            <w:r>
              <w:t xml:space="preserve"> </w:t>
            </w:r>
            <w:r>
              <w:t xml:space="preserve">from the predicted centre-line and width</w:t>
            </w:r>
          </w:p>
        </w:tc>
        <w:tc>
          <w:tcPr/>
          <w:p>
            <w:pPr>
              <w:pStyle w:val="TableText"/>
              <w:jc w:val="center"/>
            </w:pPr>
            <w:r>
              <w:t xml:space="preserve">2</w:t>
            </w:r>
          </w:p>
        </w:tc>
        <w:tc>
          <w:tcPr/>
          <w:p>
            <w:pPr>
              <w:pStyle w:val="TableText"/>
              <w:jc w:val="left"/>
            </w:pPr>
            <w:r>
              <w:t xml:space="preserve">geometric representation</w:t>
            </w:r>
          </w:p>
        </w:tc>
      </w:tr>
      <w:tr>
        <w:tc>
          <w:tcPr/>
          <w:p>
            <w:pPr>
              <w:pStyle w:val="TableText"/>
              <w:jc w:val="left"/>
            </w:pPr>
            <w:r>
              <w:t xml:space="preserve">GAc / GAw</w:t>
            </w:r>
          </w:p>
        </w:tc>
        <w:tc>
          <w:tcPr/>
          <w:p>
            <w:pPr>
              <w:pStyle w:val="TableText"/>
              <w:jc w:val="left"/>
            </w:pPr>
            <w:r>
              <w:t xml:space="preserve">GA with only the centre (GAc) or only the width (GAw) loss term</w:t>
            </w:r>
          </w:p>
        </w:tc>
        <w:tc>
          <w:tcPr/>
          <w:p>
            <w:pPr>
              <w:pStyle w:val="TableText"/>
              <w:jc w:val="center"/>
            </w:pPr>
            <w:r>
              <w:t xml:space="preserve">2</w:t>
            </w:r>
          </w:p>
        </w:tc>
        <w:tc>
          <w:tcPr/>
          <w:p>
            <w:pPr>
              <w:pStyle w:val="TableText"/>
              <w:jc w:val="left"/>
            </w:pPr>
            <w:r>
              <w:t xml:space="preserve">which term matters</w:t>
            </w:r>
          </w:p>
        </w:tc>
      </w:tr>
      <w:tr>
        <w:tc>
          <w:tcPr/>
          <w:p>
            <w:pPr>
              <w:pStyle w:val="TableText"/>
              <w:jc w:val="left"/>
            </w:pPr>
            <w:r>
              <w:t xml:space="preserve">GD</w:t>
            </w:r>
          </w:p>
        </w:tc>
        <w:tc>
          <w:tcPr/>
          <w:p>
            <w:pPr>
              <w:pStyle w:val="TableText"/>
              <w:jc w:val="left"/>
            </w:pPr>
            <w:r>
              <w:t xml:space="preserve">GA’s model with Deep-Distance-Transform targets [32]</w:t>
            </w:r>
          </w:p>
        </w:tc>
        <w:tc>
          <w:tcPr/>
          <w:p>
            <w:pPr>
              <w:pStyle w:val="TableText"/>
              <w:jc w:val="center"/>
            </w:pPr>
            <w:r>
              <w:t xml:space="preserve">2</w:t>
            </w:r>
          </w:p>
        </w:tc>
        <w:tc>
          <w:tcPr/>
          <w:p>
            <w:pPr>
              <w:pStyle w:val="TableText"/>
              <w:jc w:val="left"/>
            </w:pPr>
            <w:r>
              <w:t xml:space="preserve">prior-work target</w:t>
            </w:r>
          </w:p>
        </w:tc>
      </w:tr>
      <w:tr>
        <w:tc>
          <w:tcPr/>
          <w:p>
            <w:pPr>
              <w:pStyle w:val="TableText"/>
              <w:jc w:val="left"/>
            </w:pPr>
            <w:r>
              <w:t xml:space="preserve">GO</w:t>
            </w:r>
          </w:p>
        </w:tc>
        <w:tc>
          <w:tcPr/>
          <w:p>
            <w:pPr>
              <w:pStyle w:val="TableText"/>
              <w:jc w:val="left"/>
            </w:pPr>
            <w:r>
              <w:t xml:space="preserve">GA’s model with road-orientation targets (as in [18])</w:t>
            </w:r>
          </w:p>
        </w:tc>
        <w:tc>
          <w:tcPr/>
          <w:p>
            <w:pPr>
              <w:pStyle w:val="TableText"/>
              <w:jc w:val="center"/>
            </w:pPr>
            <w:r>
              <w:t xml:space="preserve">2</w:t>
            </w:r>
          </w:p>
        </w:tc>
        <w:tc>
          <w:tcPr/>
          <w:p>
            <w:pPr>
              <w:pStyle w:val="TableText"/>
              <w:jc w:val="left"/>
            </w:pPr>
            <w:r>
              <w:t xml:space="preserve">prior-work target</w:t>
            </w:r>
          </w:p>
        </w:tc>
      </w:tr>
      <w:tr>
        <w:tc>
          <w:tcPr/>
          <w:p>
            <w:pPr>
              <w:pStyle w:val="TableText"/>
              <w:jc w:val="left"/>
            </w:pPr>
            <w:r>
              <w:rPr>
                <w:b/>
                <w:bCs/>
              </w:rPr>
              <w:t xml:space="preserve">GFa / GFb</w:t>
            </w:r>
          </w:p>
        </w:tc>
        <w:tc>
          <w:tcPr/>
          <w:p>
            <w:pPr>
              <w:pStyle w:val="TableText"/>
              <w:jc w:val="left"/>
            </w:pPr>
            <w:r>
              <w:t xml:space="preserve">geometry head inside the decoder; its output is fed into the later stages</w:t>
            </w:r>
          </w:p>
        </w:tc>
        <w:tc>
          <w:tcPr/>
          <w:p>
            <w:pPr>
              <w:pStyle w:val="TableText"/>
              <w:jc w:val="center"/>
            </w:pPr>
            <w:r>
              <w:t xml:space="preserve">3</w:t>
            </w:r>
          </w:p>
        </w:tc>
        <w:tc>
          <w:tcPr/>
          <w:p>
            <w:pPr>
              <w:pStyle w:val="TableText"/>
              <w:jc w:val="left"/>
            </w:pPr>
            <w:r>
              <w:t xml:space="preserve">geometry used at inference</w:t>
            </w:r>
          </w:p>
        </w:tc>
      </w:tr>
    </w:tbl>
    <w:bookmarkStart w:id="67" w:name="r0-the-control"/>
    <w:p>
      <w:pPr>
        <w:pStyle w:val="Heading2"/>
      </w:pPr>
      <w:r>
        <w:rPr>
          <w:rStyle w:val="SectionNumber"/>
        </w:rPr>
        <w:t xml:space="preserve">6.1</w:t>
      </w:r>
      <w:r>
        <w:tab/>
      </w:r>
      <w:r>
        <w:t xml:space="preserve">R0 — the control</w:t>
      </w:r>
    </w:p>
    <w:p>
      <w:pPr>
        <w:pStyle w:val="FirstParagraph"/>
      </w:pPr>
      <w:r>
        <w:t xml:space="preserve">R0 is the network of Section 5 trained with BCE + Dice (Section 7). Every other model is R0 plus exactly one change, so any difference from R0 measures that change.</w:t>
      </w:r>
    </w:p>
    <w:bookmarkEnd w:id="67"/>
    <w:bookmarkStart w:id="71" w:name="Xdef059f6874bf35c15e6441e477bdfa2d38b219"/>
    <w:p>
      <w:pPr>
        <w:pStyle w:val="Heading2"/>
      </w:pPr>
      <w:r>
        <w:rPr>
          <w:rStyle w:val="SectionNumber"/>
        </w:rPr>
        <w:t xml:space="preserve">6.2</w:t>
      </w:r>
      <w:r>
        <w:tab/>
      </w:r>
      <w:r>
        <w:t xml:space="preserve">R1 — DWT at the input (the draft paper’s method)</w:t>
      </w:r>
    </w:p>
    <w:p>
      <w:pPr>
        <w:pStyle w:val="CaptionedFigure"/>
      </w:pPr>
      <w:r>
        <w:drawing>
          <wp:inline>
            <wp:extent cx="5943600" cy="1546241"/>
            <wp:effectExtent b="0" l="0" r="0" t="0"/>
            <wp:docPr descr="Figure 10. The stems of R0 and R1. R1 applies the fixed Haar DWT first (halving the resolution), so its first convolution has stride 1 instead of 2. From the 64 × 256 × 256 feature map onwards the two networks have identical shapes." title="" id="69" name="Picture"/>
            <a:graphic>
              <a:graphicData uri="http://schemas.openxmlformats.org/drawingml/2006/picture">
                <pic:pic>
                  <pic:nvPicPr>
                    <pic:cNvPr descr="fig/stem.png" id="70" name="Picture"/>
                    <pic:cNvPicPr>
                      <a:picLocks noChangeArrowheads="1" noChangeAspect="1"/>
                    </pic:cNvPicPr>
                  </pic:nvPicPr>
                  <pic:blipFill>
                    <a:blip r:embed="rId68"/>
                    <a:stretch>
                      <a:fillRect/>
                    </a:stretch>
                  </pic:blipFill>
                  <pic:spPr bwMode="auto">
                    <a:xfrm>
                      <a:off x="0" y="0"/>
                      <a:ext cx="5943600" cy="1546241"/>
                    </a:xfrm>
                    <a:prstGeom prst="rect">
                      <a:avLst/>
                    </a:prstGeom>
                    <a:noFill/>
                    <a:ln w="9525">
                      <a:noFill/>
                      <a:headEnd/>
                      <a:tailEnd/>
                    </a:ln>
                  </pic:spPr>
                </pic:pic>
              </a:graphicData>
            </a:graphic>
          </wp:inline>
        </w:drawing>
      </w:r>
    </w:p>
    <w:p>
      <w:pPr>
        <w:pStyle w:val="ImageCaption"/>
      </w:pPr>
      <w:r>
        <w:rPr>
          <w:b/>
          <w:bCs/>
        </w:rPr>
        <w:t xml:space="preserve">Figure 10. The stems of R0 and R1.</w:t>
      </w:r>
      <w:r>
        <w:t xml:space="preserve"> </w:t>
      </w:r>
      <w:r>
        <w:t xml:space="preserve">R1 applies the fixed Haar DWT first (halving the resolution), so its first convolution has stride 1 instead of 2. From the 64 × 256 × 256 feature map onwards the two networks have identical shapes.</w:t>
      </w:r>
    </w:p>
    <w:p>
      <w:pPr>
        <w:pStyle w:val="BodyText"/>
      </w:pPr>
      <w:r>
        <w:rPr>
          <w:b/>
          <w:bCs/>
        </w:rPr>
        <w:t xml:space="preserve">Stride parity.</w:t>
      </w:r>
      <w:r>
        <w:t xml:space="preserve"> </w:t>
      </w:r>
      <w:r>
        <w:t xml:space="preserve">The DWT already halves the resolution, so R1’s stem convolution uses stride 1 (Figure 10). All later feature maps, skip connections and the decoder have exactly R0’s shapes.</w:t>
      </w:r>
    </w:p>
    <w:p>
      <w:pPr>
        <w:pStyle w:val="BodyText"/>
      </w:pPr>
      <w:r>
        <w:rPr>
          <w:b/>
          <w:bCs/>
        </w:rPr>
        <w:t xml:space="preserve">The initialisation problem.</w:t>
      </w:r>
      <w:r>
        <w:t xml:space="preserve"> </w:t>
      </w:r>
      <w:r>
        <w:t xml:space="preserve">Widening the stem from 3 to 12 input channels would discard its ImageNet weights unless they are adapted. The obvious adaptation gives each colour’s LL band the pretrained kernel (halved, since LL is twice the local mean) and zeroes the other bands. It is</w:t>
      </w:r>
      <w:r>
        <w:t xml:space="preserve"> </w:t>
      </w:r>
      <w:r>
        <w:rPr>
          <w:i/>
          <w:iCs/>
        </w:rPr>
        <w:t xml:space="preserve">not</w:t>
      </w:r>
      <w:r>
        <w:t xml:space="preserve"> </w:t>
      </w:r>
      <w:r>
        <w:t xml:space="preserve">equivalent to R0: it amounts to the pretrained kernel applied at stride 1 to a 2 × 2-average-pooled image. An exact adaptation exists.</w:t>
      </w:r>
    </w:p>
    <w:p>
      <w:pPr>
        <w:pStyle w:val="BodyText"/>
      </w:pPr>
      <w:r>
        <w:rPr>
          <w:b/>
          <w:bCs/>
        </w:rPr>
        <w:t xml:space="preserve">Proposition (exact DWT-domain stem).</w:t>
      </w:r>
      <w:r>
        <w:t xml:space="preserve"> </w:t>
      </w:r>
      <w:r>
        <w:t xml:space="preserve">Let</w:t>
      </w:r>
      <w:r>
        <w:t xml:space="preserve"> </w:t>
      </w:r>
      <m:oMath>
        <m:r>
          <m:t>W</m:t>
        </m:r>
        <m:r>
          <m:rPr>
            <m:sty m:val="p"/>
          </m:rPr>
          <m:t>∈</m:t>
        </m:r>
        <m:sSup>
          <m:e>
            <m:r>
              <m:rPr>
                <m:scr m:val="double-struck"/>
                <m:sty m:val="p"/>
              </m:rPr>
              <m:t>R</m:t>
            </m:r>
          </m:e>
          <m:sup>
            <m:r>
              <m:t>O</m:t>
            </m:r>
            <m:r>
              <m:rPr>
                <m:sty m:val="p"/>
              </m:rPr>
              <m:t>×</m:t>
            </m:r>
            <m:r>
              <m:t>3</m:t>
            </m:r>
            <m:r>
              <m:rPr>
                <m:sty m:val="p"/>
              </m:rPr>
              <m:t>×</m:t>
            </m:r>
            <m:r>
              <m:t>7</m:t>
            </m:r>
            <m:r>
              <m:rPr>
                <m:sty m:val="p"/>
              </m:rPr>
              <m:t>×</m:t>
            </m:r>
            <m:r>
              <m:t>7</m:t>
            </m:r>
          </m:sup>
        </m:sSup>
      </m:oMath>
      <w:r>
        <w:t xml:space="preserve"> </w:t>
      </w:r>
      <w:r>
        <w:t xml:space="preserve">be R0’s pretrained stem kernel (stride 2, padding 3). Let</w:t>
      </w:r>
      <w:r>
        <w:t xml:space="preserve"> </w:t>
      </w:r>
      <m:oMath>
        <m:r>
          <m:t>K</m:t>
        </m:r>
      </m:oMath>
      <w:r>
        <w:t xml:space="preserve"> </w:t>
      </w:r>
      <w:r>
        <w:t xml:space="preserve">be</w:t>
      </w:r>
      <w:r>
        <w:t xml:space="preserve"> </w:t>
      </w:r>
      <m:oMath>
        <m:r>
          <m:t>W</m:t>
        </m:r>
      </m:oMath>
      <w:r>
        <w:t xml:space="preserve"> </w:t>
      </w:r>
      <w:r>
        <w:t xml:space="preserve">zero-padded by one row at the top and one column at the left (8 × 8), and let</w:t>
      </w:r>
      <w:r>
        <w:t xml:space="preserve"> </w:t>
      </w:r>
      <m:oMath>
        <m:r>
          <m:t>G</m:t>
        </m:r>
        <m:r>
          <m:rPr>
            <m:sty m:val="p"/>
          </m:rPr>
          <m:t>=</m:t>
        </m:r>
        <m:r>
          <m:rPr>
            <m:nor/>
            <m:sty m:val="p"/>
          </m:rPr>
          <m:t>DWT</m:t>
        </m:r>
        <m:r>
          <m:rPr>
            <m:sty m:val="p"/>
          </m:rPr>
          <m:t>(</m:t>
        </m:r>
        <m:r>
          <m:t>K</m:t>
        </m:r>
        <m:r>
          <m:rPr>
            <m:sty m:val="p"/>
          </m:rPr>
          <m:t>)</m:t>
        </m:r>
        <m:r>
          <m:rPr>
            <m:sty m:val="p"/>
          </m:rPr>
          <m:t>∈</m:t>
        </m:r>
        <m:sSup>
          <m:e>
            <m:r>
              <m:rPr>
                <m:scr m:val="double-struck"/>
                <m:sty m:val="p"/>
              </m:rPr>
              <m:t>R</m:t>
            </m:r>
          </m:e>
          <m:sup>
            <m:r>
              <m:t>O</m:t>
            </m:r>
            <m:r>
              <m:rPr>
                <m:sty m:val="p"/>
              </m:rPr>
              <m:t>×</m:t>
            </m:r>
            <m:r>
              <m:t>12</m:t>
            </m:r>
            <m:r>
              <m:rPr>
                <m:sty m:val="p"/>
              </m:rPr>
              <m:t>×</m:t>
            </m:r>
            <m:r>
              <m:t>4</m:t>
            </m:r>
            <m:r>
              <m:rPr>
                <m:sty m:val="p"/>
              </m:rPr>
              <m:t>×</m:t>
            </m:r>
            <m:r>
              <m:t>4</m:t>
            </m:r>
          </m:sup>
        </m:sSup>
      </m:oMath>
      <w:r>
        <w:t xml:space="preserve"> </w:t>
      </w:r>
      <w:r>
        <w:t xml:space="preserve">be the same Haar analysis applied to the kernel. Setting</w:t>
      </w:r>
      <w:r>
        <w:t xml:space="preserve"> </w:t>
      </w:r>
      <m:oMath>
        <m:sSup>
          <m:e>
            <m:r>
              <m:t>W</m:t>
            </m:r>
          </m:e>
          <m:sup>
            <m:r>
              <m:rPr>
                <m:sty m:val="p"/>
              </m:rPr>
              <m:t>′</m:t>
            </m:r>
          </m:sup>
        </m:sSup>
        <m:r>
          <m:rPr>
            <m:sty m:val="p"/>
          </m:rPr>
          <m:t>[</m:t>
        </m:r>
        <m:r>
          <m:rPr>
            <m:sty m:val="p"/>
          </m:rPr>
          <m:t>:</m:t>
        </m:r>
        <m:r>
          <m:rPr>
            <m:sty m:val="p"/>
          </m:rPr>
          <m:t>,</m:t>
        </m:r>
        <m:r>
          <m:rPr>
            <m:sty m:val="p"/>
          </m:rPr>
          <m:t>:</m:t>
        </m:r>
        <m:r>
          <m:rPr>
            <m:sty m:val="p"/>
          </m:rPr>
          <m:t>,</m:t>
        </m:r>
        <m:r>
          <m:t>1</m:t>
        </m:r>
        <m:r>
          <m:rPr>
            <m:sty m:val="p"/>
          </m:rPr>
          <m:t>:</m:t>
        </m:r>
        <m:r>
          <m:t>5</m:t>
        </m:r>
        <m:r>
          <m:rPr>
            <m:sty m:val="p"/>
          </m:rPr>
          <m:t>,</m:t>
        </m:r>
        <m:r>
          <m:t>1</m:t>
        </m:r>
        <m:r>
          <m:rPr>
            <m:sty m:val="p"/>
          </m:rPr>
          <m:t>:</m:t>
        </m:r>
        <m:r>
          <m:t>5</m:t>
        </m:r>
        <m:r>
          <m:rPr>
            <m:sty m:val="p"/>
          </m:rPr>
          <m:t>]</m:t>
        </m:r>
        <m:r>
          <m:rPr>
            <m:sty m:val="p"/>
          </m:rPr>
          <m:t>=</m:t>
        </m:r>
        <m:r>
          <m:t>G</m:t>
        </m:r>
      </m:oMath>
      <w:r>
        <w:t xml:space="preserve"> </w:t>
      </w:r>
      <w:r>
        <w:t xml:space="preserve">(and zero elsewhere) gives, for every input with even height and width,</w:t>
      </w:r>
    </w:p>
    <w:p>
      <w:pPr>
        <w:pStyle w:val="BodyText"/>
      </w:pPr>
      <m:oMathPara>
        <m:oMathParaPr>
          <m:jc m:val="center"/>
        </m:oMathParaPr>
        <m:oMath>
          <m:sSub>
            <m:e>
              <m:r>
                <m:rPr>
                  <m:nor/>
                  <m:sty m:val="p"/>
                </m:rPr>
                <m:t>conv</m:t>
              </m:r>
            </m:e>
            <m:sub>
              <m:r>
                <m:t>s</m:t>
              </m:r>
              <m:r>
                <m:rPr>
                  <m:sty m:val="p"/>
                </m:rPr>
                <m:t>=</m:t>
              </m:r>
              <m:r>
                <m:t>1</m:t>
              </m:r>
              <m:r>
                <m:rPr>
                  <m:sty m:val="p"/>
                </m:rPr>
                <m:t>,</m:t>
              </m:r>
              <m:r>
                <m:t> </m:t>
              </m:r>
              <m:r>
                <m:t>p</m:t>
              </m:r>
              <m:r>
                <m:rPr>
                  <m:sty m:val="p"/>
                </m:rPr>
                <m:t>=</m:t>
              </m:r>
              <m:r>
                <m:t>3</m:t>
              </m:r>
            </m:sub>
          </m:sSub>
          <m:d>
            <m:dPr>
              <m:begChr m:val="("/>
              <m:sepChr m:val=""/>
              <m:endChr m:val=")"/>
              <m:grow/>
            </m:dPr>
            <m:e>
              <m:r>
                <m:rPr>
                  <m:nor/>
                  <m:sty m:val="p"/>
                </m:rPr>
                <m:t>DWT</m:t>
              </m:r>
              <m:r>
                <m:rPr>
                  <m:sty m:val="p"/>
                </m:rPr>
                <m:t>(</m:t>
              </m:r>
              <m:r>
                <m:t>x</m:t>
              </m:r>
              <m:r>
                <m:rPr>
                  <m:sty m:val="p"/>
                </m:rPr>
                <m:t>)</m:t>
              </m:r>
              <m:r>
                <m:rPr>
                  <m:sty m:val="p"/>
                </m:rPr>
                <m:t>;</m:t>
              </m:r>
              <m:r>
                <m:t> </m:t>
              </m:r>
              <m:sSup>
                <m:e>
                  <m:r>
                    <m:t>W</m:t>
                  </m:r>
                </m:e>
                <m:sup>
                  <m:r>
                    <m:rPr>
                      <m:sty m:val="p"/>
                    </m:rPr>
                    <m:t>′</m:t>
                  </m:r>
                </m:sup>
              </m:sSup>
            </m:e>
          </m:d>
          <m:r>
            <m:t> </m:t>
          </m:r>
          <m:r>
            <m:rPr>
              <m:sty m:val="p"/>
            </m:rPr>
            <m:t>=</m:t>
          </m:r>
          <m:r>
            <m:t> </m:t>
          </m:r>
          <m:sSub>
            <m:e>
              <m:r>
                <m:rPr>
                  <m:nor/>
                  <m:sty m:val="p"/>
                </m:rPr>
                <m:t>conv</m:t>
              </m:r>
            </m:e>
            <m:sub>
              <m:r>
                <m:t>s</m:t>
              </m:r>
              <m:r>
                <m:rPr>
                  <m:sty m:val="p"/>
                </m:rPr>
                <m:t>=</m:t>
              </m:r>
              <m:r>
                <m:t>2</m:t>
              </m:r>
              <m:r>
                <m:rPr>
                  <m:sty m:val="p"/>
                </m:rPr>
                <m:t>,</m:t>
              </m:r>
              <m:r>
                <m:t> </m:t>
              </m:r>
              <m:r>
                <m:t>p</m:t>
              </m:r>
              <m:r>
                <m:rPr>
                  <m:sty m:val="p"/>
                </m:rPr>
                <m:t>=</m:t>
              </m:r>
              <m:r>
                <m:t>3</m:t>
              </m:r>
            </m:sub>
          </m:sSub>
          <m:d>
            <m:dPr>
              <m:begChr m:val="("/>
              <m:sepChr m:val=""/>
              <m:endChr m:val=")"/>
              <m:grow/>
            </m:dPr>
            <m:e>
              <m:r>
                <m:t>x</m:t>
              </m:r>
              <m:r>
                <m:rPr>
                  <m:sty m:val="p"/>
                </m:rPr>
                <m:t>;</m:t>
              </m:r>
              <m:r>
                <m:t> </m:t>
              </m:r>
              <m:r>
                <m:t>W</m:t>
              </m:r>
            </m:e>
          </m:d>
          <m:r>
            <m:rPr>
              <m:sty m:val="p"/>
            </m:rPr>
            <m:t>.</m:t>
          </m:r>
        </m:oMath>
      </m:oMathPara>
    </w:p>
    <w:p>
      <w:pPr>
        <w:pStyle w:val="FirstParagraph"/>
      </w:pPr>
      <w:r>
        <w:rPr>
          <w:i/>
          <w:iCs/>
        </w:rPr>
        <w:t xml:space="preserve">Proof sketch.</w:t>
      </w:r>
      <w:r>
        <w:t xml:space="preserve"> </w:t>
      </w:r>
      <w:r>
        <w:t xml:space="preserve">The stride-2 convolution sums kernel × pixel products over an 8 × 8 window that splits into 16 whole 2 × 2 blocks. Within each block, the inner product of the kernel block with the pixel block equals the inner product of their Haar coefficients, because the Haar basis is orthonormal. The sum therefore becomes a 4 × 4, stride-1 convolution on the coefficient map, and the block offsets −2…+1 are taps 1–4 of a 7 × 7 kernel with padding 3. Zero padding agrees because, with even image sizes, every block lies wholly inside or wholly outside the image. ∎</w:t>
      </w:r>
    </w:p>
    <w:p>
      <w:pPr>
        <w:pStyle w:val="BodyText"/>
      </w:pPr>
      <w:r>
        <w:rPr>
          <w:b/>
          <w:bCs/>
        </w:rPr>
        <w:t xml:space="preserve">Consequences.</w:t>
      </w:r>
    </w:p>
    <w:p>
      <w:pPr>
        <w:pStyle w:val="Compact"/>
        <w:numPr>
          <w:ilvl w:val="0"/>
          <w:numId w:val="1011"/>
        </w:numPr>
      </w:pPr>
      <w:r>
        <w:t xml:space="preserve">R1 is</w:t>
      </w:r>
      <w:r>
        <w:t xml:space="preserve"> </w:t>
      </w:r>
      <w:r>
        <w:rPr>
          <w:i/>
          <w:iCs/>
        </w:rPr>
        <w:t xml:space="preserve">the same function</w:t>
      </w:r>
      <w:r>
        <w:t xml:space="preserve"> </w:t>
      </w:r>
      <w:r>
        <w:t xml:space="preserve">as the pretrained R0 at step 0 (largest logit difference measured on the launch path: 1.5 × 10⁻⁸), so any later difference is due to learning alone.</w:t>
      </w:r>
    </w:p>
    <w:p>
      <w:pPr>
        <w:pStyle w:val="Compact"/>
        <w:numPr>
          <w:ilvl w:val="0"/>
          <w:numId w:val="1011"/>
        </w:numPr>
      </w:pPr>
      <w:r>
        <w:t xml:space="preserve">R1’s stem has 12 · 49 · 64 = 37,632 weights against R0’s 9408, and can represent a 14 × 14-pixel footprint where R0 has 7 × 7.</w:t>
      </w:r>
    </w:p>
    <w:p>
      <w:pPr>
        <w:pStyle w:val="Compact"/>
        <w:numPr>
          <w:ilvl w:val="0"/>
          <w:numId w:val="1011"/>
        </w:numPr>
      </w:pPr>
      <w:r>
        <w:t xml:space="preserve">Conversely,</w:t>
      </w:r>
      <w:r>
        <w:t xml:space="preserve"> </w:t>
      </w:r>
      <w:r>
        <w:t xml:space="preserve">“DWT, then convolution”</w:t>
      </w:r>
      <w:r>
        <w:t xml:space="preserve"> </w:t>
      </w:r>
      <w:r>
        <w:t xml:space="preserve">can represent nothing that a strided convolution with a larger kernel cannot.</w:t>
      </w:r>
      <w:r>
        <w:t xml:space="preserve"> </w:t>
      </w:r>
      <w:r>
        <w:rPr>
          <w:b/>
          <w:bCs/>
        </w:rPr>
        <w:t xml:space="preserve">The DWT front end adds no information; it changes the parameterisation and the receptive field of the first layer.</w:t>
      </w:r>
      <w:r>
        <w:t xml:space="preserve"> </w:t>
      </w:r>
      <w:r>
        <w:t xml:space="preserve">This predicts a small effect, and that is what the experiment finds.</w:t>
      </w:r>
    </w:p>
    <w:p>
      <w:pPr>
        <w:pStyle w:val="Explainer"/>
      </w:pPr>
      <w:r>
        <w:rPr>
          <w:b/>
          <w:bCs/>
        </w:rPr>
        <w:t xml:space="preserve">Intuition.</w:t>
      </w:r>
      <w:r>
        <w:t xml:space="preserve"> </w:t>
      </w:r>
      <w:r>
        <w:t xml:space="preserve">Think of the stride-2 convolution as a weighted sum over 2 × 2 blocks of pixels. The Haar transform is just a rotation of each block into a different coordinate system (sum, vertical difference, horizontal difference, diagonal difference), and rotating both the weights and the pixels by the same orthonormal rotation leaves their dot product unchanged. So a network that receives Haar coefficients can compute exactly what a network that receives pixels computes. The DWT does not reveal edges the convolution could not already see; the first convolution of a pretrained network already contains edge detectors.</w:t>
      </w:r>
    </w:p>
    <w:bookmarkEnd w:id="71"/>
    <w:bookmarkStart w:id="75" w:name="X7320d729660a3694f28c207567b647c1b91e1a5"/>
    <w:p>
      <w:pPr>
        <w:pStyle w:val="Heading2"/>
      </w:pPr>
      <w:r>
        <w:rPr>
          <w:rStyle w:val="SectionNumber"/>
        </w:rPr>
        <w:t xml:space="preserve">6.3</w:t>
      </w:r>
      <w:r>
        <w:tab/>
      </w:r>
      <w:r>
        <w:t xml:space="preserve">R2 — learned Haar-basis pooling and unpooling</w:t>
      </w:r>
    </w:p>
    <w:p>
      <w:pPr>
        <w:pStyle w:val="CaptionedFigure"/>
      </w:pPr>
      <w:r>
        <w:drawing>
          <wp:inline>
            <wp:extent cx="5669280" cy="2637579"/>
            <wp:effectExtent b="0" l="0" r="0" t="0"/>
            <wp:docPr descr="Figure 11. The first block of encoder stages 2–4 in R0 and R2. R2 moves the down-sampling out of the stride-2 convolutions into WaveletPool layers placed in front of them; the pretrained convolutions keep their weights and run at stride 1." title="" id="73" name="Picture"/>
            <a:graphic>
              <a:graphicData uri="http://schemas.openxmlformats.org/drawingml/2006/picture">
                <pic:pic>
                  <pic:nvPicPr>
                    <pic:cNvPr descr="fig/wpool.png" id="74" name="Picture"/>
                    <pic:cNvPicPr>
                      <a:picLocks noChangeArrowheads="1" noChangeAspect="1"/>
                    </pic:cNvPicPr>
                  </pic:nvPicPr>
                  <pic:blipFill>
                    <a:blip r:embed="rId72"/>
                    <a:stretch>
                      <a:fillRect/>
                    </a:stretch>
                  </pic:blipFill>
                  <pic:spPr bwMode="auto">
                    <a:xfrm>
                      <a:off x="0" y="0"/>
                      <a:ext cx="5669280" cy="2637579"/>
                    </a:xfrm>
                    <a:prstGeom prst="rect">
                      <a:avLst/>
                    </a:prstGeom>
                    <a:noFill/>
                    <a:ln w="9525">
                      <a:noFill/>
                      <a:headEnd/>
                      <a:tailEnd/>
                    </a:ln>
                  </pic:spPr>
                </pic:pic>
              </a:graphicData>
            </a:graphic>
          </wp:inline>
        </w:drawing>
      </w:r>
    </w:p>
    <w:p>
      <w:pPr>
        <w:pStyle w:val="ImageCaption"/>
      </w:pPr>
      <w:r>
        <w:rPr>
          <w:b/>
          <w:bCs/>
        </w:rPr>
        <w:t xml:space="preserve">Figure 11. The first block of encoder stages 2–4 in R0 and R2.</w:t>
      </w:r>
      <w:r>
        <w:t xml:space="preserve"> </w:t>
      </w:r>
      <w:r>
        <w:t xml:space="preserve">R2 moves the down-sampling out of the stride-2 convolutions into WaveletPool layers placed in front of them; the pretrained convolutions keep their weights and run at stride 1.</w:t>
      </w:r>
    </w:p>
    <w:p>
      <w:pPr>
        <w:pStyle w:val="BodyText"/>
      </w:pPr>
      <w:r>
        <w:rPr>
          <w:b/>
          <w:bCs/>
        </w:rPr>
        <w:t xml:space="preserve">WaveletPool.</w:t>
      </w:r>
      <w:r>
        <w:t xml:space="preserve"> </w:t>
      </w:r>
      <w:r>
        <w:t xml:space="preserve">Every stride-2 operation of the encoder (the stem max-pool, and the stride-2 grouped convolution and shortcut in the first block of layers 2–4) is replaced by a WaveletPool placed</w:t>
      </w:r>
      <w:r>
        <w:t xml:space="preserve"> </w:t>
      </w:r>
      <w:r>
        <w:rPr>
          <w:i/>
          <w:iCs/>
        </w:rPr>
        <w:t xml:space="preserve">in front of</w:t>
      </w:r>
      <w:r>
        <w:t xml:space="preserve"> </w:t>
      </w:r>
      <w:r>
        <w:t xml:space="preserve">the original pretrained layer, whose stride is set to 1 (Figure 11). For an input with sub-bands</w:t>
      </w:r>
      <w:r>
        <w:t xml:space="preserve"> </w:t>
      </w:r>
      <m:oMath>
        <m:r>
          <m:t>D</m:t>
        </m:r>
        <m:r>
          <m:rPr>
            <m:sty m:val="p"/>
          </m:rPr>
          <m:t>=</m:t>
        </m:r>
        <m:r>
          <m:rPr>
            <m:nor/>
            <m:sty m:val="p"/>
          </m:rPr>
          <m:t>DWT</m:t>
        </m:r>
        <m:r>
          <m:rPr>
            <m:sty m:val="p"/>
          </m:rPr>
          <m:t>(</m:t>
        </m:r>
        <m:r>
          <m:t>x</m:t>
        </m:r>
        <m:r>
          <m:rPr>
            <m:sty m:val="p"/>
          </m:rPr>
          <m:t>)</m:t>
        </m:r>
      </m:oMath>
      <w:r>
        <w:t xml:space="preserve">:</w:t>
      </w:r>
    </w:p>
    <w:p>
      <w:pPr>
        <w:pStyle w:val="BodyText"/>
      </w:pPr>
      <m:oMathPara>
        <m:oMathParaPr>
          <m:jc m:val="center"/>
        </m:oMathParaPr>
        <m:oMath>
          <m:r>
            <m:rPr>
              <m:nor/>
              <m:sty m:val="p"/>
            </m:rPr>
            <m:t>WP</m:t>
          </m:r>
          <m:r>
            <m:rPr>
              <m:sty m:val="p"/>
            </m:rPr>
            <m:t>(</m:t>
          </m:r>
          <m:r>
            <m:t>x</m:t>
          </m:r>
          <m:sSub>
            <m:e>
              <m:r>
                <m:rPr>
                  <m:sty m:val="p"/>
                </m:rPr>
                <m:t>)</m:t>
              </m:r>
            </m:e>
            <m:sub>
              <m:r>
                <m:t>c</m:t>
              </m:r>
            </m:sub>
          </m:sSub>
          <m:r>
            <m:rPr>
              <m:sty m:val="p"/>
            </m:rPr>
            <m:t>=</m:t>
          </m:r>
          <m:nary>
            <m:naryPr>
              <m:chr m:val="∑"/>
              <m:limLoc m:val="undOvr"/>
              <m:subHide m:val="off"/>
              <m:supHide m:val="off"/>
            </m:naryPr>
            <m:sub>
              <m:r>
                <m:t>k</m:t>
              </m:r>
              <m:r>
                <m:rPr>
                  <m:sty m:val="p"/>
                </m:rPr>
                <m:t>=</m:t>
              </m:r>
              <m:r>
                <m:t>0</m:t>
              </m:r>
            </m:sub>
            <m:sup>
              <m:r>
                <m:t>3</m:t>
              </m:r>
            </m:sup>
            <m:e>
              <m:sSub>
                <m:e>
                  <m:r>
                    <m:t>ω</m:t>
                  </m:r>
                </m:e>
                <m:sub>
                  <m:r>
                    <m:t>c</m:t>
                  </m:r>
                  <m:r>
                    <m:rPr>
                      <m:sty m:val="p"/>
                    </m:rPr>
                    <m:t>,</m:t>
                  </m:r>
                  <m:r>
                    <m:t>k</m:t>
                  </m:r>
                </m:sub>
              </m:sSub>
            </m:e>
          </m:nary>
          <m:r>
            <m:t> </m:t>
          </m:r>
          <m:sSub>
            <m:e>
              <m:r>
                <m:t>D</m:t>
              </m:r>
            </m:e>
            <m:sub>
              <m:r>
                <m:t>4</m:t>
              </m:r>
              <m:r>
                <m:t>c</m:t>
              </m:r>
              <m:r>
                <m:rPr>
                  <m:sty m:val="p"/>
                </m:rPr>
                <m:t>+</m:t>
              </m:r>
              <m:r>
                <m:t>k</m:t>
              </m:r>
            </m:sub>
          </m:sSub>
          <m:r>
            <m:rPr>
              <m:sty m:val="p"/>
            </m:rPr>
            <m:t>,</m:t>
          </m:r>
          <m:r>
            <m:t>  </m:t>
          </m:r>
          <m:r>
            <m:t>ω</m:t>
          </m:r>
          <m:r>
            <m:rPr>
              <m:sty m:val="p"/>
            </m:rPr>
            <m:t>∈</m:t>
          </m:r>
          <m:sSup>
            <m:e>
              <m:r>
                <m:rPr>
                  <m:scr m:val="double-struck"/>
                  <m:sty m:val="p"/>
                </m:rPr>
                <m:t>R</m:t>
              </m:r>
            </m:e>
            <m:sup>
              <m:r>
                <m:t>C</m:t>
              </m:r>
              <m:r>
                <m:rPr>
                  <m:sty m:val="p"/>
                </m:rPr>
                <m:t>×</m:t>
              </m:r>
              <m:r>
                <m:t>4</m:t>
              </m:r>
            </m:sup>
          </m:sSup>
          <m:r>
            <m:rPr>
              <m:sty m:val="p"/>
            </m:rPr>
            <m:t>.</m:t>
          </m:r>
        </m:oMath>
      </m:oMathPara>
    </w:p>
    <w:p>
      <w:pPr>
        <w:pStyle w:val="FirstParagraph"/>
      </w:pPr>
      <w:r>
        <w:t xml:space="preserve">This is a learned 2 × 2 filter per channel, expressed in the Haar basis, with only 4C parameters and no mixing between channels. Its initialisation is chosen so that R2 starts close to R0:</w:t>
      </w:r>
    </w:p>
    <w:p>
      <w:pPr>
        <w:pStyle w:val="Compact"/>
        <w:numPr>
          <w:ilvl w:val="0"/>
          <w:numId w:val="1012"/>
        </w:numPr>
      </w:pPr>
      <m:oMath>
        <m:sSub>
          <m:e>
            <m:r>
              <m:t>ω</m:t>
            </m:r>
          </m:e>
          <m:sub>
            <m:r>
              <m:t>c</m:t>
            </m:r>
          </m:sub>
        </m:sSub>
        <m:r>
          <m:rPr>
            <m:sty m:val="p"/>
          </m:rPr>
          <m:t>=</m:t>
        </m:r>
        <m:r>
          <m:rPr>
            <m:sty m:val="p"/>
          </m:rPr>
          <m:t>(</m:t>
        </m:r>
        <m:f>
          <m:fPr>
            <m:type m:val="lin"/>
          </m:fPr>
          <m:num>
            <m:r>
              <m:t>1</m:t>
            </m:r>
          </m:num>
          <m:den>
            <m:r>
              <m:t>2</m:t>
            </m:r>
          </m:den>
        </m:f>
        <m:r>
          <m:rPr>
            <m:sty m:val="p"/>
          </m:rPr>
          <m:t>,</m:t>
        </m:r>
        <m:r>
          <m:t>0</m:t>
        </m:r>
        <m:r>
          <m:rPr>
            <m:sty m:val="p"/>
          </m:rPr>
          <m:t>,</m:t>
        </m:r>
        <m:r>
          <m:t>0</m:t>
        </m:r>
        <m:r>
          <m:rPr>
            <m:sty m:val="p"/>
          </m:rPr>
          <m:t>,</m:t>
        </m:r>
        <m:r>
          <m:t>0</m:t>
        </m:r>
        <m:r>
          <m:rPr>
            <m:sty m:val="p"/>
          </m:rPr>
          <m:t>)</m:t>
        </m:r>
      </m:oMath>
      <w:r>
        <w:t xml:space="preserve"> </w:t>
      </w:r>
      <w:r>
        <w:t xml:space="preserve">gives 2 × 2</w:t>
      </w:r>
      <w:r>
        <w:t xml:space="preserve"> </w:t>
      </w:r>
      <w:r>
        <w:rPr>
          <w:i/>
          <w:iCs/>
        </w:rPr>
        <w:t xml:space="preserve">average</w:t>
      </w:r>
      <w:r>
        <w:t xml:space="preserve"> </w:t>
      </w:r>
      <w:r>
        <w:t xml:space="preserve">pooling (used before the 3 × 3 convolutions and for the stem max-pool; not exact);</w:t>
      </w:r>
    </w:p>
    <w:p>
      <w:pPr>
        <w:pStyle w:val="Compact"/>
        <w:numPr>
          <w:ilvl w:val="0"/>
          <w:numId w:val="1012"/>
        </w:numPr>
      </w:pPr>
      <m:oMath>
        <m:sSub>
          <m:e>
            <m:r>
              <m:t>ω</m:t>
            </m:r>
          </m:e>
          <m:sub>
            <m:r>
              <m:t>c</m:t>
            </m:r>
          </m:sub>
        </m:sSub>
        <m:r>
          <m:rPr>
            <m:sty m:val="p"/>
          </m:rPr>
          <m:t>=</m:t>
        </m:r>
        <m:r>
          <m:rPr>
            <m:sty m:val="p"/>
          </m:rPr>
          <m:t>(</m:t>
        </m:r>
        <m:f>
          <m:fPr>
            <m:type m:val="lin"/>
          </m:fPr>
          <m:num>
            <m:r>
              <m:t>1</m:t>
            </m:r>
          </m:num>
          <m:den>
            <m:r>
              <m:t>2</m:t>
            </m:r>
          </m:den>
        </m:f>
        <m:r>
          <m:rPr>
            <m:sty m:val="p"/>
          </m:rPr>
          <m:t>,</m:t>
        </m:r>
        <m:f>
          <m:fPr>
            <m:type m:val="lin"/>
          </m:fPr>
          <m:num>
            <m:r>
              <m:t>1</m:t>
            </m:r>
          </m:num>
          <m:den>
            <m:r>
              <m:t>2</m:t>
            </m:r>
          </m:den>
        </m:f>
        <m:r>
          <m:rPr>
            <m:sty m:val="p"/>
          </m:rPr>
          <m:t>,</m:t>
        </m:r>
        <m:f>
          <m:fPr>
            <m:type m:val="lin"/>
          </m:fPr>
          <m:num>
            <m:r>
              <m:t>1</m:t>
            </m:r>
          </m:num>
          <m:den>
            <m:r>
              <m:t>2</m:t>
            </m:r>
          </m:den>
        </m:f>
        <m:r>
          <m:rPr>
            <m:sty m:val="p"/>
          </m:rPr>
          <m:t>,</m:t>
        </m:r>
        <m:f>
          <m:fPr>
            <m:type m:val="lin"/>
          </m:fPr>
          <m:num>
            <m:r>
              <m:t>1</m:t>
            </m:r>
          </m:num>
          <m:den>
            <m:r>
              <m:t>2</m:t>
            </m:r>
          </m:den>
        </m:f>
        <m:r>
          <m:rPr>
            <m:sty m:val="p"/>
          </m:rPr>
          <m:t>)</m:t>
        </m:r>
      </m:oMath>
      <w:r>
        <w:t xml:space="preserve"> </w:t>
      </w:r>
      <w:r>
        <w:t xml:space="preserve">returns the</w:t>
      </w:r>
      <w:r>
        <w:t xml:space="preserve"> </w:t>
      </w:r>
      <w:r>
        <w:rPr>
          <w:i/>
          <w:iCs/>
        </w:rPr>
        <w:t xml:space="preserve">top-left pixel</w:t>
      </w:r>
      <w:r>
        <w:t xml:space="preserve"> </w:t>
      </w:r>
      <w:r>
        <w:t xml:space="preserve">of each block, which is exactly what a stride-2 1 × 1 shortcut reads (exact).</w:t>
      </w:r>
    </w:p>
    <w:p>
      <w:pPr>
        <w:pStyle w:val="FirstParagraph"/>
      </w:pPr>
      <w:r>
        <w:rPr>
          <w:b/>
          <w:bCs/>
        </w:rPr>
        <w:t xml:space="preserve">WaveletUnpool</w:t>
      </w:r>
      <w:r>
        <w:t xml:space="preserve"> </w:t>
      </w:r>
      <w:r>
        <w:t xml:space="preserve">replaces bilinear up-sampling in the decoder:</w:t>
      </w:r>
    </w:p>
    <w:p>
      <w:pPr>
        <w:pStyle w:val="BodyText"/>
      </w:pPr>
      <m:oMathPara>
        <m:oMathParaPr>
          <m:jc m:val="center"/>
        </m:oMathParaPr>
        <m:oMath>
          <m:r>
            <m:rPr>
              <m:nor/>
              <m:sty m:val="p"/>
            </m:rPr>
            <m:t>WU</m:t>
          </m:r>
          <m:r>
            <m:rPr>
              <m:sty m:val="p"/>
            </m:rPr>
            <m:t>(</m:t>
          </m:r>
          <m:r>
            <m:t>x</m:t>
          </m:r>
          <m:r>
            <m:rPr>
              <m:sty m:val="p"/>
            </m:rPr>
            <m:t>)</m:t>
          </m:r>
          <m:r>
            <m:rPr>
              <m:sty m:val="p"/>
            </m:rPr>
            <m:t>=</m:t>
          </m:r>
          <m:r>
            <m:rPr>
              <m:nor/>
              <m:sty m:val="p"/>
            </m:rPr>
            <m:t>IDWT</m:t>
          </m:r>
          <m:d>
            <m:dPr>
              <m:begChr m:val="("/>
              <m:sepChr m:val=""/>
              <m:endChr m:val=")"/>
              <m:grow/>
            </m:dPr>
            <m:e>
              <m:r>
                <m:rPr>
                  <m:sty m:val="p"/>
                </m:rPr>
                <m:t>[</m:t>
              </m:r>
              <m:r>
                <m:t> </m:t>
              </m:r>
              <m:sSub>
                <m:e>
                  <m:r>
                    <m:t>ω</m:t>
                  </m:r>
                </m:e>
                <m:sub>
                  <m:r>
                    <m:t>c</m:t>
                  </m:r>
                  <m:r>
                    <m:rPr>
                      <m:sty m:val="p"/>
                    </m:rPr>
                    <m:t>,</m:t>
                  </m:r>
                  <m:r>
                    <m:t>k</m:t>
                  </m:r>
                </m:sub>
              </m:sSub>
              <m:r>
                <m:t> </m:t>
              </m:r>
              <m:sSub>
                <m:e>
                  <m:r>
                    <m:t>x</m:t>
                  </m:r>
                </m:e>
                <m:sub>
                  <m:r>
                    <m:t>c</m:t>
                  </m:r>
                </m:sub>
              </m:sSub>
              <m:r>
                <m:t> </m:t>
              </m:r>
              <m:sSub>
                <m:e>
                  <m:r>
                    <m:rPr>
                      <m:sty m:val="p"/>
                    </m:rPr>
                    <m:t>]</m:t>
                  </m:r>
                </m:e>
                <m:sub>
                  <m:r>
                    <m:t>c</m:t>
                  </m:r>
                  <m:r>
                    <m:rPr>
                      <m:sty m:val="p"/>
                    </m:rPr>
                    <m:t>,</m:t>
                  </m:r>
                  <m:r>
                    <m:t>k</m:t>
                  </m:r>
                </m:sub>
              </m:sSub>
            </m:e>
          </m:d>
          <m:r>
            <m:rPr>
              <m:sty m:val="p"/>
            </m:rPr>
            <m:t>,</m:t>
          </m:r>
          <m:r>
            <m:t>  </m:t>
          </m:r>
          <m:sSub>
            <m:e>
              <m:r>
                <m:t>ω</m:t>
              </m:r>
            </m:e>
            <m:sub>
              <m:r>
                <m:t>c</m:t>
              </m:r>
            </m:sub>
          </m:sSub>
          <m:r>
            <m:rPr>
              <m:sty m:val="p"/>
            </m:rPr>
            <m:t>=</m:t>
          </m:r>
          <m:r>
            <m:rPr>
              <m:sty m:val="p"/>
            </m:rPr>
            <m:t>(</m:t>
          </m:r>
          <m:r>
            <m:t>2</m:t>
          </m:r>
          <m:r>
            <m:rPr>
              <m:sty m:val="p"/>
            </m:rPr>
            <m:t>,</m:t>
          </m:r>
          <m:r>
            <m:t>0</m:t>
          </m:r>
          <m:r>
            <m:rPr>
              <m:sty m:val="p"/>
            </m:rPr>
            <m:t>,</m:t>
          </m:r>
          <m:r>
            <m:t>0</m:t>
          </m:r>
          <m:r>
            <m:rPr>
              <m:sty m:val="p"/>
            </m:rPr>
            <m:t>,</m:t>
          </m:r>
          <m:r>
            <m:t>0</m:t>
          </m:r>
          <m:r>
            <m:rPr>
              <m:sty m:val="p"/>
            </m:rPr>
            <m:t>)</m:t>
          </m:r>
          <m:r>
            <m:t> </m:t>
          </m:r>
          <m:r>
            <m:rPr>
              <m:nor/>
              <m:sty m:val="p"/>
            </m:rPr>
            <m:t>at initialisation (nearest-neighbour up-sampling)</m:t>
          </m:r>
          <m:r>
            <m:rPr>
              <m:sty m:val="p"/>
            </m:rPr>
            <m:t>.</m:t>
          </m:r>
        </m:oMath>
      </m:oMathPara>
    </w:p>
    <w:p>
      <w:pPr>
        <w:pStyle w:val="Explainer"/>
      </w:pPr>
      <w:r>
        <w:rPr>
          <w:b/>
          <w:bCs/>
        </w:rPr>
        <w:t xml:space="preserve">Worked example (same block as before: 120, 124 / 60, 64; coefficients LL 184, LH 60, HL −4, HH 0).</w:t>
      </w:r>
    </w:p>
    <w:p>
      <w:pPr>
        <w:pStyle w:val="Explainer"/>
      </w:pPr>
      <w:r>
        <w:t xml:space="preserve">• Average initialisation: WP = ½ · 184 =</w:t>
      </w:r>
      <w:r>
        <w:t xml:space="preserve"> </w:t>
      </w:r>
      <w:r>
        <w:rPr>
          <w:b/>
          <w:bCs/>
        </w:rPr>
        <w:t xml:space="preserve">92</w:t>
      </w:r>
      <w:r>
        <w:t xml:space="preserve">, the mean of the four pixels, i.e. average pooling.</w:t>
      </w:r>
    </w:p>
    <w:p>
      <w:pPr>
        <w:pStyle w:val="Explainer"/>
      </w:pPr>
      <w:r>
        <w:t xml:space="preserve">• Top-left initialisation: WP = ½ (184 + 60 − 4 + 0) =</w:t>
      </w:r>
      <w:r>
        <w:t xml:space="preserve"> </w:t>
      </w:r>
      <w:r>
        <w:rPr>
          <w:b/>
          <w:bCs/>
        </w:rPr>
        <w:t xml:space="preserve">120</w:t>
      </w:r>
      <w:r>
        <w:t xml:space="preserve"> </w:t>
      </w:r>
      <w:r>
        <w:t xml:space="preserve">= a, the top-left pixel, i.e. exactly what a stride-2 1 × 1 convolution samples.</w:t>
      </w:r>
    </w:p>
    <w:p>
      <w:pPr>
        <w:pStyle w:val="Explainer"/>
      </w:pPr>
      <w:r>
        <w:t xml:space="preserve">• Unpooling a value of 92 with ω = (2, 0, 0, 0): the coefficients are (184, 0, 0, 0), and the inverse DWT gives the block 92, 92 / 92, 92, i.e. nearest-neighbour up-sampling.</w:t>
      </w:r>
    </w:p>
    <w:p>
      <w:pPr>
        <w:pStyle w:val="Explainer"/>
      </w:pPr>
      <w:r>
        <w:t xml:space="preserve">During training the network can move ω away from these starting points, and so learn its own anti-aliasing filter for every channel.</w:t>
      </w:r>
    </w:p>
    <w:bookmarkEnd w:id="75"/>
    <w:bookmarkStart w:id="76" w:name="r3-r2-plus-a-topology-loss"/>
    <w:p>
      <w:pPr>
        <w:pStyle w:val="Heading2"/>
      </w:pPr>
      <w:r>
        <w:rPr>
          <w:rStyle w:val="SectionNumber"/>
        </w:rPr>
        <w:t xml:space="preserve">6.4</w:t>
      </w:r>
      <w:r>
        <w:tab/>
      </w:r>
      <w:r>
        <w:t xml:space="preserve">R3 — R2 plus a topology loss</w:t>
      </w:r>
    </w:p>
    <w:p>
      <w:pPr>
        <w:pStyle w:val="FirstParagraph"/>
      </w:pPr>
      <w:r>
        <w:t xml:space="preserve">R3 is R2 trained with an additional soft-clDice term (Section 7), which rewards predictions whose</w:t>
      </w:r>
      <w:r>
        <w:t xml:space="preserve"> </w:t>
      </w:r>
      <w:r>
        <w:rPr>
          <w:i/>
          <w:iCs/>
        </w:rPr>
        <w:t xml:space="preserve">skeleton</w:t>
      </w:r>
      <w:r>
        <w:t xml:space="preserve"> </w:t>
      </w:r>
      <w:r>
        <w:t xml:space="preserve">overlaps the label and the label’s skeleton overlapping the prediction. It targets connectivity rather than pixel overlap.</w:t>
      </w:r>
    </w:p>
    <w:bookmarkEnd w:id="76"/>
    <w:bookmarkStart w:id="77" w:name="external-baselines"/>
    <w:p>
      <w:pPr>
        <w:pStyle w:val="Heading2"/>
      </w:pPr>
      <w:r>
        <w:rPr>
          <w:rStyle w:val="SectionNumber"/>
        </w:rPr>
        <w:t xml:space="preserve">6.5</w:t>
      </w:r>
      <w:r>
        <w:tab/>
      </w:r>
      <w:r>
        <w:t xml:space="preserve">External baselines</w:t>
      </w:r>
    </w:p>
    <w:p>
      <w:pPr>
        <w:pStyle w:val="Compact"/>
        <w:numPr>
          <w:ilvl w:val="0"/>
          <w:numId w:val="1013"/>
        </w:numPr>
      </w:pPr>
      <w:r>
        <w:rPr>
          <w:b/>
          <w:bCs/>
        </w:rPr>
        <w:t xml:space="preserve">U-Net</w:t>
      </w:r>
      <w:r>
        <w:t xml:space="preserve"> </w:t>
      </w:r>
      <w:r>
        <w:t xml:space="preserve">[6]: four levels with widths 64–512 and a 1024-wide bottleneck, trained from scratch.</w:t>
      </w:r>
    </w:p>
    <w:p>
      <w:pPr>
        <w:pStyle w:val="Compact"/>
        <w:numPr>
          <w:ilvl w:val="0"/>
          <w:numId w:val="1013"/>
        </w:numPr>
      </w:pPr>
      <w:r>
        <w:rPr>
          <w:b/>
          <w:bCs/>
        </w:rPr>
        <w:t xml:space="preserve">D-LinkNet</w:t>
      </w:r>
      <w:r>
        <w:t xml:space="preserve"> </w:t>
      </w:r>
      <w:r>
        <w:t xml:space="preserve">[7]: an ImageNet ResNet-34 encoder, a centre block of</w:t>
      </w:r>
      <w:r>
        <w:t xml:space="preserve"> </w:t>
      </w:r>
      <w:r>
        <w:rPr>
          <w:i/>
          <w:iCs/>
        </w:rPr>
        <w:t xml:space="preserve">cascaded</w:t>
      </w:r>
      <w:r>
        <w:t xml:space="preserve"> </w:t>
      </w:r>
      <w:r>
        <w:t xml:space="preserve">dilated 3 × 3 convolutions with dilations 1, 2, 4 and 8 whose outputs are summed with the input, and a LinkNet decoder with additive skips.</w:t>
      </w:r>
    </w:p>
    <w:p>
      <w:pPr>
        <w:pStyle w:val="FirstParagraph"/>
      </w:pPr>
      <w:r>
        <w:t xml:space="preserve">Both are trained with the same recipe, data stream and seeds as R0.</w:t>
      </w:r>
    </w:p>
    <w:bookmarkEnd w:id="77"/>
    <w:bookmarkStart w:id="81" w:name="X8cd5f68257afce608ac74fb0a339dd66ee4c3f3"/>
    <w:p>
      <w:pPr>
        <w:pStyle w:val="Heading2"/>
      </w:pPr>
      <w:r>
        <w:rPr>
          <w:rStyle w:val="SectionNumber"/>
        </w:rPr>
        <w:t xml:space="preserve">6.6</w:t>
      </w:r>
      <w:r>
        <w:tab/>
      </w:r>
      <w:r>
        <w:t xml:space="preserve">Geometric targets: describing a road by its centre-line and width</w:t>
      </w:r>
    </w:p>
    <w:p>
      <w:pPr>
        <w:pStyle w:val="FirstParagraph"/>
      </w:pPr>
      <w:r>
        <w:t xml:space="preserve">A road mask can be described exactly as a set of</w:t>
      </w:r>
      <w:r>
        <w:t xml:space="preserve"> </w:t>
      </w:r>
      <w:r>
        <w:rPr>
          <w:i/>
          <w:iCs/>
        </w:rPr>
        <w:t xml:space="preserve">centre pixels</w:t>
      </w:r>
      <w:r>
        <w:t xml:space="preserve">, each carrying the radius of a disc. Drawing every disc reproduces the mask. The targets are computed from each training crop’s final (augmented) mask by image processing only, so they need no extra labels (Figure 12).</w:t>
      </w:r>
    </w:p>
    <w:p>
      <w:pPr>
        <w:pStyle w:val="Compact"/>
        <w:numPr>
          <w:ilvl w:val="0"/>
          <w:numId w:val="1014"/>
        </w:numPr>
      </w:pPr>
      <w:r>
        <w:rPr>
          <w:b/>
          <w:bCs/>
        </w:rPr>
        <w:t xml:space="preserve">Disc depth.</w:t>
      </w:r>
      <w:r>
        <w:t xml:space="preserve"> </w:t>
      </w:r>
      <w:r>
        <w:t xml:space="preserve">For every road pixel, find the largest radius</w:t>
      </w:r>
      <w:r>
        <w:t xml:space="preserve"> </w:t>
      </w:r>
      <w:r>
        <w:rPr>
          <w:i/>
          <w:iCs/>
        </w:rPr>
        <w:t xml:space="preserve">r</w:t>
      </w:r>
      <w:r>
        <w:t xml:space="preserve"> </w:t>
      </w:r>
      <w:r>
        <w:t xml:space="preserve">in {0, 1, 2, 3, 4, 5, 6, 8, 10, 13, 16, 20} whose disc, centred there, fits inside the mask. The disc is the octagon that the network’s drawing operator produces (Figure 12f).</w:t>
      </w:r>
    </w:p>
    <w:p>
      <w:pPr>
        <w:pStyle w:val="Compact"/>
        <w:numPr>
          <w:ilvl w:val="0"/>
          <w:numId w:val="1014"/>
        </w:numPr>
      </w:pPr>
      <w:r>
        <w:rPr>
          <w:b/>
          <w:bCs/>
        </w:rPr>
        <w:t xml:space="preserve">Centre pixels.</w:t>
      </w:r>
      <w:r>
        <w:t xml:space="preserve"> </w:t>
      </w:r>
      <w:r>
        <w:t xml:space="preserve">Take the skeleton of the mask. Then add any mask pixel that the skeleton’s discs fail to cover; these are mostly 1-pixel</w:t>
      </w:r>
      <w:r>
        <w:t xml:space="preserve"> </w:t>
      </w:r>
      <w:r>
        <w:t xml:space="preserve">“staircase”</w:t>
      </w:r>
      <w:r>
        <w:t xml:space="preserve"> </w:t>
      </w:r>
      <w:r>
        <w:t xml:space="preserve">edge pixels of slanted roads (Figure 12c, cyan).</w:t>
      </w:r>
    </w:p>
    <w:p>
      <w:pPr>
        <w:pStyle w:val="Compact"/>
        <w:numPr>
          <w:ilvl w:val="0"/>
          <w:numId w:val="1014"/>
        </w:numPr>
      </w:pPr>
      <w:r>
        <w:rPr>
          <w:b/>
          <w:bCs/>
        </w:rPr>
        <w:t xml:space="preserve">Width class.</w:t>
      </w:r>
      <w:r>
        <w:t xml:space="preserve"> </w:t>
      </w:r>
      <w:r>
        <w:t xml:space="preserve">At each centre pixel, the width target is the index (0–11) of its disc radius (Figure 12d). Elsewhere there is no width target.</w:t>
      </w:r>
    </w:p>
    <w:p>
      <w:pPr>
        <w:pStyle w:val="FirstParagraph"/>
      </w:pPr>
      <w:r>
        <w:t xml:space="preserve">By construction every disc lies inside the mask and every mask pixel is covered, so drawing the discs back gives the label</w:t>
      </w:r>
      <w:r>
        <w:t xml:space="preserve"> </w:t>
      </w:r>
      <w:r>
        <w:rPr>
          <w:b/>
          <w:bCs/>
        </w:rPr>
        <w:t xml:space="preserve">exactly</w:t>
      </w:r>
      <w:r>
        <w:t xml:space="preserve">. Measured on 60 training images per dataset, the drawn-back IoU was 1.000 (Figure 12e). The masks are padded by edge replication before the skeleton and depths are computed, so that a road leaving the crop is not treated as ending there.</w:t>
      </w:r>
    </w:p>
    <w:p>
      <w:pPr>
        <w:pStyle w:val="CaptionedFigure"/>
      </w:pPr>
      <w:r>
        <w:drawing>
          <wp:inline>
            <wp:extent cx="5943600" cy="3082469"/>
            <wp:effectExtent b="0" l="0" r="0" t="0"/>
            <wp:docPr descr="Figure 12. Geometric targets for a DeepGlobe crop. (a) image; (b) road mask; (c) centre target: skeleton (yellow) plus uncovered edge pixels (cyan); (d) width target: disc radius at each centre pixel; (e) drawing every disc back reproduces the mask exactly; (f) disc depth at every road pixel; (g) the GD baseline’s target, the rounded distance to the background at every road pixel; (h) the GO baseline’s target, the road direction in 10° bins." title="" id="79" name="Picture"/>
            <a:graphic>
              <a:graphicData uri="http://schemas.openxmlformats.org/drawingml/2006/picture">
                <pic:pic>
                  <pic:nvPicPr>
                    <pic:cNvPr descr="fig/ex_geo_targets.png" id="80" name="Picture"/>
                    <pic:cNvPicPr>
                      <a:picLocks noChangeArrowheads="1" noChangeAspect="1"/>
                    </pic:cNvPicPr>
                  </pic:nvPicPr>
                  <pic:blipFill>
                    <a:blip r:embed="rId78"/>
                    <a:stretch>
                      <a:fillRect/>
                    </a:stretch>
                  </pic:blipFill>
                  <pic:spPr bwMode="auto">
                    <a:xfrm>
                      <a:off x="0" y="0"/>
                      <a:ext cx="5943600" cy="3082469"/>
                    </a:xfrm>
                    <a:prstGeom prst="rect">
                      <a:avLst/>
                    </a:prstGeom>
                    <a:noFill/>
                    <a:ln w="9525">
                      <a:noFill/>
                      <a:headEnd/>
                      <a:tailEnd/>
                    </a:ln>
                  </pic:spPr>
                </pic:pic>
              </a:graphicData>
            </a:graphic>
          </wp:inline>
        </w:drawing>
      </w:r>
    </w:p>
    <w:p>
      <w:pPr>
        <w:pStyle w:val="ImageCaption"/>
      </w:pPr>
      <w:r>
        <w:rPr>
          <w:b/>
          <w:bCs/>
        </w:rPr>
        <w:t xml:space="preserve">Figure 12. Geometric targets for a DeepGlobe crop.</w:t>
      </w:r>
      <w:r>
        <w:t xml:space="preserve"> </w:t>
      </w:r>
      <w:r>
        <w:t xml:space="preserve">(a) image; (b) road mask; (c) centre target: skeleton (yellow) plus uncovered edge pixels (cyan); (d) width target: disc radius at each centre pixel; (e) drawing every disc back reproduces the mask exactly; (f) disc depth at every road pixel; (g) the GD baseline’s target, the rounded distance to the background at every road pixel; (h) the GO baseline’s target, the road direction in 10° bins.</w:t>
      </w:r>
    </w:p>
    <w:p>
      <w:pPr>
        <w:pStyle w:val="Explainer"/>
      </w:pPr>
      <w:r>
        <w:rPr>
          <w:b/>
          <w:bCs/>
        </w:rPr>
        <w:t xml:space="preserve">Worked example.</w:t>
      </w:r>
      <w:r>
        <w:t xml:space="preserve"> </w:t>
      </w:r>
      <w:r>
        <w:t xml:space="preserve">Take a straight horizontal road exactly 7 pixels wide.</w:t>
      </w:r>
    </w:p>
    <w:p>
      <w:pPr>
        <w:pStyle w:val="Explainer"/>
      </w:pPr>
      <w:r>
        <w:t xml:space="preserve">• Its skeleton is the single middle row of pixels.</w:t>
      </w:r>
    </w:p>
    <w:p>
      <w:pPr>
        <w:pStyle w:val="Explainer"/>
      </w:pPr>
      <w:r>
        <w:t xml:space="preserve">• At each skeleton pixel, the largest disc that fits has radius 3, because 3 pixels up and 3 down stay inside the 7-pixel road.</w:t>
      </w:r>
    </w:p>
    <w:p>
      <w:pPr>
        <w:pStyle w:val="Explainer"/>
      </w:pPr>
      <w:r>
        <w:t xml:space="preserve">• So the centre target is 1 on the middle row and 0 elsewhere, and the width target on the middle row is class 3 (radius 3).</w:t>
      </w:r>
    </w:p>
    <w:p>
      <w:pPr>
        <w:pStyle w:val="Explainer"/>
      </w:pPr>
      <w:r>
        <w:t xml:space="preserve">• Drawing a radius-3 disc at every middle-row pixel paints a band 2 · 3 + 1 = 7 pixels wide: the original road.</w:t>
      </w:r>
    </w:p>
    <w:p>
      <w:pPr>
        <w:pStyle w:val="Explainer"/>
      </w:pPr>
      <w:r>
        <w:t xml:space="preserve">A wider road simply gets a larger radius class. A road that narrows gets smaller radii along its centre-line.</w:t>
      </w:r>
    </w:p>
    <w:bookmarkEnd w:id="81"/>
    <w:bookmarkStart w:id="85" w:name="Xc745c5e649876d8d26302ba6cc3ac8060d8478b"/>
    <w:p>
      <w:pPr>
        <w:pStyle w:val="Heading2"/>
      </w:pPr>
      <w:r>
        <w:rPr>
          <w:rStyle w:val="SectionNumber"/>
        </w:rPr>
        <w:t xml:space="preserve">6.7</w:t>
      </w:r>
      <w:r>
        <w:tab/>
      </w:r>
      <w:r>
        <w:t xml:space="preserve">GA — centre-line and width as auxiliary supervision</w:t>
      </w:r>
    </w:p>
    <w:p>
      <w:pPr>
        <w:pStyle w:val="FirstParagraph"/>
      </w:pPr>
      <w:r>
        <w:t xml:space="preserve">GA adds two 1 × 1 convolution heads to R0’s final decoder features (Figure 13a): a</w:t>
      </w:r>
      <w:r>
        <w:t xml:space="preserve"> </w:t>
      </w:r>
      <w:r>
        <w:rPr>
          <w:b/>
          <w:bCs/>
        </w:rPr>
        <w:t xml:space="preserve">centre head</w:t>
      </w:r>
      <w:r>
        <w:t xml:space="preserve"> </w:t>
      </w:r>
      <w:r>
        <w:t xml:space="preserve">(1 logit per pixel) and a</w:t>
      </w:r>
      <w:r>
        <w:t xml:space="preserve"> </w:t>
      </w:r>
      <w:r>
        <w:rPr>
          <w:b/>
          <w:bCs/>
        </w:rPr>
        <w:t xml:space="preserve">width head</w:t>
      </w:r>
      <w:r>
        <w:t xml:space="preserve"> </w:t>
      </w:r>
      <w:r>
        <w:t xml:space="preserve">(12 class logits per pixel). They add 429 parameters. They are trained on the targets above, but</w:t>
      </w:r>
      <w:r>
        <w:t xml:space="preserve"> </w:t>
      </w:r>
      <w:r>
        <w:rPr>
          <w:b/>
          <w:bCs/>
        </w:rPr>
        <w:t xml:space="preserve">the mask is still predicted by R0’s own mask head</w:t>
      </w:r>
      <w:r>
        <w:t xml:space="preserve">, and the extra heads are discarded at test time. GA − R0 therefore measures whether</w:t>
      </w:r>
      <w:r>
        <w:t xml:space="preserve"> </w:t>
      </w:r>
      <w:r>
        <w:rPr>
          <w:i/>
          <w:iCs/>
        </w:rPr>
        <w:t xml:space="preserve">learning</w:t>
      </w:r>
      <w:r>
        <w:t xml:space="preserve"> </w:t>
      </w:r>
      <w:r>
        <w:t xml:space="preserve">the geometry improves the ordinary mask.</w:t>
      </w:r>
    </w:p>
    <w:p>
      <w:pPr>
        <w:pStyle w:val="CaptionedFigure"/>
      </w:pPr>
      <w:r>
        <w:drawing>
          <wp:inline>
            <wp:extent cx="5943600" cy="2283144"/>
            <wp:effectExtent b="0" l="0" r="0" t="0"/>
            <wp:docPr descr="Figure 13. How the geometry is used. (a) GA: the centre and width heads only add loss terms. (b) GB: the mask is drawn from the predicted centre and width by a differentiable Render operator. (c) GFa: a geometry head after decoder stage 3 feeds its probabilities into stages 4 and 5, so the mask head sees the geometry at test time too." title="" id="83" name="Picture"/>
            <a:graphic>
              <a:graphicData uri="http://schemas.openxmlformats.org/drawingml/2006/picture">
                <pic:pic>
                  <pic:nvPicPr>
                    <pic:cNvPr descr="fig/heads.png" id="84" name="Picture"/>
                    <pic:cNvPicPr>
                      <a:picLocks noChangeArrowheads="1" noChangeAspect="1"/>
                    </pic:cNvPicPr>
                  </pic:nvPicPr>
                  <pic:blipFill>
                    <a:blip r:embed="rId82"/>
                    <a:stretch>
                      <a:fillRect/>
                    </a:stretch>
                  </pic:blipFill>
                  <pic:spPr bwMode="auto">
                    <a:xfrm>
                      <a:off x="0" y="0"/>
                      <a:ext cx="5943600" cy="2283144"/>
                    </a:xfrm>
                    <a:prstGeom prst="rect">
                      <a:avLst/>
                    </a:prstGeom>
                    <a:noFill/>
                    <a:ln w="9525">
                      <a:noFill/>
                      <a:headEnd/>
                      <a:tailEnd/>
                    </a:ln>
                  </pic:spPr>
                </pic:pic>
              </a:graphicData>
            </a:graphic>
          </wp:inline>
        </w:drawing>
      </w:r>
    </w:p>
    <w:p>
      <w:pPr>
        <w:pStyle w:val="ImageCaption"/>
      </w:pPr>
      <w:r>
        <w:rPr>
          <w:b/>
          <w:bCs/>
        </w:rPr>
        <w:t xml:space="preserve">Figure 13. How the geometry is used.</w:t>
      </w:r>
      <w:r>
        <w:t xml:space="preserve"> </w:t>
      </w:r>
      <w:r>
        <w:t xml:space="preserve">(a) GA: the centre and width heads only add loss terms. (b) GB: the mask is drawn from the predicted centre and width by a differentiable Render operator. (c) GFa: a geometry head after decoder stage 3 feeds its probabilities into stages 4 and 5, so the mask head sees the geometry at test time too.</w:t>
      </w:r>
    </w:p>
    <w:bookmarkEnd w:id="85"/>
    <w:bookmarkStart w:id="86" w:name="gb-drawing-the-mask-from-the-geometry"/>
    <w:p>
      <w:pPr>
        <w:pStyle w:val="Heading2"/>
      </w:pPr>
      <w:r>
        <w:rPr>
          <w:rStyle w:val="SectionNumber"/>
        </w:rPr>
        <w:t xml:space="preserve">6.8</w:t>
      </w:r>
      <w:r>
        <w:tab/>
      </w:r>
      <w:r>
        <w:t xml:space="preserve">GB — drawing the mask from the geometry</w:t>
      </w:r>
    </w:p>
    <w:p>
      <w:pPr>
        <w:pStyle w:val="FirstParagraph"/>
      </w:pPr>
      <w:r>
        <w:t xml:space="preserve">GB has the same heads and targets, but its mask is</w:t>
      </w:r>
      <w:r>
        <w:t xml:space="preserve"> </w:t>
      </w:r>
      <w:r>
        <w:rPr>
          <w:i/>
          <w:iCs/>
        </w:rPr>
        <w:t xml:space="preserve">drawn</w:t>
      </w:r>
      <w:r>
        <w:t xml:space="preserve"> </w:t>
      </w:r>
      <w:r>
        <w:t xml:space="preserve">by a differentiable operator (Figure 13b):</w:t>
      </w:r>
    </w:p>
    <w:p>
      <w:pPr>
        <w:pStyle w:val="BodyText"/>
      </w:pPr>
      <m:oMathPara>
        <m:oMathParaPr>
          <m:jc m:val="center"/>
        </m:oMathParaPr>
        <m:oMath>
          <m:r>
            <m:t>m</m:t>
          </m:r>
          <m:r>
            <m:rPr>
              <m:sty m:val="p"/>
            </m:rPr>
            <m:t>=</m:t>
          </m:r>
          <m:r>
            <m:rPr>
              <m:nor/>
              <m:sty m:val="p"/>
            </m:rPr>
            <m:t>Render</m:t>
          </m:r>
          <m:d>
            <m:dPr>
              <m:begChr m:val="("/>
              <m:sepChr m:val=""/>
              <m:endChr m:val=")"/>
              <m:grow/>
            </m:dPr>
            <m:e>
              <m:r>
                <m:t>σ</m:t>
              </m:r>
              <m:r>
                <m:rPr>
                  <m:sty m:val="p"/>
                </m:rPr>
                <m:t>(</m:t>
              </m:r>
              <m:r>
                <m:t>c</m:t>
              </m:r>
              <m:r>
                <m:rPr>
                  <m:sty m:val="p"/>
                </m:rPr>
                <m:t>)</m:t>
              </m:r>
              <m:r>
                <m:rPr>
                  <m:sty m:val="p"/>
                </m:rPr>
                <m:t>⋅</m:t>
              </m:r>
              <m:r>
                <m:rPr>
                  <m:nor/>
                  <m:sty m:val="p"/>
                </m:rPr>
                <m:t>softmax</m:t>
              </m:r>
              <m:r>
                <m:rPr>
                  <m:sty m:val="p"/>
                </m:rPr>
                <m:t>(</m:t>
              </m:r>
              <m:r>
                <m:t>w</m:t>
              </m:r>
              <m:r>
                <m:rPr>
                  <m:sty m:val="p"/>
                </m:rPr>
                <m:t>)</m:t>
              </m:r>
            </m:e>
          </m:d>
          <m:r>
            <m:rPr>
              <m:sty m:val="p"/>
            </m:rPr>
            <m:t>,</m:t>
          </m:r>
        </m:oMath>
      </m:oMathPara>
    </w:p>
    <w:p>
      <w:pPr>
        <w:pStyle w:val="FirstParagraph"/>
      </w:pPr>
      <w:r>
        <w:t xml:space="preserve">where</w:t>
      </w:r>
      <w:r>
        <w:t xml:space="preserve"> </w:t>
      </w:r>
      <m:oMath>
        <m:r>
          <m:t>c</m:t>
        </m:r>
      </m:oMath>
      <w:r>
        <w:t xml:space="preserve"> </w:t>
      </w:r>
      <w:r>
        <w:t xml:space="preserve">is the centre logit and</w:t>
      </w:r>
      <w:r>
        <w:t xml:space="preserve"> </w:t>
      </w:r>
      <m:oMath>
        <m:r>
          <m:t>w</m:t>
        </m:r>
      </m:oMath>
      <w:r>
        <w:t xml:space="preserve"> </w:t>
      </w:r>
      <w:r>
        <w:t xml:space="preserve">the 12 width logits. Render dilates each width bin by its radius with successive 3 × 3 max-pools (squares and crosses alternating, which gives the octagonal disc) and takes the pixel-wise maximum. GB − GA isolates the effect of the</w:t>
      </w:r>
      <w:r>
        <w:t xml:space="preserve"> </w:t>
      </w:r>
      <w:r>
        <w:rPr>
          <w:i/>
          <w:iCs/>
        </w:rPr>
        <w:t xml:space="preserve">representation</w:t>
      </w:r>
      <w:r>
        <w:t xml:space="preserve"> </w:t>
      </w:r>
      <w:r>
        <w:t xml:space="preserve">with the supervision held fixed.</w:t>
      </w:r>
    </w:p>
    <w:bookmarkEnd w:id="86"/>
    <w:bookmarkStart w:id="87" w:name="gac-and-gaw-which-term-matters"/>
    <w:p>
      <w:pPr>
        <w:pStyle w:val="Heading2"/>
      </w:pPr>
      <w:r>
        <w:rPr>
          <w:rStyle w:val="SectionNumber"/>
        </w:rPr>
        <w:t xml:space="preserve">6.9</w:t>
      </w:r>
      <w:r>
        <w:tab/>
      </w:r>
      <w:r>
        <w:t xml:space="preserve">GAc and GAw — which term matters?</w:t>
      </w:r>
    </w:p>
    <w:p>
      <w:pPr>
        <w:pStyle w:val="FirstParagraph"/>
      </w:pPr>
      <w:r>
        <w:t xml:space="preserve">GAc is GA with the width loss switched off (centre only); GAw is GA with the centre loss switched off (width only). The reading rule, fixed before the runs, was: a term</w:t>
      </w:r>
      <w:r>
        <w:t xml:space="preserve"> </w:t>
      </w:r>
      <w:r>
        <w:t xml:space="preserve">“carries”</w:t>
      </w:r>
      <w:r>
        <w:t xml:space="preserve"> </w:t>
      </w:r>
      <w:r>
        <w:t xml:space="preserve">GA’s gain if the single-term model is better than R0 and not worse than GA.</w:t>
      </w:r>
    </w:p>
    <w:bookmarkEnd w:id="87"/>
    <w:bookmarkStart w:id="88" w:name="gd-and-go-targets-from-prior-work"/>
    <w:p>
      <w:pPr>
        <w:pStyle w:val="Heading2"/>
      </w:pPr>
      <w:r>
        <w:rPr>
          <w:rStyle w:val="SectionNumber"/>
        </w:rPr>
        <w:t xml:space="preserve">6.10</w:t>
      </w:r>
      <w:r>
        <w:tab/>
      </w:r>
      <w:r>
        <w:t xml:space="preserve">GD and GO — targets from prior work</w:t>
      </w:r>
    </w:p>
    <w:p>
      <w:pPr>
        <w:pStyle w:val="FirstParagraph"/>
      </w:pPr>
      <w:r>
        <w:t xml:space="preserve">To test whether</w:t>
      </w:r>
      <w:r>
        <w:t xml:space="preserve"> </w:t>
      </w:r>
      <w:r>
        <w:rPr>
          <w:i/>
          <w:iCs/>
        </w:rPr>
        <w:t xml:space="preserve">our</w:t>
      </w:r>
      <w:r>
        <w:t xml:space="preserve"> </w:t>
      </w:r>
      <w:r>
        <w:t xml:space="preserve">target matters, or any auxiliary geometric target would do, GA’s model is trained with two prior targets in place of ours (centre weight 0):</w:t>
      </w:r>
    </w:p>
    <w:p>
      <w:pPr>
        <w:pStyle w:val="Compact"/>
        <w:numPr>
          <w:ilvl w:val="0"/>
          <w:numId w:val="1015"/>
        </w:numPr>
      </w:pPr>
      <w:r>
        <w:rPr>
          <w:b/>
          <w:bCs/>
        </w:rPr>
        <w:t xml:space="preserve">GD</w:t>
      </w:r>
      <w:r>
        <w:t xml:space="preserve"> </w:t>
      </w:r>
      <w:r>
        <w:t xml:space="preserve">uses Deep Distance Transform targets [32]: at</w:t>
      </w:r>
      <w:r>
        <w:t xml:space="preserve"> </w:t>
      </w:r>
      <w:r>
        <w:rPr>
          <w:i/>
          <w:iCs/>
        </w:rPr>
        <w:t xml:space="preserve">every</w:t>
      </w:r>
      <w:r>
        <w:t xml:space="preserve"> </w:t>
      </w:r>
      <w:r>
        <w:t xml:space="preserve">road pixel, the Euclidean distance to the nearest background pixel, rounded to an integer class 1–20 (Figure 12g).</w:t>
      </w:r>
    </w:p>
    <w:p>
      <w:pPr>
        <w:pStyle w:val="Compact"/>
        <w:numPr>
          <w:ilvl w:val="0"/>
          <w:numId w:val="1015"/>
        </w:numPr>
      </w:pPr>
      <w:r>
        <w:rPr>
          <w:b/>
          <w:bCs/>
        </w:rPr>
        <w:t xml:space="preserve">GO</w:t>
      </w:r>
      <w:r>
        <w:t xml:space="preserve"> </w:t>
      </w:r>
      <w:r>
        <w:t xml:space="preserve">uses road-orientation targets in the spirit of Batra et al. [18]: the direction of the centre-line in 18 bins of 10°, plus a background class (Figure 12h).</w:t>
      </w:r>
    </w:p>
    <w:bookmarkEnd w:id="88"/>
    <w:bookmarkStart w:id="89" w:name="gfa-and-gfb-feeding-the-geometry-back"/>
    <w:p>
      <w:pPr>
        <w:pStyle w:val="Heading2"/>
      </w:pPr>
      <w:r>
        <w:rPr>
          <w:rStyle w:val="SectionNumber"/>
        </w:rPr>
        <w:t xml:space="preserve">6.11</w:t>
      </w:r>
      <w:r>
        <w:tab/>
      </w:r>
      <w:r>
        <w:t xml:space="preserve">GFa and GFb — feeding the geometry back</w:t>
      </w:r>
    </w:p>
    <w:p>
      <w:pPr>
        <w:pStyle w:val="FirstParagraph"/>
      </w:pPr>
      <w:r>
        <w:t xml:space="preserve">In GA the geometry influences the mask only through shared features during training. GF moves the geometry head</w:t>
      </w:r>
      <w:r>
        <w:t xml:space="preserve"> </w:t>
      </w:r>
      <w:r>
        <w:rPr>
          <w:i/>
          <w:iCs/>
        </w:rPr>
        <w:t xml:space="preserve">inside</w:t>
      </w:r>
      <w:r>
        <w:t xml:space="preserve"> </w:t>
      </w:r>
      <w:r>
        <w:t xml:space="preserve">the decoder and concatenates its 13 output probabilities (1 centre + 12 widths) into the input of every later decoder stage (Figure 13c). The mask then uses the geometry at test time as well.</w:t>
      </w:r>
    </w:p>
    <w:p>
      <w:pPr>
        <w:pStyle w:val="Compact"/>
        <w:numPr>
          <w:ilvl w:val="0"/>
          <w:numId w:val="1016"/>
        </w:numPr>
      </w:pPr>
      <w:r>
        <w:rPr>
          <w:b/>
          <w:bCs/>
        </w:rPr>
        <w:t xml:space="preserve">GFa</w:t>
      </w:r>
      <w:r>
        <w:t xml:space="preserve"> </w:t>
      </w:r>
      <w:r>
        <w:t xml:space="preserve">predicts the geometry after decoder stage 3 (half resolution) and feeds it into stages 4 and 5.</w:t>
      </w:r>
    </w:p>
    <w:p>
      <w:pPr>
        <w:pStyle w:val="Compact"/>
        <w:numPr>
          <w:ilvl w:val="0"/>
          <w:numId w:val="1016"/>
        </w:numPr>
      </w:pPr>
      <w:r>
        <w:rPr>
          <w:b/>
          <w:bCs/>
        </w:rPr>
        <w:t xml:space="preserve">GFb</w:t>
      </w:r>
      <w:r>
        <w:t xml:space="preserve"> </w:t>
      </w:r>
      <w:r>
        <w:t xml:space="preserve">predicts it after stage 2 (quarter resolution) and feeds it into stages 3–5.</w:t>
      </w:r>
    </w:p>
    <w:p>
      <w:pPr>
        <w:pStyle w:val="FirstParagraph"/>
      </w:pPr>
      <w:r>
        <w:t xml:space="preserve">The variant was chosen</w:t>
      </w:r>
      <w:r>
        <w:t xml:space="preserve"> </w:t>
      </w:r>
      <w:r>
        <w:rPr>
          <w:b/>
          <w:bCs/>
        </w:rPr>
        <w:t xml:space="preserve">on validation data only</w:t>
      </w:r>
      <w:r>
        <w:t xml:space="preserve">: seed 0 of both variants was trained on all three datasets, and a script picked the higher mean validation IoU (GFa 0.7462 vs GFb 0.7458). GFa’s seeds 1–2 were then trained for the pre-registered test.</w:t>
      </w:r>
    </w:p>
    <w:bookmarkEnd w:id="89"/>
    <w:bookmarkStart w:id="90" w:name="model-sizes"/>
    <w:p>
      <w:pPr>
        <w:pStyle w:val="Heading2"/>
      </w:pPr>
      <w:r>
        <w:rPr>
          <w:rStyle w:val="SectionNumber"/>
        </w:rPr>
        <w:t xml:space="preserve">6.12</w:t>
      </w:r>
      <w:r>
        <w:tab/>
      </w:r>
      <w:r>
        <w:t xml:space="preserve">Model sizes</w:t>
      </w:r>
    </w:p>
    <w:p>
      <w:pPr>
        <w:pStyle w:val="TableCaption"/>
      </w:pPr>
      <w:r>
        <w:t xml:space="preserve">Table 5. Parameter counts. The wavelet rungs add 0.06–0.12% to R0, and the geometric heads add less than 0.001%, so no gain can be attributed to extra capacity.</w:t>
      </w:r>
    </w:p>
    <w:tbl>
      <w:tblPr>
        <w:tblStyle w:val="Table"/>
        <w:tblW w:type="auto" w:w="0"/>
        <w:tblLook w:firstRow="1" w:lastRow="0" w:firstColumn="0" w:lastColumn="0" w:noHBand="0" w:noVBand="0" w:val="0020"/>
        <w:tblCaption w:val="Table 5. Parameter counts. The wavelet rungs add 0.06–0.12% to R0, and the geometric heads add less than 0.001%, so no gain can be attributed to extra capacity."/>
      </w:tblPr>
      <w:tblGrid>
        <w:gridCol w:w="3960"/>
        <w:gridCol w:w="3960"/>
      </w:tblGrid>
      <w:tr>
        <w:trPr>
          <w:tblHeader w:val="on"/>
        </w:trPr>
        <w:tc>
          <w:tcPr/>
          <w:p>
            <w:pPr>
              <w:pStyle w:val="TableText"/>
              <w:jc w:val="left"/>
            </w:pPr>
            <w:r>
              <w:t xml:space="preserve">Model</w:t>
            </w:r>
          </w:p>
        </w:tc>
        <w:tc>
          <w:tcPr/>
          <w:p>
            <w:pPr>
              <w:pStyle w:val="TableText"/>
              <w:jc w:val="right"/>
            </w:pPr>
            <w:r>
              <w:t xml:space="preserve">Trainable parameters</w:t>
            </w:r>
          </w:p>
        </w:tc>
      </w:tr>
      <w:tr>
        <w:tc>
          <w:tcPr/>
          <w:p>
            <w:pPr>
              <w:pStyle w:val="TableText"/>
              <w:jc w:val="left"/>
            </w:pPr>
            <w:r>
              <w:t xml:space="preserve">R0</w:t>
            </w:r>
          </w:p>
        </w:tc>
        <w:tc>
          <w:tcPr/>
          <w:p>
            <w:pPr>
              <w:pStyle w:val="TableText"/>
              <w:jc w:val="right"/>
            </w:pPr>
            <w:r>
              <w:t xml:space="preserve">46,503,137</w:t>
            </w:r>
          </w:p>
        </w:tc>
      </w:tr>
      <w:tr>
        <w:tc>
          <w:tcPr/>
          <w:p>
            <w:pPr>
              <w:pStyle w:val="TableText"/>
              <w:jc w:val="left"/>
            </w:pPr>
            <w:r>
              <w:t xml:space="preserve">R1</w:t>
            </w:r>
          </w:p>
        </w:tc>
        <w:tc>
          <w:tcPr/>
          <w:p>
            <w:pPr>
              <w:pStyle w:val="TableText"/>
              <w:jc w:val="right"/>
            </w:pPr>
            <w:r>
              <w:t xml:space="preserve">46,531,361</w:t>
            </w:r>
          </w:p>
        </w:tc>
      </w:tr>
      <w:tr>
        <w:tc>
          <w:tcPr/>
          <w:p>
            <w:pPr>
              <w:pStyle w:val="TableText"/>
              <w:jc w:val="left"/>
            </w:pPr>
            <w:r>
              <w:t xml:space="preserve">R2, R3</w:t>
            </w:r>
          </w:p>
        </w:tc>
        <w:tc>
          <w:tcPr/>
          <w:p>
            <w:pPr>
              <w:pStyle w:val="TableText"/>
              <w:jc w:val="right"/>
            </w:pPr>
            <w:r>
              <w:t xml:space="preserve">46,557,985</w:t>
            </w:r>
          </w:p>
        </w:tc>
      </w:tr>
      <w:tr>
        <w:tc>
          <w:tcPr/>
          <w:p>
            <w:pPr>
              <w:pStyle w:val="TableText"/>
              <w:jc w:val="left"/>
            </w:pPr>
            <w:r>
              <w:t xml:space="preserve">GA, GB, GAc, GAw</w:t>
            </w:r>
          </w:p>
        </w:tc>
        <w:tc>
          <w:tcPr/>
          <w:p>
            <w:pPr>
              <w:pStyle w:val="TableText"/>
              <w:jc w:val="right"/>
            </w:pPr>
            <w:r>
              <w:t xml:space="preserve">46,503,566 (R0 + 429)</w:t>
            </w:r>
          </w:p>
        </w:tc>
      </w:tr>
      <w:tr>
        <w:tc>
          <w:tcPr/>
          <w:p>
            <w:pPr>
              <w:pStyle w:val="TableText"/>
              <w:jc w:val="left"/>
            </w:pPr>
            <w:r>
              <w:t xml:space="preserve">U-Net (from scratch)</w:t>
            </w:r>
          </w:p>
        </w:tc>
        <w:tc>
          <w:tcPr/>
          <w:p>
            <w:pPr>
              <w:pStyle w:val="TableText"/>
              <w:jc w:val="right"/>
            </w:pPr>
            <w:r>
              <w:t xml:space="preserve">31,037,633</w:t>
            </w:r>
          </w:p>
        </w:tc>
      </w:tr>
      <w:tr>
        <w:tc>
          <w:tcPr/>
          <w:p>
            <w:pPr>
              <w:pStyle w:val="TableText"/>
              <w:jc w:val="left"/>
            </w:pPr>
            <w:r>
              <w:t xml:space="preserve">D-LinkNet (ResNet-34)</w:t>
            </w:r>
          </w:p>
        </w:tc>
        <w:tc>
          <w:tcPr/>
          <w:p>
            <w:pPr>
              <w:pStyle w:val="TableText"/>
              <w:jc w:val="right"/>
            </w:pPr>
            <w:r>
              <w:t xml:space="preserve">31,095,137</w:t>
            </w:r>
          </w:p>
        </w:tc>
      </w:tr>
    </w:tbl>
    <w:bookmarkEnd w:id="90"/>
    <w:bookmarkEnd w:id="91"/>
    <w:bookmarkStart w:id="92" w:name="training-objective"/>
    <w:p>
      <w:pPr>
        <w:pStyle w:val="Heading1"/>
      </w:pPr>
      <w:r>
        <w:rPr>
          <w:rStyle w:val="SectionNumber"/>
        </w:rPr>
        <w:t xml:space="preserve">7</w:t>
      </w:r>
      <w:r>
        <w:tab/>
      </w:r>
      <w:r>
        <w:t xml:space="preserve">Training objective</w:t>
      </w:r>
    </w:p>
    <w:p>
      <w:pPr>
        <w:pStyle w:val="FirstParagraph"/>
      </w:pPr>
      <w:r>
        <w:t xml:space="preserve">Let</w:t>
      </w:r>
      <w:r>
        <w:t xml:space="preserve"> </w:t>
      </w:r>
      <m:oMath>
        <m:r>
          <m:t>z</m:t>
        </m:r>
      </m:oMath>
      <w:r>
        <w:t xml:space="preserve"> </w:t>
      </w:r>
      <w:r>
        <w:t xml:space="preserve">be the logits,</w:t>
      </w:r>
      <w:r>
        <w:t xml:space="preserve"> </w:t>
      </w:r>
      <m:oMath>
        <m:r>
          <m:t>p</m:t>
        </m:r>
        <m:r>
          <m:rPr>
            <m:sty m:val="p"/>
          </m:rPr>
          <m:t>=</m:t>
        </m:r>
        <m:r>
          <m:t>σ</m:t>
        </m:r>
        <m:r>
          <m:rPr>
            <m:sty m:val="p"/>
          </m:rPr>
          <m:t>(</m:t>
        </m:r>
        <m:r>
          <m:t>z</m:t>
        </m:r>
        <m:r>
          <m:rPr>
            <m:sty m:val="p"/>
          </m:rPr>
          <m:t>)</m:t>
        </m:r>
      </m:oMath>
      <w:r>
        <w:t xml:space="preserve"> </w:t>
      </w:r>
      <w:r>
        <w:t xml:space="preserve">the probabilities,</w:t>
      </w:r>
      <w:r>
        <w:t xml:space="preserve"> </w:t>
      </w:r>
      <m:oMath>
        <m:r>
          <m:t>y</m:t>
        </m:r>
        <m:r>
          <m:rPr>
            <m:sty m:val="p"/>
          </m:rPr>
          <m:t>∈</m:t>
        </m:r>
        <m:r>
          <m:rPr>
            <m:sty m:val="p"/>
          </m:rPr>
          <m:t>{</m:t>
        </m:r>
        <m:r>
          <m:t>0</m:t>
        </m:r>
        <m:r>
          <m:rPr>
            <m:sty m:val="p"/>
          </m:rPr>
          <m:t>,</m:t>
        </m:r>
        <m:r>
          <m:t>1</m:t>
        </m:r>
        <m:r>
          <m:rPr>
            <m:sty m:val="p"/>
          </m:rPr>
          <m:t>}</m:t>
        </m:r>
      </m:oMath>
      <w:r>
        <w:t xml:space="preserve"> </w:t>
      </w:r>
      <w:r>
        <w:t xml:space="preserve">the label and</w:t>
      </w:r>
      <w:r>
        <w:t xml:space="preserve"> </w:t>
      </w:r>
      <m:oMath>
        <m:r>
          <m:t>m</m:t>
        </m:r>
      </m:oMath>
      <w:r>
        <w:t xml:space="preserve"> </w:t>
      </w:r>
      <w:r>
        <w:t xml:space="preserve">the validity mask; sums run over the pixels of a crop.</w:t>
      </w:r>
    </w:p>
    <w:p>
      <w:pPr>
        <w:pStyle w:val="BodyText"/>
      </w:pPr>
      <w:r>
        <w:rPr>
          <w:b/>
          <w:bCs/>
        </w:rPr>
        <w:t xml:space="preserve">Binary cross-entropy</w:t>
      </w:r>
      <w:r>
        <w:t xml:space="preserve"> </w:t>
      </w:r>
      <w:r>
        <w:t xml:space="preserve">measures, pixel by pixel, how much probability the network puts on the correct answer:</w:t>
      </w:r>
    </w:p>
    <w:p>
      <w:pPr>
        <w:pStyle w:val="BodyText"/>
      </w:pPr>
      <m:oMathPara>
        <m:oMathParaPr>
          <m:jc m:val="center"/>
        </m:oMathParaPr>
        <m:oMath>
          <m:sSub>
            <m:e>
              <m:r>
                <m:rPr>
                  <m:scr m:val="script"/>
                  <m:sty m:val="p"/>
                </m:rPr>
                <m:t>L</m:t>
              </m:r>
            </m:e>
            <m:sub>
              <m:r>
                <m:rPr>
                  <m:nor/>
                  <m:sty m:val="p"/>
                </m:rPr>
                <m:t>BCE</m:t>
              </m:r>
            </m:sub>
          </m:sSub>
          <m:r>
            <m:rPr>
              <m:sty m:val="p"/>
            </m:rPr>
            <m:t>=</m:t>
          </m:r>
          <m:f>
            <m:fPr>
              <m:type m:val="bar"/>
            </m:fPr>
            <m:num>
              <m:r>
                <m:rPr>
                  <m:sty m:val="p"/>
                </m:rPr>
                <m:t>∑</m:t>
              </m:r>
              <m:r>
                <m:t>m</m:t>
              </m:r>
              <m:r>
                <m:t> </m:t>
              </m:r>
              <m:d>
                <m:dPr>
                  <m:begChr m:val="["/>
                  <m:sepChr m:val=""/>
                  <m:endChr m:val="]"/>
                  <m:grow/>
                </m:dPr>
                <m:e>
                  <m:r>
                    <m:rPr>
                      <m:sty m:val="p"/>
                    </m:rPr>
                    <m:t>−</m:t>
                  </m:r>
                  <m:r>
                    <m:t>y</m:t>
                  </m:r>
                  <m:r>
                    <m:rPr>
                      <m:sty m:val="p"/>
                    </m:rPr>
                    <m:t>log</m:t>
                  </m:r>
                  <m:r>
                    <m:t>p</m:t>
                  </m:r>
                  <m:r>
                    <m:rPr>
                      <m:sty m:val="p"/>
                    </m:rPr>
                    <m:t>−</m:t>
                  </m:r>
                  <m:r>
                    <m:rPr>
                      <m:sty m:val="p"/>
                    </m:rPr>
                    <m:t>(</m:t>
                  </m:r>
                  <m:r>
                    <m:t>1</m:t>
                  </m:r>
                  <m:r>
                    <m:rPr>
                      <m:sty m:val="p"/>
                    </m:rPr>
                    <m:t>−</m:t>
                  </m:r>
                  <m:r>
                    <m:t>y</m:t>
                  </m:r>
                  <m:r>
                    <m:rPr>
                      <m:sty m:val="p"/>
                    </m:rPr>
                    <m:t>)</m:t>
                  </m:r>
                  <m:r>
                    <m:rPr>
                      <m:sty m:val="p"/>
                    </m:rPr>
                    <m:t>log</m:t>
                  </m:r>
                  <m:r>
                    <m:rPr>
                      <m:sty m:val="p"/>
                    </m:rPr>
                    <m:t>(</m:t>
                  </m:r>
                  <m:r>
                    <m:t>1</m:t>
                  </m:r>
                  <m:r>
                    <m:rPr>
                      <m:sty m:val="p"/>
                    </m:rPr>
                    <m:t>−</m:t>
                  </m:r>
                  <m:r>
                    <m:t>p</m:t>
                  </m:r>
                  <m:r>
                    <m:rPr>
                      <m:sty m:val="p"/>
                    </m:rPr>
                    <m:t>)</m:t>
                  </m:r>
                </m:e>
              </m:d>
            </m:num>
            <m:den>
              <m:r>
                <m:rPr>
                  <m:sty m:val="p"/>
                </m:rPr>
                <m:t>max</m:t>
              </m:r>
              <m:r>
                <m:rPr>
                  <m:sty m:val="p"/>
                </m:rPr>
                <m:t>(</m:t>
              </m:r>
              <m:r>
                <m:rPr>
                  <m:sty m:val="p"/>
                </m:rPr>
                <m:t>∑</m:t>
              </m:r>
              <m:r>
                <m:t>m</m:t>
              </m:r>
              <m:r>
                <m:rPr>
                  <m:sty m:val="p"/>
                </m:rPr>
                <m:t>,</m:t>
              </m:r>
              <m:r>
                <m:t> </m:t>
              </m:r>
              <m:r>
                <m:t>1</m:t>
              </m:r>
              <m:r>
                <m:rPr>
                  <m:sty m:val="p"/>
                </m:rPr>
                <m:t>)</m:t>
              </m:r>
            </m:den>
          </m:f>
          <m:r>
            <m:rPr>
              <m:sty m:val="p"/>
            </m:rPr>
            <m:t>.</m:t>
          </m:r>
        </m:oMath>
      </m:oMathPara>
    </w:p>
    <w:p>
      <w:pPr>
        <w:pStyle w:val="FirstParagraph"/>
      </w:pPr>
      <w:r>
        <w:rPr>
          <w:b/>
          <w:bCs/>
        </w:rPr>
        <w:t xml:space="preserve">Dice loss</w:t>
      </w:r>
      <w:r>
        <w:t xml:space="preserve"> </w:t>
      </w:r>
      <w:r>
        <w:t xml:space="preserve">measures the overlap between prediction and label as a whole, which counters the imbalance between few road pixels and many background pixels:</w:t>
      </w:r>
    </w:p>
    <w:p>
      <w:pPr>
        <w:pStyle w:val="BodyText"/>
      </w:pPr>
      <m:oMathPara>
        <m:oMathParaPr>
          <m:jc m:val="center"/>
        </m:oMathParaPr>
        <m:oMath>
          <m:sSub>
            <m:e>
              <m:r>
                <m:rPr>
                  <m:scr m:val="script"/>
                  <m:sty m:val="p"/>
                </m:rPr>
                <m:t>L</m:t>
              </m:r>
            </m:e>
            <m:sub>
              <m:r>
                <m:rPr>
                  <m:nor/>
                  <m:sty m:val="p"/>
                </m:rPr>
                <m:t>Dice</m:t>
              </m:r>
            </m:sub>
          </m:sSub>
          <m:r>
            <m:rPr>
              <m:sty m:val="p"/>
            </m:rPr>
            <m:t>=</m:t>
          </m:r>
          <m:r>
            <m:t>1</m:t>
          </m:r>
          <m:r>
            <m:rPr>
              <m:sty m:val="p"/>
            </m:rPr>
            <m:t>−</m:t>
          </m:r>
          <m:f>
            <m:fPr>
              <m:type m:val="bar"/>
            </m:fPr>
            <m:num>
              <m:r>
                <m:t>2</m:t>
              </m:r>
              <m:r>
                <m:rPr>
                  <m:sty m:val="p"/>
                </m:rPr>
                <m:t>∑</m:t>
              </m:r>
              <m:r>
                <m:t>p</m:t>
              </m:r>
              <m:r>
                <m:t> </m:t>
              </m:r>
              <m:r>
                <m:t>y</m:t>
              </m:r>
              <m:r>
                <m:t> </m:t>
              </m:r>
              <m:r>
                <m:t>m</m:t>
              </m:r>
              <m:r>
                <m:rPr>
                  <m:sty m:val="p"/>
                </m:rPr>
                <m:t>+</m:t>
              </m:r>
              <m:r>
                <m:t>1</m:t>
              </m:r>
            </m:num>
            <m:den>
              <m:r>
                <m:rPr>
                  <m:sty m:val="p"/>
                </m:rPr>
                <m:t>∑</m:t>
              </m:r>
              <m:r>
                <m:t>p</m:t>
              </m:r>
              <m:r>
                <m:t> </m:t>
              </m:r>
              <m:r>
                <m:t>m</m:t>
              </m:r>
              <m:r>
                <m:rPr>
                  <m:sty m:val="p"/>
                </m:rPr>
                <m:t>+</m:t>
              </m:r>
              <m:r>
                <m:rPr>
                  <m:sty m:val="p"/>
                </m:rPr>
                <m:t>∑</m:t>
              </m:r>
              <m:r>
                <m:t>y</m:t>
              </m:r>
              <m:r>
                <m:t> </m:t>
              </m:r>
              <m:r>
                <m:t>m</m:t>
              </m:r>
              <m:r>
                <m:rPr>
                  <m:sty m:val="p"/>
                </m:rPr>
                <m:t>+</m:t>
              </m:r>
              <m:r>
                <m:t>1</m:t>
              </m:r>
            </m:den>
          </m:f>
          <m:r>
            <m:rPr>
              <m:sty m:val="p"/>
            </m:rPr>
            <m:t>.</m:t>
          </m:r>
        </m:oMath>
      </m:oMathPara>
    </w:p>
    <w:p>
      <w:pPr>
        <w:pStyle w:val="FirstParagraph"/>
      </w:pPr>
      <w:r>
        <w:t xml:space="preserve">R0, R1, R2 and both baselines minimise</w:t>
      </w:r>
      <w:r>
        <w:t xml:space="preserve"> </w:t>
      </w:r>
      <m:oMath>
        <m:r>
          <m:rPr>
            <m:scr m:val="script"/>
            <m:sty m:val="p"/>
          </m:rPr>
          <m:t>L</m:t>
        </m:r>
        <m:r>
          <m:rPr>
            <m:sty m:val="p"/>
          </m:rPr>
          <m:t>=</m:t>
        </m:r>
        <m:sSub>
          <m:e>
            <m:r>
              <m:rPr>
                <m:scr m:val="script"/>
                <m:sty m:val="p"/>
              </m:rPr>
              <m:t>L</m:t>
            </m:r>
          </m:e>
          <m:sub>
            <m:r>
              <m:rPr>
                <m:nor/>
                <m:sty m:val="p"/>
              </m:rPr>
              <m:t>BCE</m:t>
            </m:r>
          </m:sub>
        </m:sSub>
        <m:r>
          <m:rPr>
            <m:sty m:val="p"/>
          </m:rPr>
          <m:t>+</m:t>
        </m:r>
        <m:sSub>
          <m:e>
            <m:r>
              <m:rPr>
                <m:scr m:val="script"/>
                <m:sty m:val="p"/>
              </m:rPr>
              <m:t>L</m:t>
            </m:r>
          </m:e>
          <m:sub>
            <m:r>
              <m:rPr>
                <m:nor/>
                <m:sty m:val="p"/>
              </m:rPr>
              <m:t>Dice</m:t>
            </m:r>
          </m:sub>
        </m:sSub>
      </m:oMath>
      <w:r>
        <w:t xml:space="preserve">. The smoothing constant 1 keeps road-free crops numerically stable.</w:t>
      </w:r>
    </w:p>
    <w:p>
      <w:pPr>
        <w:pStyle w:val="Explainer"/>
      </w:pPr>
      <w:r>
        <w:rPr>
          <w:b/>
          <w:bCs/>
        </w:rPr>
        <w:t xml:space="preserve">Worked example (four pixels).</w:t>
      </w:r>
      <w:r>
        <w:t xml:space="preserve"> </w:t>
      </w:r>
      <w:r>
        <w:t xml:space="preserve">Labels y = (1, 1, 0, 0); predicted probabilities p = (0.9, 0.6, 0.2, 0.1); all pixels valid.</w:t>
      </w:r>
    </w:p>
    <w:p>
      <w:pPr>
        <w:pStyle w:val="Explainer"/>
      </w:pPr>
      <w:r>
        <w:t xml:space="preserve">• BCE = [−ln 0.9 − ln 0.6 − ln 0.8 − ln 0.9] / 4 = (0.105 + 0.511 + 0.223 + 0.105) / 4 =</w:t>
      </w:r>
      <w:r>
        <w:t xml:space="preserve"> </w:t>
      </w:r>
      <w:r>
        <w:rPr>
          <w:b/>
          <w:bCs/>
        </w:rPr>
        <w:t xml:space="preserve">0.236</w:t>
      </w:r>
      <w:r>
        <w:t xml:space="preserve">. The uncertain road pixel (0.6) contributes most.</w:t>
      </w:r>
    </w:p>
    <w:p>
      <w:pPr>
        <w:pStyle w:val="Explainer"/>
      </w:pPr>
      <w:r>
        <w:t xml:space="preserve">• Dice: overlap 2 Σ p y = 2 (0.9 + 0.6) = 3.0; Σ p = 1.8; Σ y = 2. Dice loss = 1 − (3.0 + 1)/(1.8 + 2 + 1) = 1 − 4/4.8 =</w:t>
      </w:r>
      <w:r>
        <w:t xml:space="preserve"> </w:t>
      </w:r>
      <w:r>
        <w:rPr>
          <w:b/>
          <w:bCs/>
        </w:rPr>
        <w:t xml:space="preserve">0.167</w:t>
      </w:r>
      <w:r>
        <w:t xml:space="preserve">.</w:t>
      </w:r>
    </w:p>
    <w:p>
      <w:pPr>
        <w:pStyle w:val="Explainer"/>
      </w:pPr>
      <w:r>
        <w:t xml:space="preserve">• Total loss =</w:t>
      </w:r>
      <w:r>
        <w:t xml:space="preserve"> </w:t>
      </w:r>
      <w:r>
        <w:rPr>
          <w:b/>
          <w:bCs/>
        </w:rPr>
        <w:t xml:space="preserve">0.403</w:t>
      </w:r>
      <w:r>
        <w:t xml:space="preserve">. Pushing 0.6 towards 1 and 0.2 towards 0 lowers both terms.</w:t>
      </w:r>
    </w:p>
    <w:p>
      <w:pPr>
        <w:pStyle w:val="BodyText"/>
      </w:pPr>
      <w:r>
        <w:rPr>
          <w:b/>
          <w:bCs/>
        </w:rPr>
        <w:t xml:space="preserve">clDice (R3).</w:t>
      </w:r>
      <w:r>
        <w:t xml:space="preserve"> </w:t>
      </w:r>
      <w:r>
        <w:t xml:space="preserve">With a differentiable soft skeleton</w:t>
      </w:r>
      <w:r>
        <w:t xml:space="preserve"> </w:t>
      </w:r>
      <m:oMath>
        <m:r>
          <m:t>S</m:t>
        </m:r>
        <m:r>
          <m:rPr>
            <m:sty m:val="p"/>
          </m:rPr>
          <m:t>(</m:t>
        </m:r>
        <m:r>
          <m:rPr>
            <m:sty m:val="p"/>
          </m:rPr>
          <m:t>⋅</m:t>
        </m:r>
        <m:r>
          <m:rPr>
            <m:sty m:val="p"/>
          </m:rPr>
          <m:t>)</m:t>
        </m:r>
      </m:oMath>
      <w:r>
        <w:t xml:space="preserve"> </w:t>
      </w:r>
      <w:r>
        <w:t xml:space="preserve">(iterated soft erosion and dilation by 3 × 3 min/max pooling, 6 iterations [8]):</w:t>
      </w:r>
    </w:p>
    <w:p>
      <w:pPr>
        <w:pStyle w:val="BodyText"/>
      </w:pPr>
      <m:oMathPara>
        <m:oMathParaPr>
          <m:jc m:val="center"/>
        </m:oMathParaPr>
        <m:oMath>
          <m:sSub>
            <m:e>
              <m:r>
                <m:t>T</m:t>
              </m:r>
            </m:e>
            <m:sub>
              <m:r>
                <m:rPr>
                  <m:nor/>
                  <m:sty m:val="p"/>
                </m:rPr>
                <m:t>prec</m:t>
              </m:r>
            </m:sub>
          </m:sSub>
          <m:r>
            <m:rPr>
              <m:sty m:val="p"/>
            </m:rPr>
            <m:t>=</m:t>
          </m:r>
          <m:f>
            <m:fPr>
              <m:type m:val="bar"/>
            </m:fPr>
            <m:num>
              <m:r>
                <m:rPr>
                  <m:sty m:val="p"/>
                </m:rPr>
                <m:t>∑</m:t>
              </m:r>
              <m:r>
                <m:t>S</m:t>
              </m:r>
              <m:r>
                <m:rPr>
                  <m:sty m:val="p"/>
                </m:rPr>
                <m:t>(</m:t>
              </m:r>
              <m:r>
                <m:t>p</m:t>
              </m:r>
              <m:r>
                <m:rPr>
                  <m:sty m:val="p"/>
                </m:rPr>
                <m:t>)</m:t>
              </m:r>
              <m:r>
                <m:t> </m:t>
              </m:r>
              <m:r>
                <m:t>y</m:t>
              </m:r>
            </m:num>
            <m:den>
              <m:r>
                <m:rPr>
                  <m:sty m:val="p"/>
                </m:rPr>
                <m:t>∑</m:t>
              </m:r>
              <m:r>
                <m:t>S</m:t>
              </m:r>
              <m:r>
                <m:rPr>
                  <m:sty m:val="p"/>
                </m:rPr>
                <m:t>(</m:t>
              </m:r>
              <m:r>
                <m:t>p</m:t>
              </m:r>
              <m:r>
                <m:rPr>
                  <m:sty m:val="p"/>
                </m:rPr>
                <m:t>)</m:t>
              </m:r>
            </m:den>
          </m:f>
          <m:r>
            <m:rPr>
              <m:sty m:val="p"/>
            </m:rPr>
            <m:t>,</m:t>
          </m:r>
          <m:r>
            <m:t>  </m:t>
          </m:r>
          <m:sSub>
            <m:e>
              <m:r>
                <m:t>T</m:t>
              </m:r>
            </m:e>
            <m:sub>
              <m:r>
                <m:rPr>
                  <m:nor/>
                  <m:sty m:val="p"/>
                </m:rPr>
                <m:t>sens</m:t>
              </m:r>
            </m:sub>
          </m:sSub>
          <m:r>
            <m:rPr>
              <m:sty m:val="p"/>
            </m:rPr>
            <m:t>=</m:t>
          </m:r>
          <m:f>
            <m:fPr>
              <m:type m:val="bar"/>
            </m:fPr>
            <m:num>
              <m:r>
                <m:rPr>
                  <m:sty m:val="p"/>
                </m:rPr>
                <m:t>∑</m:t>
              </m:r>
              <m:r>
                <m:t>S</m:t>
              </m:r>
              <m:r>
                <m:rPr>
                  <m:sty m:val="p"/>
                </m:rPr>
                <m:t>(</m:t>
              </m:r>
              <m:r>
                <m:t>y</m:t>
              </m:r>
              <m:r>
                <m:rPr>
                  <m:sty m:val="p"/>
                </m:rPr>
                <m:t>)</m:t>
              </m:r>
              <m:r>
                <m:t> </m:t>
              </m:r>
              <m:r>
                <m:t>p</m:t>
              </m:r>
            </m:num>
            <m:den>
              <m:r>
                <m:rPr>
                  <m:sty m:val="p"/>
                </m:rPr>
                <m:t>∑</m:t>
              </m:r>
              <m:r>
                <m:t>S</m:t>
              </m:r>
              <m:r>
                <m:rPr>
                  <m:sty m:val="p"/>
                </m:rPr>
                <m:t>(</m:t>
              </m:r>
              <m:r>
                <m:t>y</m:t>
              </m:r>
              <m:r>
                <m:rPr>
                  <m:sty m:val="p"/>
                </m:rPr>
                <m:t>)</m:t>
              </m:r>
            </m:den>
          </m:f>
          <m:r>
            <m:rPr>
              <m:sty m:val="p"/>
            </m:rPr>
            <m:t>,</m:t>
          </m:r>
          <m:r>
            <m:t>  </m:t>
          </m:r>
          <m:r>
            <m:rPr>
              <m:nor/>
              <m:sty m:val="p"/>
            </m:rPr>
            <m:t>clDice</m:t>
          </m:r>
          <m:r>
            <m:rPr>
              <m:sty m:val="p"/>
            </m:rPr>
            <m:t>=</m:t>
          </m:r>
          <m:f>
            <m:fPr>
              <m:type m:val="bar"/>
            </m:fPr>
            <m:num>
              <m:r>
                <m:t>2</m:t>
              </m:r>
              <m:r>
                <m:t> </m:t>
              </m:r>
              <m:sSub>
                <m:e>
                  <m:r>
                    <m:t>T</m:t>
                  </m:r>
                </m:e>
                <m:sub>
                  <m:r>
                    <m:rPr>
                      <m:nor/>
                      <m:sty m:val="p"/>
                    </m:rPr>
                    <m:t>prec</m:t>
                  </m:r>
                </m:sub>
              </m:sSub>
              <m:r>
                <m:t> </m:t>
              </m:r>
              <m:sSub>
                <m:e>
                  <m:r>
                    <m:t>T</m:t>
                  </m:r>
                </m:e>
                <m:sub>
                  <m:r>
                    <m:rPr>
                      <m:nor/>
                      <m:sty m:val="p"/>
                    </m:rPr>
                    <m:t>sens</m:t>
                  </m:r>
                </m:sub>
              </m:sSub>
            </m:num>
            <m:den>
              <m:sSub>
                <m:e>
                  <m:r>
                    <m:t>T</m:t>
                  </m:r>
                </m:e>
                <m:sub>
                  <m:r>
                    <m:rPr>
                      <m:nor/>
                      <m:sty m:val="p"/>
                    </m:rPr>
                    <m:t>prec</m:t>
                  </m:r>
                </m:sub>
              </m:sSub>
              <m:r>
                <m:rPr>
                  <m:sty m:val="p"/>
                </m:rPr>
                <m:t>+</m:t>
              </m:r>
              <m:sSub>
                <m:e>
                  <m:r>
                    <m:t>T</m:t>
                  </m:r>
                </m:e>
                <m:sub>
                  <m:r>
                    <m:rPr>
                      <m:nor/>
                      <m:sty m:val="p"/>
                    </m:rPr>
                    <m:t>sens</m:t>
                  </m:r>
                </m:sub>
              </m:sSub>
            </m:den>
          </m:f>
          <m:r>
            <m:rPr>
              <m:sty m:val="p"/>
            </m:rPr>
            <m:t>,</m:t>
          </m:r>
        </m:oMath>
      </m:oMathPara>
    </w:p>
    <w:p>
      <w:pPr>
        <w:pStyle w:val="FirstParagraph"/>
      </w:pPr>
      <m:oMathPara>
        <m:oMathParaPr>
          <m:jc m:val="center"/>
        </m:oMathParaPr>
        <m:oMath>
          <m:sSub>
            <m:e>
              <m:r>
                <m:rPr>
                  <m:scr m:val="script"/>
                  <m:sty m:val="p"/>
                </m:rPr>
                <m:t>L</m:t>
              </m:r>
            </m:e>
            <m:sub>
              <m:r>
                <m:rPr>
                  <m:nor/>
                  <m:sty m:val="p"/>
                </m:rPr>
                <m:t>R3</m:t>
              </m:r>
            </m:sub>
          </m:sSub>
          <m:r>
            <m:rPr>
              <m:sty m:val="p"/>
            </m:rPr>
            <m:t>=</m:t>
          </m:r>
          <m:r>
            <m:rPr>
              <m:scr m:val="script"/>
              <m:sty m:val="p"/>
            </m:rPr>
            <m:t>L</m:t>
          </m:r>
          <m:r>
            <m:rPr>
              <m:sty m:val="p"/>
            </m:rPr>
            <m:t>+</m:t>
          </m:r>
          <m:r>
            <m:t>0.5</m:t>
          </m:r>
          <m:r>
            <m:t> </m:t>
          </m:r>
          <m:r>
            <m:rPr>
              <m:sty m:val="p"/>
            </m:rPr>
            <m:t>(</m:t>
          </m:r>
          <m:r>
            <m:t>1</m:t>
          </m:r>
          <m:r>
            <m:rPr>
              <m:sty m:val="p"/>
            </m:rPr>
            <m:t>−</m:t>
          </m:r>
          <m:r>
            <m:rPr>
              <m:nor/>
              <m:sty m:val="p"/>
            </m:rPr>
            <m:t>clDice</m:t>
          </m:r>
          <m:r>
            <m:rPr>
              <m:sty m:val="p"/>
            </m:rPr>
            <m:t>)</m:t>
          </m:r>
          <m:r>
            <m:rPr>
              <m:sty m:val="p"/>
            </m:rPr>
            <m:t>.</m:t>
          </m:r>
        </m:oMath>
      </m:oMathPara>
    </w:p>
    <w:p>
      <w:pPr>
        <w:pStyle w:val="FirstParagraph"/>
      </w:pPr>
      <w:r>
        <w:rPr>
          <w:b/>
          <w:bCs/>
        </w:rPr>
        <w:t xml:space="preserve">Geometric loss (GA, GB, GAc, GAw, GD, GO, GF).</w:t>
      </w:r>
      <w:r>
        <w:t xml:space="preserve"> </w:t>
      </w:r>
      <w:r>
        <w:t xml:space="preserve">With centre logits</w:t>
      </w:r>
      <w:r>
        <w:t xml:space="preserve"> </w:t>
      </w:r>
      <m:oMath>
        <m:r>
          <m:t>c</m:t>
        </m:r>
      </m:oMath>
      <w:r>
        <w:t xml:space="preserve"> </w:t>
      </w:r>
      <w:r>
        <w:t xml:space="preserve">and width logits</w:t>
      </w:r>
      <w:r>
        <w:t xml:space="preserve"> </w:t>
      </w:r>
      <m:oMath>
        <m:r>
          <m:t>w</m:t>
        </m:r>
      </m:oMath>
      <w:r>
        <w:t xml:space="preserve">:</w:t>
      </w:r>
    </w:p>
    <w:p>
      <w:pPr>
        <w:pStyle w:val="BodyText"/>
      </w:pPr>
      <m:oMathPara>
        <m:oMathParaPr>
          <m:jc m:val="center"/>
        </m:oMathParaPr>
        <m:oMath>
          <m:sSub>
            <m:e>
              <m:r>
                <m:rPr>
                  <m:scr m:val="script"/>
                  <m:sty m:val="p"/>
                </m:rPr>
                <m:t>L</m:t>
              </m:r>
            </m:e>
            <m:sub>
              <m:r>
                <m:rPr>
                  <m:nor/>
                  <m:sty m:val="p"/>
                </m:rPr>
                <m:t>geo</m:t>
              </m:r>
            </m:sub>
          </m:sSub>
          <m:r>
            <m:rPr>
              <m:sty m:val="p"/>
            </m:rPr>
            <m:t>=</m:t>
          </m:r>
          <m:r>
            <m:rPr>
              <m:scr m:val="script"/>
              <m:sty m:val="p"/>
            </m:rPr>
            <m:t>L</m:t>
          </m:r>
          <m:r>
            <m:rPr>
              <m:sty m:val="p"/>
            </m:rPr>
            <m:t>(</m:t>
          </m:r>
          <m:r>
            <m:rPr>
              <m:nor/>
              <m:sty m:val="p"/>
            </m:rPr>
            <m:t>mask</m:t>
          </m:r>
          <m:r>
            <m:rPr>
              <m:sty m:val="p"/>
            </m:rPr>
            <m:t>)</m:t>
          </m:r>
          <m:r>
            <m:rPr>
              <m:sty m:val="p"/>
            </m:rPr>
            <m:t>+</m:t>
          </m:r>
          <m:sSub>
            <m:e>
              <m:r>
                <m:t>λ</m:t>
              </m:r>
            </m:e>
            <m:sub>
              <m:r>
                <m:t>c</m:t>
              </m:r>
            </m:sub>
          </m:sSub>
          <m:r>
            <m:t> </m:t>
          </m:r>
          <m:r>
            <m:rPr>
              <m:scr m:val="script"/>
              <m:sty m:val="p"/>
            </m:rPr>
            <m:t>L</m:t>
          </m:r>
          <m:r>
            <m:rPr>
              <m:sty m:val="p"/>
            </m:rPr>
            <m:t>(</m:t>
          </m:r>
          <m:r>
            <m:rPr>
              <m:nor/>
              <m:sty m:val="p"/>
            </m:rPr>
            <m:t>centre</m:t>
          </m:r>
          <m:r>
            <m:rPr>
              <m:sty m:val="p"/>
            </m:rPr>
            <m:t>)</m:t>
          </m:r>
          <m:r>
            <m:rPr>
              <m:sty m:val="p"/>
            </m:rPr>
            <m:t>+</m:t>
          </m:r>
          <m:sSub>
            <m:e>
              <m:r>
                <m:t>λ</m:t>
              </m:r>
            </m:e>
            <m:sub>
              <m:r>
                <m:t>w</m:t>
              </m:r>
            </m:sub>
          </m:sSub>
          <m:r>
            <m:t> </m:t>
          </m:r>
          <m:r>
            <m:rPr>
              <m:nor/>
              <m:sty m:val="p"/>
            </m:rPr>
            <m:t>CE</m:t>
          </m:r>
          <m:r>
            <m:rPr>
              <m:sty m:val="p"/>
            </m:rPr>
            <m:t>(</m:t>
          </m:r>
          <m:r>
            <m:rPr>
              <m:nor/>
              <m:sty m:val="p"/>
            </m:rPr>
            <m:t>width</m:t>
          </m:r>
          <m:r>
            <m:rPr>
              <m:sty m:val="p"/>
            </m:rPr>
            <m:t>)</m:t>
          </m:r>
          <m:r>
            <m:rPr>
              <m:sty m:val="p"/>
            </m:rPr>
            <m:t>,</m:t>
          </m:r>
        </m:oMath>
      </m:oMathPara>
    </w:p>
    <w:p>
      <w:pPr>
        <w:pStyle w:val="FirstParagraph"/>
      </w:pPr>
      <w:r>
        <w:t xml:space="preserve">where</w:t>
      </w:r>
      <w:r>
        <w:t xml:space="preserve"> </w:t>
      </w:r>
      <m:oMath>
        <m:r>
          <m:rPr>
            <m:scr m:val="script"/>
            <m:sty m:val="p"/>
          </m:rPr>
          <m:t>L</m:t>
        </m:r>
        <m:r>
          <m:rPr>
            <m:sty m:val="p"/>
          </m:rPr>
          <m:t>(</m:t>
        </m:r>
        <m:r>
          <m:rPr>
            <m:sty m:val="p"/>
          </m:rPr>
          <m:t>⋅</m:t>
        </m:r>
        <m:r>
          <m:rPr>
            <m:sty m:val="p"/>
          </m:rPr>
          <m:t>)</m:t>
        </m:r>
      </m:oMath>
      <w:r>
        <w:t xml:space="preserve"> </w:t>
      </w:r>
      <w:r>
        <w:t xml:space="preserve">is BCE + Dice and CE is the cross-entropy over the width classes, taken only at pixels that have a width target. The default weights are</w:t>
      </w:r>
      <w:r>
        <w:t xml:space="preserve"> </w:t>
      </w:r>
      <m:oMath>
        <m:sSub>
          <m:e>
            <m:r>
              <m:t>λ</m:t>
            </m:r>
          </m:e>
          <m:sub>
            <m:r>
              <m:t>c</m:t>
            </m:r>
          </m:sub>
        </m:sSub>
        <m:r>
          <m:rPr>
            <m:sty m:val="p"/>
          </m:rPr>
          <m:t>=</m:t>
        </m:r>
        <m:sSub>
          <m:e>
            <m:r>
              <m:t>λ</m:t>
            </m:r>
          </m:e>
          <m:sub>
            <m:r>
              <m:t>w</m:t>
            </m:r>
          </m:sub>
        </m:sSub>
        <m:r>
          <m:rPr>
            <m:sty m:val="p"/>
          </m:rPr>
          <m:t>=</m:t>
        </m:r>
        <m:r>
          <m:t>1</m:t>
        </m:r>
      </m:oMath>
      <w:r>
        <w:t xml:space="preserve"> </w:t>
      </w:r>
      <w:r>
        <w:t xml:space="preserve">(untuned). GAc sets</w:t>
      </w:r>
      <w:r>
        <w:t xml:space="preserve"> </w:t>
      </w:r>
      <m:oMath>
        <m:sSub>
          <m:e>
            <m:r>
              <m:t>λ</m:t>
            </m:r>
          </m:e>
          <m:sub>
            <m:r>
              <m:t>w</m:t>
            </m:r>
          </m:sub>
        </m:sSub>
        <m:r>
          <m:rPr>
            <m:sty m:val="p"/>
          </m:rPr>
          <m:t>=</m:t>
        </m:r>
        <m:r>
          <m:t>0</m:t>
        </m:r>
      </m:oMath>
      <w:r>
        <w:t xml:space="preserve">; GAw, GD and GO set</w:t>
      </w:r>
      <w:r>
        <w:t xml:space="preserve"> </w:t>
      </w:r>
      <m:oMath>
        <m:sSub>
          <m:e>
            <m:r>
              <m:t>λ</m:t>
            </m:r>
          </m:e>
          <m:sub>
            <m:r>
              <m:t>c</m:t>
            </m:r>
          </m:sub>
        </m:sSub>
        <m:r>
          <m:rPr>
            <m:sty m:val="p"/>
          </m:rPr>
          <m:t>=</m:t>
        </m:r>
        <m:r>
          <m:t>0</m:t>
        </m:r>
      </m:oMath>
      <w:r>
        <w:t xml:space="preserve">. For GB the mask term uses the drawn mask.</w:t>
      </w:r>
    </w:p>
    <w:p>
      <w:pPr>
        <w:pStyle w:val="BodyText"/>
      </w:pPr>
      <w:r>
        <w:rPr>
          <w:b/>
          <w:bCs/>
        </w:rPr>
        <w:t xml:space="preserve">Optimisation.</w:t>
      </w:r>
      <w:r>
        <w:t xml:space="preserve"> </w:t>
      </w:r>
      <w:r>
        <w:t xml:space="preserve">AdamW,</w:t>
      </w:r>
      <w:r>
        <w:t xml:space="preserve"> </w:t>
      </w:r>
      <m:oMath>
        <m:sSub>
          <m:e>
            <m:r>
              <m:t>η</m:t>
            </m:r>
          </m:e>
          <m:sub>
            <m:r>
              <m:t>0</m:t>
            </m:r>
          </m:sub>
        </m:sSub>
        <m:r>
          <m:rPr>
            <m:sty m:val="p"/>
          </m:rPr>
          <m:t>=</m:t>
        </m:r>
        <m:r>
          <m:t>3</m:t>
        </m:r>
        <m:r>
          <m:rPr>
            <m:sty m:val="p"/>
          </m:rPr>
          <m:t>×</m:t>
        </m:r>
        <m:sSup>
          <m:e>
            <m:r>
              <m:t>10</m:t>
            </m:r>
          </m:e>
          <m:sup>
            <m:r>
              <m:rPr>
                <m:sty m:val="p"/>
              </m:rPr>
              <m:t>−</m:t>
            </m:r>
            <m:r>
              <m:t>4</m:t>
            </m:r>
          </m:sup>
        </m:sSup>
      </m:oMath>
      <w:r>
        <w:t xml:space="preserve">, weight decay</w:t>
      </w:r>
      <w:r>
        <w:t xml:space="preserve"> </w:t>
      </w:r>
      <m:oMath>
        <m:sSup>
          <m:e>
            <m:r>
              <m:t>10</m:t>
            </m:r>
          </m:e>
          <m:sup>
            <m:r>
              <m:rPr>
                <m:sty m:val="p"/>
              </m:rPr>
              <m:t>−</m:t>
            </m:r>
            <m:r>
              <m:t>4</m:t>
            </m:r>
          </m:sup>
        </m:sSup>
      </m:oMath>
      <w:r>
        <w:t xml:space="preserve">, batch 16, gradient clipping at 1.0, bfloat16 autocast with losses in 32-bit. The learning-rate schedule (Figure 5), with</w:t>
      </w:r>
      <w:r>
        <w:t xml:space="preserve"> </w:t>
      </w:r>
      <m:oMath>
        <m:sSub>
          <m:e>
            <m:r>
              <m:t>T</m:t>
            </m:r>
          </m:e>
          <m:sub>
            <m:r>
              <m:t>w</m:t>
            </m:r>
          </m:sub>
        </m:sSub>
      </m:oMath>
      <w:r>
        <w:t xml:space="preserve"> </w:t>
      </w:r>
      <w:r>
        <w:t xml:space="preserve">warm-up steps (2 epochs) out of</w:t>
      </w:r>
      <w:r>
        <w:t xml:space="preserve"> </w:t>
      </w:r>
      <m:oMath>
        <m:r>
          <m:t>T</m:t>
        </m:r>
      </m:oMath>
      <w:r>
        <w:t xml:space="preserve">:</w:t>
      </w:r>
    </w:p>
    <w:p>
      <w:pPr>
        <w:pStyle w:val="BodyText"/>
      </w:pPr>
      <m:oMathPara>
        <m:oMathParaPr>
          <m:jc m:val="center"/>
        </m:oMathParaPr>
        <m:oMath>
          <m:r>
            <m:t>η</m:t>
          </m:r>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sSub>
                      <m:e>
                        <m:r>
                          <m:t>η</m:t>
                        </m:r>
                      </m:e>
                      <m:sub>
                        <m:r>
                          <m:t>0</m:t>
                        </m:r>
                      </m:sub>
                    </m:sSub>
                    <m:d>
                      <m:dPr>
                        <m:begChr m:val="("/>
                        <m:sepChr m:val=""/>
                        <m:endChr m:val=")"/>
                        <m:grow/>
                      </m:dPr>
                      <m:e>
                        <m:r>
                          <m:t>0.01</m:t>
                        </m:r>
                        <m:r>
                          <m:rPr>
                            <m:sty m:val="p"/>
                          </m:rPr>
                          <m:t>+</m:t>
                        </m:r>
                        <m:r>
                          <m:t>0.99</m:t>
                        </m:r>
                        <m:r>
                          <m:t> </m:t>
                        </m:r>
                        <m:f>
                          <m:fPr>
                            <m:type m:val="bar"/>
                          </m:fPr>
                          <m:num>
                            <m:r>
                              <m:t>t</m:t>
                            </m:r>
                          </m:num>
                          <m:den>
                            <m:sSub>
                              <m:e>
                                <m:r>
                                  <m:t>T</m:t>
                                </m:r>
                              </m:e>
                              <m:sub>
                                <m:r>
                                  <m:t>w</m:t>
                                </m:r>
                              </m:sub>
                            </m:sSub>
                          </m:den>
                        </m:f>
                      </m:e>
                    </m:d>
                    <m:r>
                      <m:rPr>
                        <m:sty m:val="p"/>
                      </m:rPr>
                      <m:t>,</m:t>
                    </m:r>
                  </m:e>
                  <m:e>
                    <m:r>
                      <m:t>t</m:t>
                    </m:r>
                    <m:r>
                      <m:rPr>
                        <m:sty m:val="p"/>
                      </m:rPr>
                      <m:t>&lt;</m:t>
                    </m:r>
                    <m:sSub>
                      <m:e>
                        <m:r>
                          <m:t>T</m:t>
                        </m:r>
                      </m:e>
                      <m:sub>
                        <m:r>
                          <m:t>w</m:t>
                        </m:r>
                      </m:sub>
                    </m:sSub>
                  </m:e>
                </m:mr>
                <m:mr>
                  <m:e>
                    <m:sSub>
                      <m:e>
                        <m:r>
                          <m:t>η</m:t>
                        </m:r>
                      </m:e>
                      <m:sub>
                        <m:r>
                          <m:rPr>
                            <m:sty m:val="p"/>
                          </m:rPr>
                          <m:t>min</m:t>
                        </m:r>
                      </m:sub>
                    </m:sSub>
                    <m:r>
                      <m:rPr>
                        <m:sty m:val="p"/>
                      </m:rPr>
                      <m:t>+</m:t>
                    </m:r>
                    <m:f>
                      <m:fPr>
                        <m:type m:val="lin"/>
                      </m:fPr>
                      <m:num>
                        <m:r>
                          <m:t>1</m:t>
                        </m:r>
                      </m:num>
                      <m:den>
                        <m:r>
                          <m:t>2</m:t>
                        </m:r>
                      </m:den>
                    </m:f>
                    <m:r>
                      <m:rPr>
                        <m:sty m:val="p"/>
                      </m:rPr>
                      <m:t>(</m:t>
                    </m:r>
                    <m:sSub>
                      <m:e>
                        <m:r>
                          <m:t>η</m:t>
                        </m:r>
                      </m:e>
                      <m:sub>
                        <m:r>
                          <m:t>0</m:t>
                        </m:r>
                      </m:sub>
                    </m:sSub>
                    <m:r>
                      <m:rPr>
                        <m:sty m:val="p"/>
                      </m:rPr>
                      <m:t>−</m:t>
                    </m:r>
                    <m:sSub>
                      <m:e>
                        <m:r>
                          <m:t>η</m:t>
                        </m:r>
                      </m:e>
                      <m:sub>
                        <m:r>
                          <m:rPr>
                            <m:sty m:val="p"/>
                          </m:rPr>
                          <m:t>min</m:t>
                        </m:r>
                      </m:sub>
                    </m:sSub>
                    <m:r>
                      <m:rPr>
                        <m:sty m:val="p"/>
                      </m:rPr>
                      <m:t>)</m:t>
                    </m:r>
                    <m:d>
                      <m:dPr>
                        <m:begChr m:val="("/>
                        <m:sepChr m:val=""/>
                        <m:endChr m:val=")"/>
                        <m:grow/>
                      </m:dPr>
                      <m:e>
                        <m:r>
                          <m:t>1</m:t>
                        </m:r>
                        <m:r>
                          <m:rPr>
                            <m:sty m:val="p"/>
                          </m:rPr>
                          <m:t>+</m:t>
                        </m:r>
                        <m:r>
                          <m:rPr>
                            <m:sty m:val="p"/>
                          </m:rPr>
                          <m:t>cos</m:t>
                        </m:r>
                        <m:f>
                          <m:fPr>
                            <m:type m:val="bar"/>
                          </m:fPr>
                          <m:num>
                            <m:r>
                              <m:t>π</m:t>
                            </m:r>
                            <m:r>
                              <m:rPr>
                                <m:sty m:val="p"/>
                              </m:rPr>
                              <m:t>(</m:t>
                            </m:r>
                            <m:r>
                              <m:t>t</m:t>
                            </m:r>
                            <m:r>
                              <m:rPr>
                                <m:sty m:val="p"/>
                              </m:rPr>
                              <m:t>−</m:t>
                            </m:r>
                            <m:sSub>
                              <m:e>
                                <m:r>
                                  <m:t>T</m:t>
                                </m:r>
                              </m:e>
                              <m:sub>
                                <m:r>
                                  <m:t>w</m:t>
                                </m:r>
                              </m:sub>
                            </m:sSub>
                            <m:r>
                              <m:rPr>
                                <m:sty m:val="p"/>
                              </m:rPr>
                              <m:t>)</m:t>
                            </m:r>
                          </m:num>
                          <m:den>
                            <m:r>
                              <m:t>T</m:t>
                            </m:r>
                            <m:r>
                              <m:rPr>
                                <m:sty m:val="p"/>
                              </m:rPr>
                              <m:t>−</m:t>
                            </m:r>
                            <m:sSub>
                              <m:e>
                                <m:r>
                                  <m:t>T</m:t>
                                </m:r>
                              </m:e>
                              <m:sub>
                                <m:r>
                                  <m:t>w</m:t>
                                </m:r>
                              </m:sub>
                            </m:sSub>
                          </m:den>
                        </m:f>
                      </m:e>
                    </m:d>
                    <m:r>
                      <m:rPr>
                        <m:sty m:val="p"/>
                      </m:rPr>
                      <m:t>,</m:t>
                    </m:r>
                  </m:e>
                  <m:e>
                    <m:r>
                      <m:t>t</m:t>
                    </m:r>
                    <m:r>
                      <m:rPr>
                        <m:sty m:val="p"/>
                      </m:rPr>
                      <m:t>≥</m:t>
                    </m:r>
                    <m:sSub>
                      <m:e>
                        <m:r>
                          <m:t>T</m:t>
                        </m:r>
                      </m:e>
                      <m:sub>
                        <m:r>
                          <m:t>w</m:t>
                        </m:r>
                      </m:sub>
                    </m:sSub>
                  </m:e>
                </m:mr>
              </m:m>
            </m:e>
          </m:d>
          <m:r>
            <m:t>  </m:t>
          </m:r>
          <m:sSub>
            <m:e>
              <m:r>
                <m:t>η</m:t>
              </m:r>
            </m:e>
            <m:sub>
              <m:r>
                <m:rPr>
                  <m:sty m:val="p"/>
                </m:rPr>
                <m:t>min</m:t>
              </m:r>
            </m:sub>
          </m:sSub>
          <m:r>
            <m:rPr>
              <m:sty m:val="p"/>
            </m:rPr>
            <m:t>=</m:t>
          </m:r>
          <m:r>
            <m:t>0.01</m:t>
          </m:r>
          <m:r>
            <m:t> </m:t>
          </m:r>
          <m:sSub>
            <m:e>
              <m:r>
                <m:t>η</m:t>
              </m:r>
            </m:e>
            <m:sub>
              <m:r>
                <m:t>0</m:t>
              </m:r>
            </m:sub>
          </m:sSub>
          <m:r>
            <m:rPr>
              <m:sty m:val="p"/>
            </m:rPr>
            <m:t>.</m:t>
          </m:r>
        </m:oMath>
      </m:oMathPara>
    </w:p>
    <w:p>
      <w:pPr>
        <w:pStyle w:val="FirstParagraph"/>
      </w:pPr>
      <w:r>
        <w:t xml:space="preserve">Training length: Massachusetts 100 epochs (55,400 steps), DeepGlobe 40 epochs (87,160 steps) and Ottawa 200 epochs (9600 steps). One recipe is used for every model; nothing was tuned per model. All runs used single NVIDIA L40S GPUs.</w:t>
      </w:r>
    </w:p>
    <w:bookmarkEnd w:id="92"/>
    <w:bookmarkStart w:id="93" w:name="evaluation-metrics"/>
    <w:p>
      <w:pPr>
        <w:pStyle w:val="Heading1"/>
      </w:pPr>
      <w:r>
        <w:rPr>
          <w:rStyle w:val="SectionNumber"/>
        </w:rPr>
        <w:t xml:space="preserve">8</w:t>
      </w:r>
      <w:r>
        <w:tab/>
      </w:r>
      <w:r>
        <w:t xml:space="preserve">Evaluation metrics</w:t>
      </w:r>
    </w:p>
    <w:p>
      <w:pPr>
        <w:pStyle w:val="FirstParagraph"/>
      </w:pPr>
      <w:r>
        <w:t xml:space="preserve">All metrics are computed on the stitched full-resolution test images, over valid pixels only, at the validation-selected threshold. Road is the positive class. Let TP, FP, FN and TN be the true positive, false positive, false negative and true negative pixel counts, pooled over all test images.</w:t>
      </w:r>
    </w:p>
    <w:p>
      <w:pPr>
        <w:pStyle w:val="BodyText"/>
      </w:pPr>
      <m:oMathPara>
        <m:oMathParaPr>
          <m:jc m:val="center"/>
        </m:oMathParaPr>
        <m:oMath>
          <m:r>
            <m:rPr>
              <m:nor/>
              <m:sty m:val="p"/>
            </m:rPr>
            <m:t>Accuracy</m:t>
          </m:r>
          <m:r>
            <m:rPr>
              <m:sty m:val="p"/>
            </m:rPr>
            <m:t>=</m:t>
          </m:r>
          <m:f>
            <m:fPr>
              <m:type m:val="bar"/>
            </m:fPr>
            <m:num>
              <m:r>
                <m:t>T</m:t>
              </m:r>
              <m:r>
                <m:t>P</m:t>
              </m:r>
              <m:r>
                <m:rPr>
                  <m:sty m:val="p"/>
                </m:rPr>
                <m:t>+</m:t>
              </m:r>
              <m:r>
                <m:t>T</m:t>
              </m:r>
              <m:r>
                <m:t>N</m:t>
              </m:r>
            </m:num>
            <m:den>
              <m:r>
                <m:t>T</m:t>
              </m:r>
              <m:r>
                <m:t>P</m:t>
              </m:r>
              <m:r>
                <m:rPr>
                  <m:sty m:val="p"/>
                </m:rPr>
                <m:t>+</m:t>
              </m:r>
              <m:r>
                <m:t>T</m:t>
              </m:r>
              <m:r>
                <m:t>N</m:t>
              </m:r>
              <m:r>
                <m:rPr>
                  <m:sty m:val="p"/>
                </m:rPr>
                <m:t>+</m:t>
              </m:r>
              <m:r>
                <m:t>F</m:t>
              </m:r>
              <m:r>
                <m:t>P</m:t>
              </m:r>
              <m:r>
                <m:rPr>
                  <m:sty m:val="p"/>
                </m:rPr>
                <m:t>+</m:t>
              </m:r>
              <m:r>
                <m:t>F</m:t>
              </m:r>
              <m:r>
                <m:t>N</m:t>
              </m:r>
            </m:den>
          </m:f>
          <m:r>
            <m:rPr>
              <m:sty m:val="p"/>
            </m:rPr>
            <m:t>,</m:t>
          </m:r>
          <m:r>
            <m:t>  </m:t>
          </m:r>
          <m:r>
            <m:rPr>
              <m:nor/>
              <m:sty m:val="p"/>
            </m:rPr>
            <m:t>Precision</m:t>
          </m:r>
          <m:r>
            <m:rPr>
              <m:sty m:val="p"/>
            </m:rPr>
            <m:t>=</m:t>
          </m:r>
          <m:f>
            <m:fPr>
              <m:type m:val="bar"/>
            </m:fPr>
            <m:num>
              <m:r>
                <m:t>T</m:t>
              </m:r>
              <m:r>
                <m:t>P</m:t>
              </m:r>
            </m:num>
            <m:den>
              <m:r>
                <m:t>T</m:t>
              </m:r>
              <m:r>
                <m:t>P</m:t>
              </m:r>
              <m:r>
                <m:rPr>
                  <m:sty m:val="p"/>
                </m:rPr>
                <m:t>+</m:t>
              </m:r>
              <m:r>
                <m:t>F</m:t>
              </m:r>
              <m:r>
                <m:t>P</m:t>
              </m:r>
            </m:den>
          </m:f>
          <m:r>
            <m:rPr>
              <m:sty m:val="p"/>
            </m:rPr>
            <m:t>,</m:t>
          </m:r>
          <m:r>
            <m:t>  </m:t>
          </m:r>
          <m:r>
            <m:rPr>
              <m:nor/>
              <m:sty m:val="p"/>
            </m:rPr>
            <m:t>Recall</m:t>
          </m:r>
          <m:r>
            <m:rPr>
              <m:sty m:val="p"/>
            </m:rPr>
            <m:t>=</m:t>
          </m:r>
          <m:f>
            <m:fPr>
              <m:type m:val="bar"/>
            </m:fPr>
            <m:num>
              <m:r>
                <m:t>T</m:t>
              </m:r>
              <m:r>
                <m:t>P</m:t>
              </m:r>
            </m:num>
            <m:den>
              <m:r>
                <m:t>T</m:t>
              </m:r>
              <m:r>
                <m:t>P</m:t>
              </m:r>
              <m:r>
                <m:rPr>
                  <m:sty m:val="p"/>
                </m:rPr>
                <m:t>+</m:t>
              </m:r>
              <m:r>
                <m:t>F</m:t>
              </m:r>
              <m:r>
                <m:t>N</m:t>
              </m:r>
            </m:den>
          </m:f>
        </m:oMath>
      </m:oMathPara>
    </w:p>
    <w:p>
      <w:pPr>
        <w:pStyle w:val="FirstParagraph"/>
      </w:pPr>
      <m:oMathPara>
        <m:oMathParaPr>
          <m:jc m:val="center"/>
        </m:oMathParaPr>
        <m:oMath>
          <m:sSub>
            <m:e>
              <m:r>
                <m:t>F</m:t>
              </m:r>
            </m:e>
            <m:sub>
              <m:r>
                <m:t>β</m:t>
              </m:r>
            </m:sub>
          </m:sSub>
          <m:r>
            <m:rPr>
              <m:sty m:val="p"/>
            </m:rPr>
            <m:t>=</m:t>
          </m:r>
          <m:f>
            <m:fPr>
              <m:type m:val="bar"/>
            </m:fPr>
            <m:num>
              <m:r>
                <m:rPr>
                  <m:sty m:val="p"/>
                </m:rPr>
                <m:t>(</m:t>
              </m:r>
              <m:r>
                <m:t>1</m:t>
              </m:r>
              <m:r>
                <m:rPr>
                  <m:sty m:val="p"/>
                </m:rPr>
                <m:t>+</m:t>
              </m:r>
              <m:sSup>
                <m:e>
                  <m:r>
                    <m:t>β</m:t>
                  </m:r>
                </m:e>
                <m:sup>
                  <m:r>
                    <m:t>2</m:t>
                  </m:r>
                </m:sup>
              </m:sSup>
              <m:r>
                <m:rPr>
                  <m:sty m:val="p"/>
                </m:rPr>
                <m:t>)</m:t>
              </m:r>
              <m:r>
                <m:t> </m:t>
              </m:r>
              <m:r>
                <m:t>T</m:t>
              </m:r>
              <m:r>
                <m:t>P</m:t>
              </m:r>
            </m:num>
            <m:den>
              <m:r>
                <m:rPr>
                  <m:sty m:val="p"/>
                </m:rPr>
                <m:t>(</m:t>
              </m:r>
              <m:r>
                <m:t>1</m:t>
              </m:r>
              <m:r>
                <m:rPr>
                  <m:sty m:val="p"/>
                </m:rPr>
                <m:t>+</m:t>
              </m:r>
              <m:sSup>
                <m:e>
                  <m:r>
                    <m:t>β</m:t>
                  </m:r>
                </m:e>
                <m:sup>
                  <m:r>
                    <m:t>2</m:t>
                  </m:r>
                </m:sup>
              </m:sSup>
              <m:r>
                <m:rPr>
                  <m:sty m:val="p"/>
                </m:rPr>
                <m:t>)</m:t>
              </m:r>
              <m:r>
                <m:t> </m:t>
              </m:r>
              <m:r>
                <m:t>T</m:t>
              </m:r>
              <m:r>
                <m:t>P</m:t>
              </m:r>
              <m:r>
                <m:rPr>
                  <m:sty m:val="p"/>
                </m:rPr>
                <m:t>+</m:t>
              </m:r>
              <m:sSup>
                <m:e>
                  <m:r>
                    <m:t>β</m:t>
                  </m:r>
                </m:e>
                <m:sup>
                  <m:r>
                    <m:t>2</m:t>
                  </m:r>
                </m:sup>
              </m:sSup>
              <m:r>
                <m:t> </m:t>
              </m:r>
              <m:r>
                <m:t>F</m:t>
              </m:r>
              <m:r>
                <m:t>N</m:t>
              </m:r>
              <m:r>
                <m:rPr>
                  <m:sty m:val="p"/>
                </m:rPr>
                <m:t>+</m:t>
              </m:r>
              <m:r>
                <m:t>F</m:t>
              </m:r>
              <m:r>
                <m:t>P</m:t>
              </m:r>
            </m:den>
          </m:f>
          <m:r>
            <m:rPr>
              <m:sty m:val="p"/>
            </m:rPr>
            <m:t>,</m:t>
          </m:r>
          <m:r>
            <m:t>  </m:t>
          </m:r>
          <m:sSub>
            <m:e>
              <m:r>
                <m:t>F</m:t>
              </m:r>
            </m:e>
            <m:sub>
              <m:r>
                <m:t>1</m:t>
              </m:r>
            </m:sub>
          </m:sSub>
          <m:r>
            <m:rPr>
              <m:sty m:val="p"/>
            </m:rPr>
            <m:t>=</m:t>
          </m:r>
          <m:f>
            <m:fPr>
              <m:type m:val="bar"/>
            </m:fPr>
            <m:num>
              <m:r>
                <m:t>2</m:t>
              </m:r>
              <m:r>
                <m:t> </m:t>
              </m:r>
              <m:r>
                <m:t>T</m:t>
              </m:r>
              <m:r>
                <m:t>P</m:t>
              </m:r>
            </m:num>
            <m:den>
              <m:r>
                <m:t>2</m:t>
              </m:r>
              <m:r>
                <m:t> </m:t>
              </m:r>
              <m:r>
                <m:t>T</m:t>
              </m:r>
              <m:r>
                <m:t>P</m:t>
              </m:r>
              <m:r>
                <m:rPr>
                  <m:sty m:val="p"/>
                </m:rPr>
                <m:t>+</m:t>
              </m:r>
              <m:r>
                <m:t>F</m:t>
              </m:r>
              <m:r>
                <m:t>N</m:t>
              </m:r>
              <m:r>
                <m:rPr>
                  <m:sty m:val="p"/>
                </m:rPr>
                <m:t>+</m:t>
              </m:r>
              <m:r>
                <m:t>F</m:t>
              </m:r>
              <m:r>
                <m:t>P</m:t>
              </m:r>
            </m:den>
          </m:f>
        </m:oMath>
      </m:oMathPara>
    </w:p>
    <w:p>
      <w:pPr>
        <w:pStyle w:val="FirstParagraph"/>
      </w:pPr>
      <m:oMathPara>
        <m:oMathParaPr>
          <m:jc m:val="center"/>
        </m:oMathParaPr>
        <m:oMath>
          <m:sSub>
            <m:e>
              <m:r>
                <m:rPr>
                  <m:nor/>
                  <m:sty m:val="p"/>
                </m:rPr>
                <m:t>IoU</m:t>
              </m:r>
            </m:e>
            <m:sub>
              <m:r>
                <m:rPr>
                  <m:nor/>
                  <m:sty m:val="p"/>
                </m:rPr>
                <m:t>road</m:t>
              </m:r>
            </m:sub>
          </m:sSub>
          <m:r>
            <m:rPr>
              <m:sty m:val="p"/>
            </m:rPr>
            <m:t>=</m:t>
          </m:r>
          <m:f>
            <m:fPr>
              <m:type m:val="bar"/>
            </m:fPr>
            <m:num>
              <m:r>
                <m:t>T</m:t>
              </m:r>
              <m:r>
                <m:t>P</m:t>
              </m:r>
            </m:num>
            <m:den>
              <m:r>
                <m:t>T</m:t>
              </m:r>
              <m:r>
                <m:t>P</m:t>
              </m:r>
              <m:r>
                <m:rPr>
                  <m:sty m:val="p"/>
                </m:rPr>
                <m:t>+</m:t>
              </m:r>
              <m:r>
                <m:t>F</m:t>
              </m:r>
              <m:r>
                <m:t>P</m:t>
              </m:r>
              <m:r>
                <m:rPr>
                  <m:sty m:val="p"/>
                </m:rPr>
                <m:t>+</m:t>
              </m:r>
              <m:r>
                <m:t>F</m:t>
              </m:r>
              <m:r>
                <m:t>N</m:t>
              </m:r>
            </m:den>
          </m:f>
          <m:r>
            <m:rPr>
              <m:sty m:val="p"/>
            </m:rPr>
            <m:t>,</m:t>
          </m:r>
          <m:r>
            <m:t>  </m:t>
          </m:r>
          <m:sSub>
            <m:e>
              <m:r>
                <m:rPr>
                  <m:nor/>
                  <m:sty m:val="p"/>
                </m:rPr>
                <m:t>IoU</m:t>
              </m:r>
            </m:e>
            <m:sub>
              <m:r>
                <m:rPr>
                  <m:nor/>
                  <m:sty m:val="p"/>
                </m:rPr>
                <m:t>bg</m:t>
              </m:r>
            </m:sub>
          </m:sSub>
          <m:r>
            <m:rPr>
              <m:sty m:val="p"/>
            </m:rPr>
            <m:t>=</m:t>
          </m:r>
          <m:f>
            <m:fPr>
              <m:type m:val="bar"/>
            </m:fPr>
            <m:num>
              <m:r>
                <m:t>T</m:t>
              </m:r>
              <m:r>
                <m:t>N</m:t>
              </m:r>
            </m:num>
            <m:den>
              <m:r>
                <m:t>T</m:t>
              </m:r>
              <m:r>
                <m:t>N</m:t>
              </m:r>
              <m:r>
                <m:rPr>
                  <m:sty m:val="p"/>
                </m:rPr>
                <m:t>+</m:t>
              </m:r>
              <m:r>
                <m:t>F</m:t>
              </m:r>
              <m:r>
                <m:t>N</m:t>
              </m:r>
              <m:r>
                <m:rPr>
                  <m:sty m:val="p"/>
                </m:rPr>
                <m:t>+</m:t>
              </m:r>
              <m:r>
                <m:t>F</m:t>
              </m:r>
              <m:r>
                <m:t>P</m:t>
              </m:r>
            </m:den>
          </m:f>
          <m:r>
            <m:rPr>
              <m:sty m:val="p"/>
            </m:rPr>
            <m:t>,</m:t>
          </m:r>
          <m:r>
            <m:t>  </m:t>
          </m:r>
          <m:r>
            <m:rPr>
              <m:nor/>
              <m:sty m:val="p"/>
            </m:rPr>
            <m:t>mIoU</m:t>
          </m:r>
          <m:r>
            <m:rPr>
              <m:sty m:val="p"/>
            </m:rPr>
            <m:t>=</m:t>
          </m:r>
          <m:f>
            <m:fPr>
              <m:type m:val="lin"/>
            </m:fPr>
            <m:num>
              <m:r>
                <m:t>1</m:t>
              </m:r>
            </m:num>
            <m:den>
              <m:r>
                <m:t>2</m:t>
              </m:r>
            </m:den>
          </m:f>
          <m:d>
            <m:dPr>
              <m:begChr m:val="("/>
              <m:sepChr m:val=""/>
              <m:endChr m:val=")"/>
              <m:grow/>
            </m:dPr>
            <m:e>
              <m:sSub>
                <m:e>
                  <m:r>
                    <m:rPr>
                      <m:nor/>
                      <m:sty m:val="p"/>
                    </m:rPr>
                    <m:t>IoU</m:t>
                  </m:r>
                </m:e>
                <m:sub>
                  <m:r>
                    <m:rPr>
                      <m:nor/>
                      <m:sty m:val="p"/>
                    </m:rPr>
                    <m:t>road</m:t>
                  </m:r>
                </m:sub>
              </m:sSub>
              <m:r>
                <m:rPr>
                  <m:sty m:val="p"/>
                </m:rPr>
                <m:t>+</m:t>
              </m:r>
              <m:sSub>
                <m:e>
                  <m:r>
                    <m:rPr>
                      <m:nor/>
                      <m:sty m:val="p"/>
                    </m:rPr>
                    <m:t>IoU</m:t>
                  </m:r>
                </m:e>
                <m:sub>
                  <m:r>
                    <m:rPr>
                      <m:nor/>
                      <m:sty m:val="p"/>
                    </m:rPr>
                    <m:t>bg</m:t>
                  </m:r>
                </m:sub>
              </m:sSub>
            </m:e>
          </m:d>
        </m:oMath>
      </m:oMathPara>
    </w:p>
    <w:p>
      <w:pPr>
        <w:pStyle w:val="FirstParagraph"/>
      </w:pPr>
      <w:r>
        <w:rPr>
          <w:b/>
          <w:bCs/>
        </w:rPr>
        <w:t xml:space="preserve">F3 and F4</w:t>
      </w:r>
      <w:r>
        <w:t xml:space="preserve"> </w:t>
      </w:r>
      <w:r>
        <w:t xml:space="preserve">are</w:t>
      </w:r>
      <w:r>
        <w:t xml:space="preserve"> </w:t>
      </w:r>
      <m:oMath>
        <m:sSub>
          <m:e>
            <m:r>
              <m:t>F</m:t>
            </m:r>
          </m:e>
          <m:sub>
            <m:r>
              <m:t>β</m:t>
            </m:r>
          </m:sub>
        </m:sSub>
      </m:oMath>
      <w:r>
        <w:t xml:space="preserve"> </w:t>
      </w:r>
      <w:r>
        <w:t xml:space="preserve">with β = 3 and β = 4. They weight recall β² = 9 and 16 times as heavily as precision, which suits applications where a missed road costs more than a false alarm.</w:t>
      </w:r>
    </w:p>
    <w:p>
      <w:pPr>
        <w:pStyle w:val="BodyText"/>
      </w:pPr>
      <w:r>
        <w:rPr>
          <w:b/>
          <w:bCs/>
        </w:rPr>
        <w:t xml:space="preserve">Secondary metrics.</w:t>
      </w:r>
    </w:p>
    <w:p>
      <w:pPr>
        <w:pStyle w:val="Compact"/>
        <w:numPr>
          <w:ilvl w:val="0"/>
          <w:numId w:val="1017"/>
        </w:numPr>
      </w:pPr>
      <w:r>
        <w:rPr>
          <w:b/>
          <w:bCs/>
        </w:rPr>
        <w:t xml:space="preserve">Per-image IoU</w:t>
      </w:r>
      <w:r>
        <w:t xml:space="preserve"> </w:t>
      </w:r>
      <w:r>
        <w:t xml:space="preserve">is the IoU of each image, averaged over images. It is the unit of the statistical analysis.</w:t>
      </w:r>
    </w:p>
    <w:p>
      <w:pPr>
        <w:pStyle w:val="Compact"/>
        <w:numPr>
          <w:ilvl w:val="0"/>
          <w:numId w:val="1017"/>
        </w:numPr>
      </w:pPr>
      <w:r>
        <w:rPr>
          <w:b/>
          <w:bCs/>
        </w:rPr>
        <w:t xml:space="preserve">Relaxed F1</w:t>
      </w:r>
      <w:r>
        <w:t xml:space="preserve"> </w:t>
      </w:r>
      <w:r>
        <w:t xml:space="preserve">[2] counts a predicted road pixel as correct if a true road pixel lies within ρ = 3 px, and vice versa.</w:t>
      </w:r>
    </w:p>
    <w:p>
      <w:pPr>
        <w:pStyle w:val="Compact"/>
        <w:numPr>
          <w:ilvl w:val="0"/>
          <w:numId w:val="1017"/>
        </w:numPr>
      </w:pPr>
      <w:r>
        <w:rPr>
          <w:b/>
          <w:bCs/>
        </w:rPr>
        <w:t xml:space="preserve">clDice</w:t>
      </w:r>
      <w:r>
        <w:t xml:space="preserve"> </w:t>
      </w:r>
      <w:r>
        <w:t xml:space="preserve">[8] is the overlap of skeletons.</w:t>
      </w:r>
    </w:p>
    <w:p>
      <w:pPr>
        <w:pStyle w:val="Compact"/>
        <w:numPr>
          <w:ilvl w:val="0"/>
          <w:numId w:val="1017"/>
        </w:numPr>
      </w:pPr>
      <w:r>
        <w:rPr>
          <w:b/>
          <w:bCs/>
        </w:rPr>
        <w:t xml:space="preserve">APLS</w:t>
      </w:r>
      <w:r>
        <w:t xml:space="preserve"> </w:t>
      </w:r>
      <w:r>
        <w:t xml:space="preserve">[9] compares shortest-path lengths between graphs built from the predicted and true skeletons (500 node pairs per direction, 8 px snapping).</w:t>
      </w:r>
    </w:p>
    <w:p>
      <w:pPr>
        <w:pStyle w:val="Explainer"/>
      </w:pPr>
      <w:r>
        <w:rPr>
          <w:b/>
          <w:bCs/>
        </w:rPr>
        <w:t xml:space="preserve">Worked example: one real test image</w:t>
      </w:r>
      <w:r>
        <w:t xml:space="preserve"> </w:t>
      </w:r>
      <w:r>
        <w:t xml:space="preserve">(DeepGlobe image 101296, model R0, seed 0). The image has 1,048,576 pixels, and the run scored TP = 10,961, FP = 859 and FN = 579, so TN = 1,036,177.</w:t>
      </w:r>
    </w:p>
    <w:p>
      <w:pPr>
        <w:pStyle w:val="Explainer"/>
      </w:pPr>
      <w:r>
        <w:t xml:space="preserve">• Precision = 10,961 / 11,820 =</w:t>
      </w:r>
      <w:r>
        <w:t xml:space="preserve"> </w:t>
      </w:r>
      <w:r>
        <w:rPr>
          <w:b/>
          <w:bCs/>
        </w:rPr>
        <w:t xml:space="preserve">0.9273</w:t>
      </w:r>
      <w:r>
        <w:t xml:space="preserve">: 93% of the pixels called road are road.</w:t>
      </w:r>
    </w:p>
    <w:p>
      <w:pPr>
        <w:pStyle w:val="Explainer"/>
      </w:pPr>
      <w:r>
        <w:t xml:space="preserve">• Recall = 10,961 / 11,540 =</w:t>
      </w:r>
      <w:r>
        <w:t xml:space="preserve"> </w:t>
      </w:r>
      <w:r>
        <w:rPr>
          <w:b/>
          <w:bCs/>
        </w:rPr>
        <w:t xml:space="preserve">0.9498</w:t>
      </w:r>
      <w:r>
        <w:t xml:space="preserve">: 95% of the road was found.</w:t>
      </w:r>
    </w:p>
    <w:p>
      <w:pPr>
        <w:pStyle w:val="Explainer"/>
      </w:pPr>
      <w:r>
        <w:t xml:space="preserve">• F1 = 21,922 / 23,360 =</w:t>
      </w:r>
      <w:r>
        <w:t xml:space="preserve"> </w:t>
      </w:r>
      <w:r>
        <w:rPr>
          <w:b/>
          <w:bCs/>
        </w:rPr>
        <w:t xml:space="preserve">0.9384</w:t>
      </w:r>
      <w:r>
        <w:t xml:space="preserve">. F3 =</w:t>
      </w:r>
      <w:r>
        <w:t xml:space="preserve"> </w:t>
      </w:r>
      <w:r>
        <w:rPr>
          <w:b/>
          <w:bCs/>
        </w:rPr>
        <w:t xml:space="preserve">0.9475</w:t>
      </w:r>
      <w:r>
        <w:t xml:space="preserve"> </w:t>
      </w:r>
      <w:r>
        <w:t xml:space="preserve">and F4 =</w:t>
      </w:r>
      <w:r>
        <w:t xml:space="preserve"> </w:t>
      </w:r>
      <w:r>
        <w:rPr>
          <w:b/>
          <w:bCs/>
        </w:rPr>
        <w:t xml:space="preserve">0.9485</w:t>
      </w:r>
      <w:r>
        <w:t xml:space="preserve"> </w:t>
      </w:r>
      <w:r>
        <w:t xml:space="preserve">sit closer to the recall.</w:t>
      </w:r>
    </w:p>
    <w:p>
      <w:pPr>
        <w:pStyle w:val="Explainer"/>
      </w:pPr>
      <w:r>
        <w:t xml:space="preserve">• IoU = 10,961 / 12,399 =</w:t>
      </w:r>
      <w:r>
        <w:t xml:space="preserve"> </w:t>
      </w:r>
      <w:r>
        <w:rPr>
          <w:b/>
          <w:bCs/>
        </w:rPr>
        <w:t xml:space="preserve">0.8840</w:t>
      </w:r>
      <w:r>
        <w:t xml:space="preserve">: the overlap divided by the union of predicted and true road.</w:t>
      </w:r>
    </w:p>
    <w:p>
      <w:pPr>
        <w:pStyle w:val="Explainer"/>
      </w:pPr>
      <w:r>
        <w:t xml:space="preserve">• Accuracy =</w:t>
      </w:r>
      <w:r>
        <w:t xml:space="preserve"> </w:t>
      </w:r>
      <w:r>
        <w:rPr>
          <w:b/>
          <w:bCs/>
        </w:rPr>
        <w:t xml:space="preserve">0.9986</w:t>
      </w:r>
      <w:r>
        <w:t xml:space="preserve">, IoU_bg =</w:t>
      </w:r>
      <w:r>
        <w:t xml:space="preserve"> </w:t>
      </w:r>
      <w:r>
        <w:rPr>
          <w:b/>
          <w:bCs/>
        </w:rPr>
        <w:t xml:space="preserve">0.9986</w:t>
      </w:r>
      <w:r>
        <w:t xml:space="preserve">, mIoU =</w:t>
      </w:r>
      <w:r>
        <w:t xml:space="preserve"> </w:t>
      </w:r>
      <w:r>
        <w:rPr>
          <w:b/>
          <w:bCs/>
        </w:rPr>
        <w:t xml:space="preserve">0.9413</w:t>
      </w:r>
      <w:r>
        <w:t xml:space="preserve">.</w:t>
      </w:r>
    </w:p>
    <w:p>
      <w:pPr>
        <w:pStyle w:val="Explainer"/>
      </w:pPr>
      <w:r>
        <w:rPr>
          <w:b/>
          <w:bCs/>
        </w:rPr>
        <w:t xml:space="preserve">Why accuracy is misleading here.</w:t>
      </w:r>
      <w:r>
        <w:t xml:space="preserve"> </w:t>
      </w:r>
      <w:r>
        <w:t xml:space="preserve">A model that predicts</w:t>
      </w:r>
      <w:r>
        <w:t xml:space="preserve"> </w:t>
      </w:r>
      <w:r>
        <w:rPr>
          <w:i/>
          <w:iCs/>
        </w:rPr>
        <w:t xml:space="preserve">no road at all</w:t>
      </w:r>
      <w:r>
        <w:t xml:space="preserve"> </w:t>
      </w:r>
      <w:r>
        <w:t xml:space="preserve">on this image would score accuracy 1 − 11,540/1,048,576 =</w:t>
      </w:r>
      <w:r>
        <w:t xml:space="preserve"> </w:t>
      </w:r>
      <w:r>
        <w:rPr>
          <w:b/>
          <w:bCs/>
        </w:rPr>
        <w:t xml:space="preserve">0.9890</w:t>
      </w:r>
      <w:r>
        <w:t xml:space="preserve">, close to the real model’s 0.9986, but its road IoU would be</w:t>
      </w:r>
      <w:r>
        <w:t xml:space="preserve"> </w:t>
      </w:r>
      <w:r>
        <w:rPr>
          <w:b/>
          <w:bCs/>
        </w:rPr>
        <w:t xml:space="preserve">0</w:t>
      </w:r>
      <w:r>
        <w:t xml:space="preserve">. Because about 96% of pixels are background, accuracy and mIoU are high for every model. Road IoU and F1 are the numbers that separate models.</w:t>
      </w:r>
    </w:p>
    <w:bookmarkEnd w:id="93"/>
    <w:bookmarkStart w:id="101" w:name="statistical-analysis"/>
    <w:p>
      <w:pPr>
        <w:pStyle w:val="Heading1"/>
      </w:pPr>
      <w:r>
        <w:rPr>
          <w:rStyle w:val="SectionNumber"/>
        </w:rPr>
        <w:t xml:space="preserve">9</w:t>
      </w:r>
      <w:r>
        <w:tab/>
      </w:r>
      <w:r>
        <w:t xml:space="preserve">Statistical analysis</w:t>
      </w:r>
    </w:p>
    <w:bookmarkStart w:id="94" w:name="why-statistics-are-needed"/>
    <w:p>
      <w:pPr>
        <w:pStyle w:val="Heading2"/>
      </w:pPr>
      <w:r>
        <w:rPr>
          <w:rStyle w:val="SectionNumber"/>
        </w:rPr>
        <w:t xml:space="preserve">9.1</w:t>
      </w:r>
      <w:r>
        <w:tab/>
      </w:r>
      <w:r>
        <w:t xml:space="preserve">Why statistics are needed</w:t>
      </w:r>
    </w:p>
    <w:p>
      <w:pPr>
        <w:pStyle w:val="FirstParagraph"/>
      </w:pPr>
      <w:r>
        <w:t xml:space="preserve">Training is random: different seeds give different initial head weights, crop orders and augmentation draws. On DeepGlobe the pooled IoU of R0 varies by ±0.0023 between seeds, a third of the GA gain. A single run of each model therefore cannot tell a real difference of a few thousandths from luck. Figure 16 (Section 10.7) shows the same problem at the level of one image, where a single crop can favour either model.</w:t>
      </w:r>
    </w:p>
    <w:bookmarkEnd w:id="94"/>
    <w:bookmarkStart w:id="98" w:name="the-effect-and-its-two-intervals"/>
    <w:p>
      <w:pPr>
        <w:pStyle w:val="Heading2"/>
      </w:pPr>
      <w:r>
        <w:rPr>
          <w:rStyle w:val="SectionNumber"/>
        </w:rPr>
        <w:t xml:space="preserve">9.2</w:t>
      </w:r>
      <w:r>
        <w:tab/>
      </w:r>
      <w:r>
        <w:t xml:space="preserve">The effect and its two intervals</w:t>
      </w:r>
    </w:p>
    <w:p>
      <w:pPr>
        <w:pStyle w:val="FirstParagraph"/>
      </w:pPr>
      <w:r>
        <w:t xml:space="preserve">Let</w:t>
      </w:r>
      <w:r>
        <w:t xml:space="preserve"> </w:t>
      </w:r>
      <m:oMath>
        <m:sSub>
          <m:e>
            <m:r>
              <m:t>u</m:t>
            </m:r>
          </m:e>
          <m:sub>
            <m:r>
              <m:t>a</m:t>
            </m:r>
            <m:r>
              <m:rPr>
                <m:sty m:val="p"/>
              </m:rPr>
              <m:t>,</m:t>
            </m:r>
            <m:r>
              <m:t>s</m:t>
            </m:r>
            <m:r>
              <m:rPr>
                <m:sty m:val="p"/>
              </m:rPr>
              <m:t>,</m:t>
            </m:r>
            <m:r>
              <m:t>i</m:t>
            </m:r>
          </m:sub>
        </m:sSub>
      </m:oMath>
      <w:r>
        <w:t xml:space="preserve"> </w:t>
      </w:r>
      <w:r>
        <w:t xml:space="preserve">be the test IoU of image</w:t>
      </w:r>
      <w:r>
        <w:t xml:space="preserve"> </w:t>
      </w:r>
      <m:oMath>
        <m:r>
          <m:t>i</m:t>
        </m:r>
      </m:oMath>
      <w:r>
        <w:t xml:space="preserve"> </w:t>
      </w:r>
      <w:r>
        <w:t xml:space="preserve">for model (arm)</w:t>
      </w:r>
      <w:r>
        <w:t xml:space="preserve"> </w:t>
      </w:r>
      <m:oMath>
        <m:r>
          <m:t>a</m:t>
        </m:r>
      </m:oMath>
      <w:r>
        <w:t xml:space="preserve"> </w:t>
      </w:r>
      <w:r>
        <w:t xml:space="preserve">and seed</w:t>
      </w:r>
      <w:r>
        <w:t xml:space="preserve"> </w:t>
      </w:r>
      <m:oMath>
        <m:r>
          <m:t>s</m:t>
        </m:r>
      </m:oMath>
      <w:r>
        <w:t xml:space="preserve">. The effect of a comparison model over a baseline is the mean per-image difference</w:t>
      </w:r>
    </w:p>
    <w:p>
      <w:pPr>
        <w:pStyle w:val="BodyText"/>
      </w:pPr>
      <m:oMathPara>
        <m:oMathParaPr>
          <m:jc m:val="center"/>
        </m:oMathParaPr>
        <m:oMath>
          <m:acc>
            <m:accPr>
              <m:chr m:val="̂"/>
            </m:accPr>
            <m:e>
              <m:r>
                <m:rPr>
                  <m:sty m:val="p"/>
                </m:rPr>
                <m:t>Δ</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sSub>
                    <m:e>
                      <m:acc>
                        <m:accPr>
                          <m:chr m:val="‾"/>
                        </m:accPr>
                        <m:e>
                          <m:r>
                            <m:t>u</m:t>
                          </m:r>
                        </m:e>
                      </m:acc>
                    </m:e>
                    <m:sub>
                      <m:r>
                        <m:t>1</m:t>
                      </m:r>
                      <m:r>
                        <m:rPr>
                          <m:sty m:val="p"/>
                        </m:rPr>
                        <m:t>,</m:t>
                      </m:r>
                      <m:r>
                        <m:t>i</m:t>
                      </m:r>
                    </m:sub>
                  </m:sSub>
                  <m:r>
                    <m:rPr>
                      <m:sty m:val="p"/>
                    </m:rPr>
                    <m:t>−</m:t>
                  </m:r>
                  <m:sSub>
                    <m:e>
                      <m:acc>
                        <m:accPr>
                          <m:chr m:val="‾"/>
                        </m:accPr>
                        <m:e>
                          <m:r>
                            <m:t>u</m:t>
                          </m:r>
                        </m:e>
                      </m:acc>
                    </m:e>
                    <m:sub>
                      <m:r>
                        <m:t>0</m:t>
                      </m:r>
                      <m:r>
                        <m:rPr>
                          <m:sty m:val="p"/>
                        </m:rPr>
                        <m:t>,</m:t>
                      </m:r>
                      <m:r>
                        <m:t>i</m:t>
                      </m:r>
                    </m:sub>
                  </m:sSub>
                </m:e>
              </m:d>
            </m:e>
          </m:nary>
          <m:r>
            <m:rPr>
              <m:sty m:val="p"/>
            </m:rPr>
            <m:t>,</m:t>
          </m:r>
        </m:oMath>
      </m:oMathPara>
    </w:p>
    <w:p>
      <w:pPr>
        <w:pStyle w:val="FirstParagraph"/>
      </w:pPr>
      <w:r>
        <w:t xml:space="preserve">where</w:t>
      </w:r>
      <w:r>
        <w:t xml:space="preserve"> </w:t>
      </w:r>
      <m:oMath>
        <m:sSub>
          <m:e>
            <m:acc>
              <m:accPr>
                <m:chr m:val="‾"/>
              </m:accPr>
              <m:e>
                <m:r>
                  <m:t>u</m:t>
                </m:r>
              </m:e>
            </m:acc>
          </m:e>
          <m:sub>
            <m:r>
              <m:t>a</m:t>
            </m:r>
            <m:r>
              <m:rPr>
                <m:sty m:val="p"/>
              </m:rPr>
              <m:t>,</m:t>
            </m:r>
            <m:r>
              <m:t>i</m:t>
            </m:r>
          </m:sub>
        </m:sSub>
      </m:oMath>
      <w:r>
        <w:t xml:space="preserve"> </w:t>
      </w:r>
      <w:r>
        <w:t xml:space="preserve">is the average over the arm’s seeds. Two 95% intervals are computed.</w:t>
      </w:r>
    </w:p>
    <w:p>
      <w:pPr>
        <w:pStyle w:val="Compact"/>
        <w:numPr>
          <w:ilvl w:val="0"/>
          <w:numId w:val="1018"/>
        </w:numPr>
      </w:pPr>
      <w:r>
        <w:rPr>
          <w:b/>
          <w:bCs/>
        </w:rPr>
        <w:t xml:space="preserve">Two-level bootstrap</w:t>
      </w:r>
      <w:r>
        <w:t xml:space="preserve"> </w:t>
      </w:r>
      <w:r>
        <w:t xml:space="preserve">(B = 10,000, fixed seed). Each replicate (i) re-samples seeds with replacement within each arm, (ii) re-samples the test images with replacement (the same images for both arms), and (iii) recomputes the mean difference. The interval runs from the 2.5th to the 97.5th percentile of the replicates (Figure 14). Re-sampling seeds as well as images targets</w:t>
      </w:r>
      <w:r>
        <w:t xml:space="preserve"> </w:t>
      </w:r>
      <w:r>
        <w:rPr>
          <w:i/>
          <w:iCs/>
        </w:rPr>
        <w:t xml:space="preserve">the training procedure</w:t>
      </w:r>
      <w:r>
        <w:t xml:space="preserve">, not three particular trained networks.</w:t>
      </w:r>
    </w:p>
    <w:p>
      <w:pPr>
        <w:pStyle w:val="Compact"/>
        <w:numPr>
          <w:ilvl w:val="0"/>
          <w:numId w:val="1018"/>
        </w:numPr>
      </w:pPr>
      <w:r>
        <w:rPr>
          <w:b/>
          <w:bCs/>
        </w:rPr>
        <w:t xml:space="preserve">Seed-paired</w:t>
      </w:r>
      <w:r>
        <w:rPr>
          <w:b/>
          <w:bCs/>
        </w:rPr>
        <w:t xml:space="preserve"> </w:t>
      </w:r>
      <w:r>
        <w:rPr>
          <w:b/>
          <w:bCs/>
          <w:i/>
          <w:iCs/>
        </w:rPr>
        <w:t xml:space="preserve">t</w:t>
      </w:r>
      <w:r>
        <w:rPr>
          <w:b/>
          <w:bCs/>
        </w:rPr>
        <w:t xml:space="preserve"> </w:t>
      </w:r>
      <w:r>
        <w:rPr>
          <w:b/>
          <w:bCs/>
        </w:rPr>
        <w:t xml:space="preserve">interval.</w:t>
      </w:r>
      <w:r>
        <w:t xml:space="preserve"> </w:t>
      </w:r>
      <w:r>
        <w:t xml:space="preserve">Seeds are paired by design: the same seed gives the same crop stream and the same shared initial weights. With</w:t>
      </w:r>
      <w:r>
        <w:t xml:space="preserve"> </w:t>
      </w:r>
      <m:oMath>
        <m:sSub>
          <m:e>
            <m:r>
              <m:t>d</m:t>
            </m:r>
          </m:e>
          <m:sub>
            <m:r>
              <m:t>s</m:t>
            </m:r>
          </m:sub>
        </m:sSub>
      </m:oMath>
      <w:r>
        <w:t xml:space="preserve"> </w:t>
      </w:r>
      <w:r>
        <w:t xml:space="preserve">the per-image mean difference at seed</w:t>
      </w:r>
      <w:r>
        <w:t xml:space="preserve"> </w:t>
      </w:r>
      <m:oMath>
        <m:r>
          <m:t>s</m:t>
        </m:r>
      </m:oMath>
      <w:r>
        <w:t xml:space="preserve"> </w:t>
      </w:r>
      <w:r>
        <w:t xml:space="preserve">over the</w:t>
      </w:r>
      <w:r>
        <w:t xml:space="preserve"> </w:t>
      </w:r>
      <m:oMath>
        <m:r>
          <m:t>n</m:t>
        </m:r>
      </m:oMath>
      <w:r>
        <w:t xml:space="preserve"> </w:t>
      </w:r>
      <w:r>
        <w:t xml:space="preserve">common seeds, the interval is</w:t>
      </w:r>
      <w:r>
        <w:t xml:space="preserve"> </w:t>
      </w:r>
      <m:oMath>
        <m:acc>
          <m:accPr>
            <m:chr m:val="‾"/>
          </m:accPr>
          <m:e>
            <m:r>
              <m:t>d</m:t>
            </m:r>
          </m:e>
        </m:acc>
        <m:r>
          <m:rPr>
            <m:sty m:val="p"/>
          </m:rPr>
          <m:t>±</m:t>
        </m:r>
        <m:sSub>
          <m:e>
            <m:r>
              <m:t>t</m:t>
            </m:r>
          </m:e>
          <m:sub>
            <m:r>
              <m:t>0.975</m:t>
            </m:r>
            <m:r>
              <m:rPr>
                <m:sty m:val="p"/>
              </m:rPr>
              <m:t>,</m:t>
            </m:r>
            <m:r>
              <m:t> </m:t>
            </m:r>
            <m:r>
              <m:t>n</m:t>
            </m:r>
            <m:r>
              <m:rPr>
                <m:sty m:val="p"/>
              </m:rPr>
              <m:t>−</m:t>
            </m:r>
            <m:r>
              <m:t>1</m:t>
            </m:r>
          </m:sub>
        </m:sSub>
        <m:r>
          <m:t> </m:t>
        </m:r>
        <m:sSub>
          <m:e>
            <m:r>
              <m:t>s</m:t>
            </m:r>
          </m:e>
          <m:sub>
            <m:r>
              <m:t>d</m:t>
            </m:r>
          </m:sub>
        </m:sSub>
        <m:r>
          <m:rPr>
            <m:sty m:val="p"/>
          </m:rPr>
          <m:t>/</m:t>
        </m:r>
        <m:rad>
          <m:radPr>
            <m:degHide m:val="on"/>
          </m:radPr>
          <m:deg/>
          <m:e>
            <m:r>
              <m:t>n</m:t>
            </m:r>
          </m:e>
        </m:rad>
      </m:oMath>
      <w:r>
        <w:t xml:space="preserve">.</w:t>
      </w:r>
    </w:p>
    <w:p>
      <w:pPr>
        <w:pStyle w:val="CaptionedFigure"/>
      </w:pPr>
      <w:r>
        <w:drawing>
          <wp:inline>
            <wp:extent cx="4937760" cy="2308265"/>
            <wp:effectExtent b="0" l="0" r="0" t="0"/>
            <wp:docPr descr="Figure 14. The two-level bootstrap for GA − R0 on DeepGlobe (10,000 replicates, recomputed here with the analysis code’s own procedure and seed; the interval reproduces the logged one exactly). The point estimate is +0.0073; the 95% interval [+0.0033, +0.0118] excludes zero (red line)." title="" id="96" name="Picture"/>
            <a:graphic>
              <a:graphicData uri="http://schemas.openxmlformats.org/drawingml/2006/picture">
                <pic:pic>
                  <pic:nvPicPr>
                    <pic:cNvPr descr="fig/ex_bootstrap.png" id="97" name="Picture"/>
                    <pic:cNvPicPr>
                      <a:picLocks noChangeArrowheads="1" noChangeAspect="1"/>
                    </pic:cNvPicPr>
                  </pic:nvPicPr>
                  <pic:blipFill>
                    <a:blip r:embed="rId95"/>
                    <a:stretch>
                      <a:fillRect/>
                    </a:stretch>
                  </pic:blipFill>
                  <pic:spPr bwMode="auto">
                    <a:xfrm>
                      <a:off x="0" y="0"/>
                      <a:ext cx="4937760" cy="2308265"/>
                    </a:xfrm>
                    <a:prstGeom prst="rect">
                      <a:avLst/>
                    </a:prstGeom>
                    <a:noFill/>
                    <a:ln w="9525">
                      <a:noFill/>
                      <a:headEnd/>
                      <a:tailEnd/>
                    </a:ln>
                  </pic:spPr>
                </pic:pic>
              </a:graphicData>
            </a:graphic>
          </wp:inline>
        </w:drawing>
      </w:r>
    </w:p>
    <w:p>
      <w:pPr>
        <w:pStyle w:val="ImageCaption"/>
      </w:pPr>
      <w:r>
        <w:rPr>
          <w:b/>
          <w:bCs/>
        </w:rPr>
        <w:t xml:space="preserve">Figure 14. The two-level bootstrap for GA − R0 on DeepGlobe</w:t>
      </w:r>
      <w:r>
        <w:t xml:space="preserve"> </w:t>
      </w:r>
      <w:r>
        <w:t xml:space="preserve">(10,000 replicates, recomputed here with the analysis code’s own procedure and seed; the interval reproduces the logged one exactly). The point estimate is +0.0073; the 95% interval [+0.0033, +0.0118] excludes zero (red line).</w:t>
      </w:r>
    </w:p>
    <w:bookmarkEnd w:id="98"/>
    <w:bookmarkStart w:id="99" w:name="the-pre-specified-decision-rule"/>
    <w:p>
      <w:pPr>
        <w:pStyle w:val="Heading2"/>
      </w:pPr>
      <w:r>
        <w:rPr>
          <w:rStyle w:val="SectionNumber"/>
        </w:rPr>
        <w:t xml:space="preserve">9.3</w:t>
      </w:r>
      <w:r>
        <w:tab/>
      </w:r>
      <w:r>
        <w:t xml:space="preserve">The pre-specified decision rule</w:t>
      </w:r>
    </w:p>
    <w:p>
      <w:pPr>
        <w:pStyle w:val="Compact"/>
        <w:numPr>
          <w:ilvl w:val="0"/>
          <w:numId w:val="1019"/>
        </w:numPr>
      </w:pPr>
      <w:r>
        <w:rPr>
          <w:b/>
          <w:bCs/>
        </w:rPr>
        <w:t xml:space="preserve">Difference</w:t>
      </w:r>
      <w:r>
        <w:t xml:space="preserve"> </w:t>
      </w:r>
      <w:r>
        <w:t xml:space="preserve">—</w:t>
      </w:r>
      <w:r>
        <w:t xml:space="preserve"> </w:t>
      </w:r>
      <w:r>
        <w:rPr>
          <w:i/>
          <w:iCs/>
        </w:rPr>
        <w:t xml:space="preserve">both</w:t>
      </w:r>
      <w:r>
        <w:t xml:space="preserve"> </w:t>
      </w:r>
      <w:r>
        <w:t xml:space="preserve">intervals exclude zero with the same sign.</w:t>
      </w:r>
    </w:p>
    <w:p>
      <w:pPr>
        <w:pStyle w:val="Compact"/>
        <w:numPr>
          <w:ilvl w:val="0"/>
          <w:numId w:val="1019"/>
        </w:numPr>
      </w:pPr>
      <w:r>
        <w:rPr>
          <w:b/>
          <w:bCs/>
        </w:rPr>
        <w:t xml:space="preserve">Inconclusive</w:t>
      </w:r>
      <w:r>
        <w:t xml:space="preserve"> </w:t>
      </w:r>
      <w:r>
        <w:t xml:space="preserve">— exactly one interval excludes zero.</w:t>
      </w:r>
    </w:p>
    <w:p>
      <w:pPr>
        <w:pStyle w:val="Compact"/>
        <w:numPr>
          <w:ilvl w:val="0"/>
          <w:numId w:val="1019"/>
        </w:numPr>
      </w:pPr>
      <w:r>
        <w:rPr>
          <w:b/>
          <w:bCs/>
        </w:rPr>
        <w:t xml:space="preserve">No detected difference</w:t>
      </w:r>
      <w:r>
        <w:t xml:space="preserve"> </w:t>
      </w:r>
      <w:r>
        <w:t xml:space="preserve">— neither interval excludes zero.</w:t>
      </w:r>
    </w:p>
    <w:p>
      <w:pPr>
        <w:pStyle w:val="Explainer"/>
      </w:pPr>
      <w:r>
        <w:rPr>
          <w:b/>
          <w:bCs/>
        </w:rPr>
        <w:t xml:space="preserve">Examples from this study.</w:t>
      </w:r>
    </w:p>
    <w:p>
      <w:pPr>
        <w:pStyle w:val="Explainer"/>
      </w:pPr>
      <w:r>
        <w:t xml:space="preserve">•</w:t>
      </w:r>
      <w:r>
        <w:t xml:space="preserve"> </w:t>
      </w:r>
      <w:r>
        <w:rPr>
          <w:i/>
          <w:iCs/>
        </w:rPr>
        <w:t xml:space="preserve">GA − R0 on DeepGlobe:</w:t>
      </w:r>
      <w:r>
        <w:t xml:space="preserve"> </w:t>
      </w:r>
      <w:r>
        <w:t xml:space="preserve">bootstrap [+0.0033, +0.0118] and</w:t>
      </w:r>
      <w:r>
        <w:t xml:space="preserve"> </w:t>
      </w:r>
      <w:r>
        <w:rPr>
          <w:i/>
          <w:iCs/>
        </w:rPr>
        <w:t xml:space="preserve">t</w:t>
      </w:r>
      <w:r>
        <w:t xml:space="preserve"> </w:t>
      </w:r>
      <w:r>
        <w:t xml:space="preserve">[+0.0011, +0.0135] both exclude zero →</w:t>
      </w:r>
      <w:r>
        <w:t xml:space="preserve"> </w:t>
      </w:r>
      <w:r>
        <w:rPr>
          <w:b/>
          <w:bCs/>
        </w:rPr>
        <w:t xml:space="preserve">difference</w:t>
      </w:r>
      <w:r>
        <w:t xml:space="preserve">.</w:t>
      </w:r>
    </w:p>
    <w:p>
      <w:pPr>
        <w:pStyle w:val="Explainer"/>
      </w:pPr>
      <w:r>
        <w:t xml:space="preserve">•</w:t>
      </w:r>
      <w:r>
        <w:t xml:space="preserve"> </w:t>
      </w:r>
      <w:r>
        <w:rPr>
          <w:i/>
          <w:iCs/>
        </w:rPr>
        <w:t xml:space="preserve">R2 − R0 on DeepGlobe:</w:t>
      </w:r>
      <w:r>
        <w:t xml:space="preserve"> </w:t>
      </w:r>
      <w:r>
        <w:t xml:space="preserve">bootstrap [+0.0001, +0.0084] excludes zero, but</w:t>
      </w:r>
      <w:r>
        <w:t xml:space="preserve"> </w:t>
      </w:r>
      <w:r>
        <w:rPr>
          <w:i/>
          <w:iCs/>
        </w:rPr>
        <w:t xml:space="preserve">t</w:t>
      </w:r>
      <w:r>
        <w:t xml:space="preserve"> </w:t>
      </w:r>
      <w:r>
        <w:t xml:space="preserve">[−0.0059, +0.0137] does not →</w:t>
      </w:r>
      <w:r>
        <w:t xml:space="preserve"> </w:t>
      </w:r>
      <w:r>
        <w:rPr>
          <w:b/>
          <w:bCs/>
        </w:rPr>
        <w:t xml:space="preserve">inconclusive</w:t>
      </w:r>
      <w:r>
        <w:t xml:space="preserve">. The point estimate is positive, but three seeds are not enough to claim it.</w:t>
      </w:r>
    </w:p>
    <w:p>
      <w:pPr>
        <w:pStyle w:val="Explainer"/>
      </w:pPr>
      <w:r>
        <w:t xml:space="preserve">•</w:t>
      </w:r>
      <w:r>
        <w:t xml:space="preserve"> </w:t>
      </w:r>
      <w:r>
        <w:rPr>
          <w:i/>
          <w:iCs/>
        </w:rPr>
        <w:t xml:space="preserve">R1 − R0 on DeepGlobe:</w:t>
      </w:r>
      <w:r>
        <w:t xml:space="preserve"> </w:t>
      </w:r>
      <w:r>
        <w:t xml:space="preserve">bootstrap [−0.0018, +0.0059] and</w:t>
      </w:r>
      <w:r>
        <w:t xml:space="preserve"> </w:t>
      </w:r>
      <w:r>
        <w:rPr>
          <w:i/>
          <w:iCs/>
        </w:rPr>
        <w:t xml:space="preserve">t</w:t>
      </w:r>
      <w:r>
        <w:t xml:space="preserve"> </w:t>
      </w:r>
      <w:r>
        <w:t xml:space="preserve">[−0.0072, +0.0106] both include zero →</w:t>
      </w:r>
      <w:r>
        <w:t xml:space="preserve"> </w:t>
      </w:r>
      <w:r>
        <w:rPr>
          <w:b/>
          <w:bCs/>
        </w:rPr>
        <w:t xml:space="preserve">no detected difference</w:t>
      </w:r>
      <w:r>
        <w:t xml:space="preserve">. The interval also says how large an effect could still be hiding: no more than about +0.006.</w:t>
      </w:r>
    </w:p>
    <w:p>
      <w:pPr>
        <w:pStyle w:val="Explainer"/>
      </w:pPr>
      <w:r>
        <w:t xml:space="preserve">Requiring both intervals makes a claim harder to obtain. That is deliberate: with only three seeds, either interval alone can be optimistic.</w:t>
      </w:r>
    </w:p>
    <w:bookmarkEnd w:id="99"/>
    <w:bookmarkStart w:id="100" w:name="what-was-fixed-in-advance"/>
    <w:p>
      <w:pPr>
        <w:pStyle w:val="Heading2"/>
      </w:pPr>
      <w:r>
        <w:rPr>
          <w:rStyle w:val="SectionNumber"/>
        </w:rPr>
        <w:t xml:space="preserve">9.4</w:t>
      </w:r>
      <w:r>
        <w:tab/>
      </w:r>
      <w:r>
        <w:t xml:space="preserve">What was fixed in advance</w:t>
      </w:r>
    </w:p>
    <w:p>
      <w:pPr>
        <w:pStyle w:val="FirstParagraph"/>
      </w:pPr>
      <w:r>
        <w:t xml:space="preserve">Each campaign’s primary comparison and analysis plan were committed to the code repository before any of its runs were trained:</w:t>
      </w:r>
    </w:p>
    <w:p>
      <w:pPr>
        <w:pStyle w:val="Compact"/>
        <w:numPr>
          <w:ilvl w:val="0"/>
          <w:numId w:val="1020"/>
        </w:numPr>
      </w:pPr>
      <w:r>
        <w:rPr>
          <w:b/>
          <w:bCs/>
        </w:rPr>
        <w:t xml:space="preserve">Study 1:</w:t>
      </w:r>
      <w:r>
        <w:t xml:space="preserve"> </w:t>
      </w:r>
      <w:r>
        <w:t xml:space="preserve">R1 − R0, per dataset.</w:t>
      </w:r>
    </w:p>
    <w:p>
      <w:pPr>
        <w:pStyle w:val="Compact"/>
        <w:numPr>
          <w:ilvl w:val="0"/>
          <w:numId w:val="1020"/>
        </w:numPr>
      </w:pPr>
      <w:r>
        <w:rPr>
          <w:b/>
          <w:bCs/>
        </w:rPr>
        <w:t xml:space="preserve">Study 2:</w:t>
      </w:r>
      <w:r>
        <w:t xml:space="preserve"> </w:t>
      </w:r>
      <w:r>
        <w:t xml:space="preserve">GB − R0, per dataset. Before the DeepGlobe GA results were read, GA − R0 on DeepGlobe was also registered as confirmatory. Follow-ups: GA − R0 on Massachusetts with five seeds; the GAc/GAw attribution with a fixed reading rule; GA − GD on DeepGlobe; GA − R0 on Ottawa with five seeds.</w:t>
      </w:r>
    </w:p>
    <w:p>
      <w:pPr>
        <w:pStyle w:val="Compact"/>
        <w:numPr>
          <w:ilvl w:val="0"/>
          <w:numId w:val="1020"/>
        </w:numPr>
      </w:pPr>
      <w:r>
        <w:rPr>
          <w:b/>
          <w:bCs/>
        </w:rPr>
        <w:t xml:space="preserve">Study 3:</w:t>
      </w:r>
      <w:r>
        <w:t xml:space="preserve"> </w:t>
      </w:r>
      <w:r>
        <w:t xml:space="preserve">GFa − R0, per dataset (the variant was chosen on validation).</w:t>
      </w:r>
    </w:p>
    <w:p>
      <w:pPr>
        <w:pStyle w:val="FirstParagraph"/>
      </w:pPr>
      <w:r>
        <w:t xml:space="preserve">Everything else is secondary and reported without multiplicity correction. The test split of each run was scored once.</w:t>
      </w:r>
    </w:p>
    <w:bookmarkEnd w:id="100"/>
    <w:bookmarkEnd w:id="101"/>
    <w:bookmarkStart w:id="118" w:name="results"/>
    <w:p>
      <w:pPr>
        <w:pStyle w:val="Heading1"/>
      </w:pPr>
      <w:r>
        <w:rPr>
          <w:rStyle w:val="SectionNumber"/>
        </w:rPr>
        <w:t xml:space="preserve">10</w:t>
      </w:r>
      <w:r>
        <w:tab/>
      </w:r>
      <w:r>
        <w:t xml:space="preserve">Results</w:t>
      </w:r>
    </w:p>
    <w:bookmarkStart w:id="105" w:name="overview"/>
    <w:p>
      <w:pPr>
        <w:pStyle w:val="Heading2"/>
      </w:pPr>
      <w:r>
        <w:rPr>
          <w:rStyle w:val="SectionNumber"/>
        </w:rPr>
        <w:t xml:space="preserve">10.1</w:t>
      </w:r>
      <w:r>
        <w:tab/>
      </w:r>
      <w:r>
        <w:t xml:space="preserve">Overview</w:t>
      </w:r>
    </w:p>
    <w:p>
      <w:pPr>
        <w:pStyle w:val="CaptionedFigure"/>
      </w:pPr>
      <w:r>
        <w:drawing>
          <wp:inline>
            <wp:extent cx="5943600" cy="4265136"/>
            <wp:effectExtent b="0" l="0" r="0" t="0"/>
            <wp:docPr descr="Figure 15. Every pre-specified and key secondary comparison. Dots: mean per-image IoU difference. Solid bars: two-level bootstrap 95% interval. Dotted bars: seed-paired t 95% interval. Green: difference; orange: inconclusive; grey: no detected difference." title="" id="103" name="Picture"/>
            <a:graphic>
              <a:graphicData uri="http://schemas.openxmlformats.org/drawingml/2006/picture">
                <pic:pic>
                  <pic:nvPicPr>
                    <pic:cNvPr descr="fig/ex_forest.png" id="104" name="Picture"/>
                    <pic:cNvPicPr>
                      <a:picLocks noChangeArrowheads="1" noChangeAspect="1"/>
                    </pic:cNvPicPr>
                  </pic:nvPicPr>
                  <pic:blipFill>
                    <a:blip r:embed="rId102"/>
                    <a:stretch>
                      <a:fillRect/>
                    </a:stretch>
                  </pic:blipFill>
                  <pic:spPr bwMode="auto">
                    <a:xfrm>
                      <a:off x="0" y="0"/>
                      <a:ext cx="5943600" cy="4265136"/>
                    </a:xfrm>
                    <a:prstGeom prst="rect">
                      <a:avLst/>
                    </a:prstGeom>
                    <a:noFill/>
                    <a:ln w="9525">
                      <a:noFill/>
                      <a:headEnd/>
                      <a:tailEnd/>
                    </a:ln>
                  </pic:spPr>
                </pic:pic>
              </a:graphicData>
            </a:graphic>
          </wp:inline>
        </w:drawing>
      </w:r>
    </w:p>
    <w:p>
      <w:pPr>
        <w:pStyle w:val="ImageCaption"/>
      </w:pPr>
      <w:r>
        <w:rPr>
          <w:b/>
          <w:bCs/>
        </w:rPr>
        <w:t xml:space="preserve">Figure 15. Every pre-specified and key secondary comparison.</w:t>
      </w:r>
      <w:r>
        <w:t xml:space="preserve"> </w:t>
      </w:r>
      <w:r>
        <w:t xml:space="preserve">Dots: mean per-image IoU difference. Solid bars: two-level bootstrap 95% interval. Dotted bars: seed-paired</w:t>
      </w:r>
      <w:r>
        <w:t xml:space="preserve"> </w:t>
      </w:r>
      <w:r>
        <w:rPr>
          <w:i/>
          <w:iCs/>
        </w:rPr>
        <w:t xml:space="preserve">t</w:t>
      </w:r>
      <w:r>
        <w:t xml:space="preserve"> </w:t>
      </w:r>
      <w:r>
        <w:t xml:space="preserve">95% interval. Green: difference; orange: inconclusive; grey: no detected difference.</w:t>
      </w:r>
    </w:p>
    <w:p>
      <w:pPr>
        <w:pStyle w:val="BodyText"/>
      </w:pPr>
      <w:r>
        <w:t xml:space="preserve">Figure 15 summarises the findings.</w:t>
      </w:r>
    </w:p>
    <w:p>
      <w:pPr>
        <w:pStyle w:val="Compact"/>
        <w:numPr>
          <w:ilvl w:val="0"/>
          <w:numId w:val="1021"/>
        </w:numPr>
      </w:pPr>
      <w:r>
        <w:rPr>
          <w:b/>
          <w:bCs/>
        </w:rPr>
        <w:t xml:space="preserve">Wavelets (Study 1).</w:t>
      </w:r>
      <w:r>
        <w:t xml:space="preserve"> </w:t>
      </w:r>
      <w:r>
        <w:t xml:space="preserve">No wavelet or topology variant differs from the control by the pre-specified rule. R2 on DeepGlobe is inconclusive.</w:t>
      </w:r>
    </w:p>
    <w:p>
      <w:pPr>
        <w:pStyle w:val="Compact"/>
        <w:numPr>
          <w:ilvl w:val="0"/>
          <w:numId w:val="1021"/>
        </w:numPr>
      </w:pPr>
      <w:r>
        <w:rPr>
          <w:b/>
          <w:bCs/>
        </w:rPr>
        <w:t xml:space="preserve">Geometric targets (Study 2).</w:t>
      </w:r>
      <w:r>
        <w:t xml:space="preserve"> </w:t>
      </w:r>
      <w:r>
        <w:t xml:space="preserve">GA is confirmed better than R0 on DeepGlobe and better than the prior-work DDT targets. The effect is not detected on Massachusetts or on Ottawa (five seeds each). Drawing the mask (GB) is never better than R0.</w:t>
      </w:r>
    </w:p>
    <w:p>
      <w:pPr>
        <w:pStyle w:val="Compact"/>
        <w:numPr>
          <w:ilvl w:val="0"/>
          <w:numId w:val="1021"/>
        </w:numPr>
      </w:pPr>
      <w:r>
        <w:rPr>
          <w:b/>
          <w:bCs/>
        </w:rPr>
        <w:t xml:space="preserve">Geometry feedback (Study 3).</w:t>
      </w:r>
      <w:r>
        <w:t xml:space="preserve"> </w:t>
      </w:r>
      <w:r>
        <w:t xml:space="preserve">No dataset shows a confirmed gain; DeepGlobe is inconclusive.</w:t>
      </w:r>
    </w:p>
    <w:bookmarkEnd w:id="105"/>
    <w:bookmarkStart w:id="106" w:name="Xea29b217d6c2864486d583f606d1e042342757c"/>
    <w:p>
      <w:pPr>
        <w:pStyle w:val="Heading2"/>
      </w:pPr>
      <w:r>
        <w:rPr>
          <w:rStyle w:val="SectionNumber"/>
        </w:rPr>
        <w:t xml:space="preserve">10.2</w:t>
      </w:r>
      <w:r>
        <w:tab/>
      </w:r>
      <w:r>
        <w:t xml:space="preserve">Pixel metrics: accuracy, precision, recall, F1, F3, F4, IoU, mIoU</w:t>
      </w:r>
    </w:p>
    <w:p>
      <w:pPr>
        <w:pStyle w:val="FirstParagraph"/>
      </w:pPr>
      <w:r>
        <w:t xml:space="preserve">Values are percent, as mean ± standard deviation over seeds;</w:t>
      </w:r>
      <w:r>
        <w:t xml:space="preserve"> </w:t>
      </w:r>
      <w:r>
        <w:rPr>
          <w:i/>
          <w:iCs/>
        </w:rPr>
        <w:t xml:space="preserve">n</w:t>
      </w:r>
      <w:r>
        <w:t xml:space="preserve"> </w:t>
      </w:r>
      <w:r>
        <w:t xml:space="preserve">is the number of seeds.</w:t>
      </w:r>
      <w:r>
        <w:t xml:space="preserve"> </w:t>
      </w:r>
      <w:r>
        <w:rPr>
          <w:b/>
          <w:bCs/>
        </w:rPr>
        <w:t xml:space="preserve">Bold</w:t>
      </w:r>
      <w:r>
        <w:t xml:space="preserve"> </w:t>
      </w:r>
      <w:r>
        <w:t xml:space="preserve">marks the best mean in each column among models with at least three seeds. GFb has a single seed (it was trained only for the validation-based selection).</w:t>
      </w:r>
    </w:p>
    <w:p>
      <w:pPr>
        <w:pStyle w:val="TableCaption"/>
      </w:pPr>
      <w:r>
        <w:t xml:space="preserve">Table 6. DeepGlobe test set (935 images): pooled pixel metrics (%).</w:t>
      </w:r>
    </w:p>
    <w:tbl>
      <w:tblPr>
        <w:tblStyle w:val="Table"/>
        <w:tblW w:type="pct" w:w="5000"/>
        <w:tblLayout w:type="fixed"/>
        <w:tblLook w:firstRow="1" w:lastRow="0" w:firstColumn="0" w:lastColumn="0" w:noHBand="0" w:noVBand="0" w:val="0020"/>
        <w:tblCaption w:val="Table 6. DeepGlobe test set (935 images): pooled pixel metrics (%)."/>
      </w:tblPr>
      <w:tblGrid>
        <w:gridCol w:w="749"/>
        <w:gridCol w:w="321"/>
        <w:gridCol w:w="856"/>
        <w:gridCol w:w="856"/>
        <w:gridCol w:w="856"/>
        <w:gridCol w:w="856"/>
        <w:gridCol w:w="856"/>
        <w:gridCol w:w="856"/>
        <w:gridCol w:w="856"/>
        <w:gridCol w:w="856"/>
      </w:tblGrid>
      <w:tr>
        <w:trPr>
          <w:tblHeader w:val="on"/>
        </w:trPr>
        <w:tc>
          <w:tcPr/>
          <w:p>
            <w:pPr>
              <w:pStyle w:val="TableText"/>
              <w:jc w:val="left"/>
            </w:pPr>
            <w:r>
              <w:t xml:space="preserve">Model</w:t>
            </w:r>
          </w:p>
        </w:tc>
        <w:tc>
          <w:tcPr/>
          <w:p>
            <w:pPr>
              <w:pStyle w:val="TableText"/>
              <w:jc w:val="right"/>
            </w:pPr>
            <w:r>
              <w:t xml:space="preserve">n</w:t>
            </w:r>
          </w:p>
        </w:tc>
        <w:tc>
          <w:tcPr/>
          <w:p>
            <w:pPr>
              <w:pStyle w:val="TableText"/>
              <w:jc w:val="right"/>
            </w:pPr>
            <w:r>
              <w:t xml:space="preserve">Accuracy</w:t>
            </w:r>
          </w:p>
        </w:tc>
        <w:tc>
          <w:tcPr/>
          <w:p>
            <w:pPr>
              <w:pStyle w:val="TableText"/>
              <w:jc w:val="right"/>
            </w:pPr>
            <w:r>
              <w:t xml:space="preserve">Precision</w:t>
            </w:r>
          </w:p>
        </w:tc>
        <w:tc>
          <w:tcPr/>
          <w:p>
            <w:pPr>
              <w:pStyle w:val="TableText"/>
              <w:jc w:val="right"/>
            </w:pPr>
            <w:r>
              <w:t xml:space="preserve">Recall</w:t>
            </w:r>
          </w:p>
        </w:tc>
        <w:tc>
          <w:tcPr/>
          <w:p>
            <w:pPr>
              <w:pStyle w:val="TableText"/>
              <w:jc w:val="right"/>
            </w:pPr>
            <w:r>
              <w:t xml:space="preserve">F1</w:t>
            </w:r>
          </w:p>
        </w:tc>
        <w:tc>
          <w:tcPr/>
          <w:p>
            <w:pPr>
              <w:pStyle w:val="TableText"/>
              <w:jc w:val="right"/>
            </w:pPr>
            <w:r>
              <w:t xml:space="preserve">F3</w:t>
            </w:r>
          </w:p>
        </w:tc>
        <w:tc>
          <w:tcPr/>
          <w:p>
            <w:pPr>
              <w:pStyle w:val="TableText"/>
              <w:jc w:val="right"/>
            </w:pPr>
            <w:r>
              <w:t xml:space="preserve">F4</w:t>
            </w:r>
          </w:p>
        </w:tc>
        <w:tc>
          <w:tcPr/>
          <w:p>
            <w:pPr>
              <w:pStyle w:val="TableText"/>
              <w:jc w:val="right"/>
            </w:pPr>
            <w:r>
              <w:t xml:space="preserve">IoU</w:t>
            </w:r>
          </w:p>
        </w:tc>
        <w:tc>
          <w:tcPr/>
          <w:p>
            <w:pPr>
              <w:pStyle w:val="TableText"/>
              <w:jc w:val="right"/>
            </w:pPr>
            <w:r>
              <w:t xml:space="preserve">mIoU</w:t>
            </w:r>
          </w:p>
        </w:tc>
      </w:tr>
      <w:tr>
        <w:tc>
          <w:tcPr/>
          <w:p>
            <w:pPr>
              <w:pStyle w:val="TableText"/>
              <w:jc w:val="left"/>
            </w:pPr>
            <w:r>
              <w:t xml:space="preserve">U-Net</w:t>
            </w:r>
          </w:p>
        </w:tc>
        <w:tc>
          <w:tcPr/>
          <w:p>
            <w:pPr>
              <w:pStyle w:val="TableText"/>
              <w:jc w:val="right"/>
            </w:pPr>
            <w:r>
              <w:t xml:space="preserve">3</w:t>
            </w:r>
          </w:p>
        </w:tc>
        <w:tc>
          <w:tcPr/>
          <w:p>
            <w:pPr>
              <w:pStyle w:val="TableText"/>
              <w:jc w:val="right"/>
            </w:pPr>
            <w:r>
              <w:t xml:space="preserve">98.27±0.00</w:t>
            </w:r>
          </w:p>
        </w:tc>
        <w:tc>
          <w:tcPr/>
          <w:p>
            <w:pPr>
              <w:pStyle w:val="TableText"/>
              <w:jc w:val="right"/>
            </w:pPr>
            <w:r>
              <w:t xml:space="preserve">77.45±0.17</w:t>
            </w:r>
          </w:p>
        </w:tc>
        <w:tc>
          <w:tcPr/>
          <w:p>
            <w:pPr>
              <w:pStyle w:val="TableText"/>
              <w:jc w:val="right"/>
            </w:pPr>
            <w:r>
              <w:t xml:space="preserve">79.58±0.29</w:t>
            </w:r>
          </w:p>
        </w:tc>
        <w:tc>
          <w:tcPr/>
          <w:p>
            <w:pPr>
              <w:pStyle w:val="TableText"/>
              <w:jc w:val="right"/>
            </w:pPr>
            <w:r>
              <w:t xml:space="preserve">78.50±0.06</w:t>
            </w:r>
          </w:p>
        </w:tc>
        <w:tc>
          <w:tcPr/>
          <w:p>
            <w:pPr>
              <w:pStyle w:val="TableText"/>
              <w:jc w:val="right"/>
            </w:pPr>
            <w:r>
              <w:t xml:space="preserve">79.36±0.24</w:t>
            </w:r>
          </w:p>
        </w:tc>
        <w:tc>
          <w:tcPr/>
          <w:p>
            <w:pPr>
              <w:pStyle w:val="TableText"/>
              <w:jc w:val="right"/>
            </w:pPr>
            <w:r>
              <w:t xml:space="preserve">79.45±0.26</w:t>
            </w:r>
          </w:p>
        </w:tc>
        <w:tc>
          <w:tcPr/>
          <w:p>
            <w:pPr>
              <w:pStyle w:val="TableText"/>
              <w:jc w:val="right"/>
            </w:pPr>
            <w:r>
              <w:t xml:space="preserve">64.61±0.08</w:t>
            </w:r>
          </w:p>
        </w:tc>
        <w:tc>
          <w:tcPr/>
          <w:p>
            <w:pPr>
              <w:pStyle w:val="TableText"/>
              <w:jc w:val="right"/>
            </w:pPr>
            <w:r>
              <w:t xml:space="preserve">81.41±0.04</w:t>
            </w:r>
          </w:p>
        </w:tc>
      </w:tr>
      <w:tr>
        <w:tc>
          <w:tcPr/>
          <w:p>
            <w:pPr>
              <w:pStyle w:val="TableText"/>
              <w:jc w:val="left"/>
            </w:pPr>
            <w:r>
              <w:t xml:space="preserve">D-LinkNet</w:t>
            </w:r>
          </w:p>
        </w:tc>
        <w:tc>
          <w:tcPr/>
          <w:p>
            <w:pPr>
              <w:pStyle w:val="TableText"/>
              <w:jc w:val="right"/>
            </w:pPr>
            <w:r>
              <w:t xml:space="preserve">3</w:t>
            </w:r>
          </w:p>
        </w:tc>
        <w:tc>
          <w:tcPr/>
          <w:p>
            <w:pPr>
              <w:pStyle w:val="TableText"/>
              <w:jc w:val="right"/>
            </w:pPr>
            <w:r>
              <w:t xml:space="preserve">98.40±0.01</w:t>
            </w:r>
          </w:p>
        </w:tc>
        <w:tc>
          <w:tcPr/>
          <w:p>
            <w:pPr>
              <w:pStyle w:val="TableText"/>
              <w:jc w:val="right"/>
            </w:pPr>
            <w:r>
              <w:t xml:space="preserve">79.32±0.63</w:t>
            </w:r>
          </w:p>
        </w:tc>
        <w:tc>
          <w:tcPr/>
          <w:p>
            <w:pPr>
              <w:pStyle w:val="TableText"/>
              <w:jc w:val="right"/>
            </w:pPr>
            <w:r>
              <w:t xml:space="preserve">80.53±0.59</w:t>
            </w:r>
          </w:p>
        </w:tc>
        <w:tc>
          <w:tcPr/>
          <w:p>
            <w:pPr>
              <w:pStyle w:val="TableText"/>
              <w:jc w:val="right"/>
            </w:pPr>
            <w:r>
              <w:t xml:space="preserve">79.92±0.04</w:t>
            </w:r>
          </w:p>
        </w:tc>
        <w:tc>
          <w:tcPr/>
          <w:p>
            <w:pPr>
              <w:pStyle w:val="TableText"/>
              <w:jc w:val="right"/>
            </w:pPr>
            <w:r>
              <w:t xml:space="preserve">80.41±0.47</w:t>
            </w:r>
          </w:p>
        </w:tc>
        <w:tc>
          <w:tcPr/>
          <w:p>
            <w:pPr>
              <w:pStyle w:val="TableText"/>
              <w:jc w:val="right"/>
            </w:pPr>
            <w:r>
              <w:t xml:space="preserve">80.46±0.52</w:t>
            </w:r>
          </w:p>
        </w:tc>
        <w:tc>
          <w:tcPr/>
          <w:p>
            <w:pPr>
              <w:pStyle w:val="TableText"/>
              <w:jc w:val="right"/>
            </w:pPr>
            <w:r>
              <w:t xml:space="preserve">66.55±0.05</w:t>
            </w:r>
          </w:p>
        </w:tc>
        <w:tc>
          <w:tcPr/>
          <w:p>
            <w:pPr>
              <w:pStyle w:val="TableText"/>
              <w:jc w:val="right"/>
            </w:pPr>
            <w:r>
              <w:t xml:space="preserve">82.45±0.03</w:t>
            </w:r>
          </w:p>
        </w:tc>
      </w:tr>
      <w:tr>
        <w:tc>
          <w:tcPr/>
          <w:p>
            <w:pPr>
              <w:pStyle w:val="TableText"/>
              <w:jc w:val="left"/>
            </w:pPr>
            <w:r>
              <w:t xml:space="preserve">R0 (control)</w:t>
            </w:r>
          </w:p>
        </w:tc>
        <w:tc>
          <w:tcPr/>
          <w:p>
            <w:pPr>
              <w:pStyle w:val="TableText"/>
              <w:jc w:val="right"/>
            </w:pPr>
            <w:r>
              <w:t xml:space="preserve">3</w:t>
            </w:r>
          </w:p>
        </w:tc>
        <w:tc>
          <w:tcPr/>
          <w:p>
            <w:pPr>
              <w:pStyle w:val="TableText"/>
              <w:jc w:val="right"/>
            </w:pPr>
            <w:r>
              <w:t xml:space="preserve">98.46±0.02</w:t>
            </w:r>
          </w:p>
        </w:tc>
        <w:tc>
          <w:tcPr/>
          <w:p>
            <w:pPr>
              <w:pStyle w:val="TableText"/>
              <w:jc w:val="right"/>
            </w:pPr>
            <w:r>
              <w:t xml:space="preserve">79.76±0.34</w:t>
            </w:r>
          </w:p>
        </w:tc>
        <w:tc>
          <w:tcPr/>
          <w:p>
            <w:pPr>
              <w:pStyle w:val="TableText"/>
              <w:jc w:val="right"/>
            </w:pPr>
            <w:r>
              <w:t xml:space="preserve">81.75±0.10</w:t>
            </w:r>
          </w:p>
        </w:tc>
        <w:tc>
          <w:tcPr/>
          <w:p>
            <w:pPr>
              <w:pStyle w:val="TableText"/>
              <w:jc w:val="right"/>
            </w:pPr>
            <w:r>
              <w:t xml:space="preserve">80.74±0.16</w:t>
            </w:r>
          </w:p>
        </w:tc>
        <w:tc>
          <w:tcPr/>
          <w:p>
            <w:pPr>
              <w:pStyle w:val="TableText"/>
              <w:jc w:val="right"/>
            </w:pPr>
            <w:r>
              <w:t xml:space="preserve">81.55±0.08</w:t>
            </w:r>
          </w:p>
        </w:tc>
        <w:tc>
          <w:tcPr/>
          <w:p>
            <w:pPr>
              <w:pStyle w:val="TableText"/>
              <w:jc w:val="right"/>
            </w:pPr>
            <w:r>
              <w:t xml:space="preserve">81.63±0.09</w:t>
            </w:r>
          </w:p>
        </w:tc>
        <w:tc>
          <w:tcPr/>
          <w:p>
            <w:pPr>
              <w:pStyle w:val="TableText"/>
              <w:jc w:val="right"/>
            </w:pPr>
            <w:r>
              <w:t xml:space="preserve">67.71±0.23</w:t>
            </w:r>
          </w:p>
        </w:tc>
        <w:tc>
          <w:tcPr/>
          <w:p>
            <w:pPr>
              <w:pStyle w:val="TableText"/>
              <w:jc w:val="right"/>
            </w:pPr>
            <w:r>
              <w:t xml:space="preserve">83.06±0.12</w:t>
            </w:r>
          </w:p>
        </w:tc>
      </w:tr>
      <w:tr>
        <w:tc>
          <w:tcPr/>
          <w:p>
            <w:pPr>
              <w:pStyle w:val="TableText"/>
              <w:jc w:val="left"/>
            </w:pPr>
            <w:r>
              <w:t xml:space="preserve">R1 (DWT)</w:t>
            </w:r>
          </w:p>
        </w:tc>
        <w:tc>
          <w:tcPr/>
          <w:p>
            <w:pPr>
              <w:pStyle w:val="TableText"/>
              <w:jc w:val="right"/>
            </w:pPr>
            <w:r>
              <w:t xml:space="preserve">3</w:t>
            </w:r>
          </w:p>
        </w:tc>
        <w:tc>
          <w:tcPr/>
          <w:p>
            <w:pPr>
              <w:pStyle w:val="TableText"/>
              <w:jc w:val="right"/>
            </w:pPr>
            <w:r>
              <w:t xml:space="preserve">98.47±0.01</w:t>
            </w:r>
          </w:p>
        </w:tc>
        <w:tc>
          <w:tcPr/>
          <w:p>
            <w:pPr>
              <w:pStyle w:val="TableText"/>
              <w:jc w:val="right"/>
            </w:pPr>
            <w:r>
              <w:t xml:space="preserve">80.05±0.15</w:t>
            </w:r>
          </w:p>
        </w:tc>
        <w:tc>
          <w:tcPr/>
          <w:p>
            <w:pPr>
              <w:pStyle w:val="TableText"/>
              <w:jc w:val="right"/>
            </w:pPr>
            <w:r>
              <w:t xml:space="preserve">81.67±0.02</w:t>
            </w:r>
          </w:p>
        </w:tc>
        <w:tc>
          <w:tcPr/>
          <w:p>
            <w:pPr>
              <w:pStyle w:val="TableText"/>
              <w:jc w:val="right"/>
            </w:pPr>
            <w:r>
              <w:t xml:space="preserve">80.85±0.07</w:t>
            </w:r>
          </w:p>
        </w:tc>
        <w:tc>
          <w:tcPr/>
          <w:p>
            <w:pPr>
              <w:pStyle w:val="TableText"/>
              <w:jc w:val="right"/>
            </w:pPr>
            <w:r>
              <w:t xml:space="preserve">81.50±0.02</w:t>
            </w:r>
          </w:p>
        </w:tc>
        <w:tc>
          <w:tcPr/>
          <w:p>
            <w:pPr>
              <w:pStyle w:val="TableText"/>
              <w:jc w:val="right"/>
            </w:pPr>
            <w:r>
              <w:t xml:space="preserve">81.57±0.02</w:t>
            </w:r>
          </w:p>
        </w:tc>
        <w:tc>
          <w:tcPr/>
          <w:p>
            <w:pPr>
              <w:pStyle w:val="TableText"/>
              <w:jc w:val="right"/>
            </w:pPr>
            <w:r>
              <w:t xml:space="preserve">67.85±0.10</w:t>
            </w:r>
          </w:p>
        </w:tc>
        <w:tc>
          <w:tcPr/>
          <w:p>
            <w:pPr>
              <w:pStyle w:val="TableText"/>
              <w:jc w:val="right"/>
            </w:pPr>
            <w:r>
              <w:t xml:space="preserve">83.14±0.05</w:t>
            </w:r>
          </w:p>
        </w:tc>
      </w:tr>
      <w:tr>
        <w:tc>
          <w:tcPr/>
          <w:p>
            <w:pPr>
              <w:pStyle w:val="TableText"/>
              <w:jc w:val="left"/>
            </w:pPr>
            <w:r>
              <w:t xml:space="preserve">R2 (wavelet)</w:t>
            </w:r>
          </w:p>
        </w:tc>
        <w:tc>
          <w:tcPr/>
          <w:p>
            <w:pPr>
              <w:pStyle w:val="TableText"/>
              <w:jc w:val="right"/>
            </w:pPr>
            <w:r>
              <w:t xml:space="preserve">3</w:t>
            </w:r>
          </w:p>
        </w:tc>
        <w:tc>
          <w:tcPr/>
          <w:p>
            <w:pPr>
              <w:pStyle w:val="TableText"/>
              <w:jc w:val="right"/>
            </w:pPr>
            <w:r>
              <w:t xml:space="preserve">98.48±0.01</w:t>
            </w:r>
          </w:p>
        </w:tc>
        <w:tc>
          <w:tcPr/>
          <w:p>
            <w:pPr>
              <w:pStyle w:val="TableText"/>
              <w:jc w:val="right"/>
            </w:pPr>
            <w:r>
              <w:t xml:space="preserve">80.08±0.17</w:t>
            </w:r>
          </w:p>
        </w:tc>
        <w:tc>
          <w:tcPr/>
          <w:p>
            <w:pPr>
              <w:pStyle w:val="TableText"/>
              <w:jc w:val="right"/>
            </w:pPr>
            <w:r>
              <w:t xml:space="preserve">82.17±0.16</w:t>
            </w:r>
          </w:p>
        </w:tc>
        <w:tc>
          <w:tcPr/>
          <w:p>
            <w:pPr>
              <w:pStyle w:val="TableText"/>
              <w:jc w:val="right"/>
            </w:pPr>
            <w:r>
              <w:t xml:space="preserve">81.11±0.08</w:t>
            </w:r>
          </w:p>
        </w:tc>
        <w:tc>
          <w:tcPr/>
          <w:p>
            <w:pPr>
              <w:pStyle w:val="TableText"/>
              <w:jc w:val="right"/>
            </w:pPr>
            <w:r>
              <w:rPr>
                <w:b/>
                <w:bCs/>
              </w:rPr>
              <w:t xml:space="preserve">81.96±0.13</w:t>
            </w:r>
          </w:p>
        </w:tc>
        <w:tc>
          <w:tcPr/>
          <w:p>
            <w:pPr>
              <w:pStyle w:val="TableText"/>
              <w:jc w:val="right"/>
            </w:pPr>
            <w:r>
              <w:t xml:space="preserve">82.05±0.14</w:t>
            </w:r>
          </w:p>
        </w:tc>
        <w:tc>
          <w:tcPr/>
          <w:p>
            <w:pPr>
              <w:pStyle w:val="TableText"/>
              <w:jc w:val="right"/>
            </w:pPr>
            <w:r>
              <w:t xml:space="preserve">68.23±0.11</w:t>
            </w:r>
          </w:p>
        </w:tc>
        <w:tc>
          <w:tcPr/>
          <w:p>
            <w:pPr>
              <w:pStyle w:val="TableText"/>
              <w:jc w:val="right"/>
            </w:pPr>
            <w:r>
              <w:t xml:space="preserve">83.33±0.06</w:t>
            </w:r>
          </w:p>
        </w:tc>
      </w:tr>
      <w:tr>
        <w:tc>
          <w:tcPr/>
          <w:p>
            <w:pPr>
              <w:pStyle w:val="TableText"/>
              <w:jc w:val="left"/>
            </w:pPr>
            <w:r>
              <w:t xml:space="preserve">R3 (+clDice)</w:t>
            </w:r>
          </w:p>
        </w:tc>
        <w:tc>
          <w:tcPr/>
          <w:p>
            <w:pPr>
              <w:pStyle w:val="TableText"/>
              <w:jc w:val="right"/>
            </w:pPr>
            <w:r>
              <w:t xml:space="preserve">3</w:t>
            </w:r>
          </w:p>
        </w:tc>
        <w:tc>
          <w:tcPr/>
          <w:p>
            <w:pPr>
              <w:pStyle w:val="TableText"/>
              <w:jc w:val="right"/>
            </w:pPr>
            <w:r>
              <w:t xml:space="preserve">98.44±0.00</w:t>
            </w:r>
          </w:p>
        </w:tc>
        <w:tc>
          <w:tcPr/>
          <w:p>
            <w:pPr>
              <w:pStyle w:val="TableText"/>
              <w:jc w:val="right"/>
            </w:pPr>
            <w:r>
              <w:t xml:space="preserve">79.59±0.46</w:t>
            </w:r>
          </w:p>
        </w:tc>
        <w:tc>
          <w:tcPr/>
          <w:p>
            <w:pPr>
              <w:pStyle w:val="TableText"/>
              <w:jc w:val="right"/>
            </w:pPr>
            <w:r>
              <w:t xml:space="preserve">81.53±0.66</w:t>
            </w:r>
          </w:p>
        </w:tc>
        <w:tc>
          <w:tcPr/>
          <w:p>
            <w:pPr>
              <w:pStyle w:val="TableText"/>
              <w:jc w:val="right"/>
            </w:pPr>
            <w:r>
              <w:t xml:space="preserve">80.54±0.09</w:t>
            </w:r>
          </w:p>
        </w:tc>
        <w:tc>
          <w:tcPr/>
          <w:p>
            <w:pPr>
              <w:pStyle w:val="TableText"/>
              <w:jc w:val="right"/>
            </w:pPr>
            <w:r>
              <w:t xml:space="preserve">81.33±0.55</w:t>
            </w:r>
          </w:p>
        </w:tc>
        <w:tc>
          <w:tcPr/>
          <w:p>
            <w:pPr>
              <w:pStyle w:val="TableText"/>
              <w:jc w:val="right"/>
            </w:pPr>
            <w:r>
              <w:t xml:space="preserve">81.41±0.59</w:t>
            </w:r>
          </w:p>
        </w:tc>
        <w:tc>
          <w:tcPr/>
          <w:p>
            <w:pPr>
              <w:pStyle w:val="TableText"/>
              <w:jc w:val="right"/>
            </w:pPr>
            <w:r>
              <w:t xml:space="preserve">67.43±0.13</w:t>
            </w:r>
          </w:p>
        </w:tc>
        <w:tc>
          <w:tcPr/>
          <w:p>
            <w:pPr>
              <w:pStyle w:val="TableText"/>
              <w:jc w:val="right"/>
            </w:pPr>
            <w:r>
              <w:t xml:space="preserve">82.91±0.06</w:t>
            </w:r>
          </w:p>
        </w:tc>
      </w:tr>
      <w:tr>
        <w:tc>
          <w:tcPr/>
          <w:p>
            <w:pPr>
              <w:pStyle w:val="TableText"/>
              <w:jc w:val="left"/>
            </w:pPr>
            <w:r>
              <w:t xml:space="preserve">GA</w:t>
            </w:r>
          </w:p>
        </w:tc>
        <w:tc>
          <w:tcPr/>
          <w:p>
            <w:pPr>
              <w:pStyle w:val="TableText"/>
              <w:jc w:val="right"/>
            </w:pPr>
            <w:r>
              <w:t xml:space="preserve">3</w:t>
            </w:r>
          </w:p>
        </w:tc>
        <w:tc>
          <w:tcPr/>
          <w:p>
            <w:pPr>
              <w:pStyle w:val="TableText"/>
              <w:jc w:val="right"/>
            </w:pPr>
            <w:r>
              <w:rPr>
                <w:b/>
                <w:bCs/>
              </w:rPr>
              <w:t xml:space="preserve">98.51±0.01</w:t>
            </w:r>
          </w:p>
        </w:tc>
        <w:tc>
          <w:tcPr/>
          <w:p>
            <w:pPr>
              <w:pStyle w:val="TableText"/>
              <w:jc w:val="right"/>
            </w:pPr>
            <w:r>
              <w:rPr>
                <w:b/>
                <w:bCs/>
              </w:rPr>
              <w:t xml:space="preserve">80.87±0.19</w:t>
            </w:r>
          </w:p>
        </w:tc>
        <w:tc>
          <w:tcPr/>
          <w:p>
            <w:pPr>
              <w:pStyle w:val="TableText"/>
              <w:jc w:val="right"/>
            </w:pPr>
            <w:r>
              <w:t xml:space="preserve">81.86±0.09</w:t>
            </w:r>
          </w:p>
        </w:tc>
        <w:tc>
          <w:tcPr/>
          <w:p>
            <w:pPr>
              <w:pStyle w:val="TableText"/>
              <w:jc w:val="right"/>
            </w:pPr>
            <w:r>
              <w:rPr>
                <w:b/>
                <w:bCs/>
              </w:rPr>
              <w:t xml:space="preserve">81.36±0.05</w:t>
            </w:r>
          </w:p>
        </w:tc>
        <w:tc>
          <w:tcPr/>
          <w:p>
            <w:pPr>
              <w:pStyle w:val="TableText"/>
              <w:jc w:val="right"/>
            </w:pPr>
            <w:r>
              <w:t xml:space="preserve">81.76±0.06</w:t>
            </w:r>
          </w:p>
        </w:tc>
        <w:tc>
          <w:tcPr/>
          <w:p>
            <w:pPr>
              <w:pStyle w:val="TableText"/>
              <w:jc w:val="right"/>
            </w:pPr>
            <w:r>
              <w:t xml:space="preserve">81.80±0.07</w:t>
            </w:r>
          </w:p>
        </w:tc>
        <w:tc>
          <w:tcPr/>
          <w:p>
            <w:pPr>
              <w:pStyle w:val="TableText"/>
              <w:jc w:val="right"/>
            </w:pPr>
            <w:r>
              <w:rPr>
                <w:b/>
                <w:bCs/>
              </w:rPr>
              <w:t xml:space="preserve">68.58±0.07</w:t>
            </w:r>
          </w:p>
        </w:tc>
        <w:tc>
          <w:tcPr/>
          <w:p>
            <w:pPr>
              <w:pStyle w:val="TableText"/>
              <w:jc w:val="right"/>
            </w:pPr>
            <w:r>
              <w:rPr>
                <w:b/>
                <w:bCs/>
              </w:rPr>
              <w:t xml:space="preserve">83.52±0.04</w:t>
            </w:r>
          </w:p>
        </w:tc>
      </w:tr>
      <w:tr>
        <w:tc>
          <w:tcPr/>
          <w:p>
            <w:pPr>
              <w:pStyle w:val="TableText"/>
              <w:jc w:val="left"/>
            </w:pPr>
            <w:r>
              <w:t xml:space="preserve">GB</w:t>
            </w:r>
          </w:p>
        </w:tc>
        <w:tc>
          <w:tcPr/>
          <w:p>
            <w:pPr>
              <w:pStyle w:val="TableText"/>
              <w:jc w:val="right"/>
            </w:pPr>
            <w:r>
              <w:t xml:space="preserve">3</w:t>
            </w:r>
          </w:p>
        </w:tc>
        <w:tc>
          <w:tcPr/>
          <w:p>
            <w:pPr>
              <w:pStyle w:val="TableText"/>
              <w:jc w:val="right"/>
            </w:pPr>
            <w:r>
              <w:t xml:space="preserve">98.45±0.01</w:t>
            </w:r>
          </w:p>
        </w:tc>
        <w:tc>
          <w:tcPr/>
          <w:p>
            <w:pPr>
              <w:pStyle w:val="TableText"/>
              <w:jc w:val="right"/>
            </w:pPr>
            <w:r>
              <w:t xml:space="preserve">79.44±0.47</w:t>
            </w:r>
          </w:p>
        </w:tc>
        <w:tc>
          <w:tcPr/>
          <w:p>
            <w:pPr>
              <w:pStyle w:val="TableText"/>
              <w:jc w:val="right"/>
            </w:pPr>
            <w:r>
              <w:rPr>
                <w:b/>
                <w:bCs/>
              </w:rPr>
              <w:t xml:space="preserve">82.25±0.41</w:t>
            </w:r>
          </w:p>
        </w:tc>
        <w:tc>
          <w:tcPr/>
          <w:p>
            <w:pPr>
              <w:pStyle w:val="TableText"/>
              <w:jc w:val="right"/>
            </w:pPr>
            <w:r>
              <w:t xml:space="preserve">80.82±0.06</w:t>
            </w:r>
          </w:p>
        </w:tc>
        <w:tc>
          <w:tcPr/>
          <w:p>
            <w:pPr>
              <w:pStyle w:val="TableText"/>
              <w:jc w:val="right"/>
            </w:pPr>
            <w:r>
              <w:rPr>
                <w:b/>
                <w:bCs/>
              </w:rPr>
              <w:t xml:space="preserve">81.96±0.32</w:t>
            </w:r>
          </w:p>
        </w:tc>
        <w:tc>
          <w:tcPr/>
          <w:p>
            <w:pPr>
              <w:pStyle w:val="TableText"/>
              <w:jc w:val="right"/>
            </w:pPr>
            <w:r>
              <w:rPr>
                <w:b/>
                <w:bCs/>
              </w:rPr>
              <w:t xml:space="preserve">82.08±0.35</w:t>
            </w:r>
          </w:p>
        </w:tc>
        <w:tc>
          <w:tcPr/>
          <w:p>
            <w:pPr>
              <w:pStyle w:val="TableText"/>
              <w:jc w:val="right"/>
            </w:pPr>
            <w:r>
              <w:t xml:space="preserve">67.81±0.08</w:t>
            </w:r>
          </w:p>
        </w:tc>
        <w:tc>
          <w:tcPr/>
          <w:p>
            <w:pPr>
              <w:pStyle w:val="TableText"/>
              <w:jc w:val="right"/>
            </w:pPr>
            <w:r>
              <w:t xml:space="preserve">83.11±0.05</w:t>
            </w:r>
          </w:p>
        </w:tc>
      </w:tr>
      <w:tr>
        <w:tc>
          <w:tcPr/>
          <w:p>
            <w:pPr>
              <w:pStyle w:val="TableText"/>
              <w:jc w:val="left"/>
            </w:pPr>
            <w:r>
              <w:t xml:space="preserve">GAc</w:t>
            </w:r>
          </w:p>
        </w:tc>
        <w:tc>
          <w:tcPr/>
          <w:p>
            <w:pPr>
              <w:pStyle w:val="TableText"/>
              <w:jc w:val="right"/>
            </w:pPr>
            <w:r>
              <w:t xml:space="preserve">3</w:t>
            </w:r>
          </w:p>
        </w:tc>
        <w:tc>
          <w:tcPr/>
          <w:p>
            <w:pPr>
              <w:pStyle w:val="TableText"/>
              <w:jc w:val="right"/>
            </w:pPr>
            <w:r>
              <w:t xml:space="preserve">98.47±0.00</w:t>
            </w:r>
          </w:p>
        </w:tc>
        <w:tc>
          <w:tcPr/>
          <w:p>
            <w:pPr>
              <w:pStyle w:val="TableText"/>
              <w:jc w:val="right"/>
            </w:pPr>
            <w:r>
              <w:t xml:space="preserve">80.18±0.08</w:t>
            </w:r>
          </w:p>
        </w:tc>
        <w:tc>
          <w:tcPr/>
          <w:p>
            <w:pPr>
              <w:pStyle w:val="TableText"/>
              <w:jc w:val="right"/>
            </w:pPr>
            <w:r>
              <w:t xml:space="preserve">81.50±0.15</w:t>
            </w:r>
          </w:p>
        </w:tc>
        <w:tc>
          <w:tcPr/>
          <w:p>
            <w:pPr>
              <w:pStyle w:val="TableText"/>
              <w:jc w:val="right"/>
            </w:pPr>
            <w:r>
              <w:t xml:space="preserve">80.84±0.06</w:t>
            </w:r>
          </w:p>
        </w:tc>
        <w:tc>
          <w:tcPr/>
          <w:p>
            <w:pPr>
              <w:pStyle w:val="TableText"/>
              <w:jc w:val="right"/>
            </w:pPr>
            <w:r>
              <w:t xml:space="preserve">81.37±0.13</w:t>
            </w:r>
          </w:p>
        </w:tc>
        <w:tc>
          <w:tcPr/>
          <w:p>
            <w:pPr>
              <w:pStyle w:val="TableText"/>
              <w:jc w:val="right"/>
            </w:pPr>
            <w:r>
              <w:t xml:space="preserve">81.42±0.14</w:t>
            </w:r>
          </w:p>
        </w:tc>
        <w:tc>
          <w:tcPr/>
          <w:p>
            <w:pPr>
              <w:pStyle w:val="TableText"/>
              <w:jc w:val="right"/>
            </w:pPr>
            <w:r>
              <w:t xml:space="preserve">67.84±0.08</w:t>
            </w:r>
          </w:p>
        </w:tc>
        <w:tc>
          <w:tcPr/>
          <w:p>
            <w:pPr>
              <w:pStyle w:val="TableText"/>
              <w:jc w:val="right"/>
            </w:pPr>
            <w:r>
              <w:t xml:space="preserve">83.13±0.04</w:t>
            </w:r>
          </w:p>
        </w:tc>
      </w:tr>
      <w:tr>
        <w:tc>
          <w:tcPr/>
          <w:p>
            <w:pPr>
              <w:pStyle w:val="TableText"/>
              <w:jc w:val="left"/>
            </w:pPr>
            <w:r>
              <w:t xml:space="preserve">GAw</w:t>
            </w:r>
          </w:p>
        </w:tc>
        <w:tc>
          <w:tcPr/>
          <w:p>
            <w:pPr>
              <w:pStyle w:val="TableText"/>
              <w:jc w:val="right"/>
            </w:pPr>
            <w:r>
              <w:t xml:space="preserve">3</w:t>
            </w:r>
          </w:p>
        </w:tc>
        <w:tc>
          <w:tcPr/>
          <w:p>
            <w:pPr>
              <w:pStyle w:val="TableText"/>
              <w:jc w:val="right"/>
            </w:pPr>
            <w:r>
              <w:rPr>
                <w:b/>
                <w:bCs/>
              </w:rPr>
              <w:t xml:space="preserve">98.51±0.00</w:t>
            </w:r>
          </w:p>
        </w:tc>
        <w:tc>
          <w:tcPr/>
          <w:p>
            <w:pPr>
              <w:pStyle w:val="TableText"/>
              <w:jc w:val="right"/>
            </w:pPr>
            <w:r>
              <w:t xml:space="preserve">80.69±0.19</w:t>
            </w:r>
          </w:p>
        </w:tc>
        <w:tc>
          <w:tcPr/>
          <w:p>
            <w:pPr>
              <w:pStyle w:val="TableText"/>
              <w:jc w:val="right"/>
            </w:pPr>
            <w:r>
              <w:t xml:space="preserve">81.93±0.18</w:t>
            </w:r>
          </w:p>
        </w:tc>
        <w:tc>
          <w:tcPr/>
          <w:p>
            <w:pPr>
              <w:pStyle w:val="TableText"/>
              <w:jc w:val="right"/>
            </w:pPr>
            <w:r>
              <w:t xml:space="preserve">81.30±0.03</w:t>
            </w:r>
          </w:p>
        </w:tc>
        <w:tc>
          <w:tcPr/>
          <w:p>
            <w:pPr>
              <w:pStyle w:val="TableText"/>
              <w:jc w:val="right"/>
            </w:pPr>
            <w:r>
              <w:t xml:space="preserve">81.80±0.14</w:t>
            </w:r>
          </w:p>
        </w:tc>
        <w:tc>
          <w:tcPr/>
          <w:p>
            <w:pPr>
              <w:pStyle w:val="TableText"/>
              <w:jc w:val="right"/>
            </w:pPr>
            <w:r>
              <w:t xml:space="preserve">81.85±0.16</w:t>
            </w:r>
          </w:p>
        </w:tc>
        <w:tc>
          <w:tcPr/>
          <w:p>
            <w:pPr>
              <w:pStyle w:val="TableText"/>
              <w:jc w:val="right"/>
            </w:pPr>
            <w:r>
              <w:t xml:space="preserve">68.49±0.04</w:t>
            </w:r>
          </w:p>
        </w:tc>
        <w:tc>
          <w:tcPr/>
          <w:p>
            <w:pPr>
              <w:pStyle w:val="TableText"/>
              <w:jc w:val="right"/>
            </w:pPr>
            <w:r>
              <w:t xml:space="preserve">83.47±0.02</w:t>
            </w:r>
          </w:p>
        </w:tc>
      </w:tr>
      <w:tr>
        <w:tc>
          <w:tcPr/>
          <w:p>
            <w:pPr>
              <w:pStyle w:val="TableText"/>
              <w:jc w:val="left"/>
            </w:pPr>
            <w:r>
              <w:t xml:space="preserve">GD (DDT)</w:t>
            </w:r>
          </w:p>
        </w:tc>
        <w:tc>
          <w:tcPr/>
          <w:p>
            <w:pPr>
              <w:pStyle w:val="TableText"/>
              <w:jc w:val="right"/>
            </w:pPr>
            <w:r>
              <w:t xml:space="preserve">3</w:t>
            </w:r>
          </w:p>
        </w:tc>
        <w:tc>
          <w:tcPr/>
          <w:p>
            <w:pPr>
              <w:pStyle w:val="TableText"/>
              <w:jc w:val="right"/>
            </w:pPr>
            <w:r>
              <w:t xml:space="preserve">98.50±0.00</w:t>
            </w:r>
          </w:p>
        </w:tc>
        <w:tc>
          <w:tcPr/>
          <w:p>
            <w:pPr>
              <w:pStyle w:val="TableText"/>
              <w:jc w:val="right"/>
            </w:pPr>
            <w:r>
              <w:t xml:space="preserve">80.55±0.11</w:t>
            </w:r>
          </w:p>
        </w:tc>
        <w:tc>
          <w:tcPr/>
          <w:p>
            <w:pPr>
              <w:pStyle w:val="TableText"/>
              <w:jc w:val="right"/>
            </w:pPr>
            <w:r>
              <w:t xml:space="preserve">81.84±0.04</w:t>
            </w:r>
          </w:p>
        </w:tc>
        <w:tc>
          <w:tcPr/>
          <w:p>
            <w:pPr>
              <w:pStyle w:val="TableText"/>
              <w:jc w:val="right"/>
            </w:pPr>
            <w:r>
              <w:t xml:space="preserve">81.19±0.04</w:t>
            </w:r>
          </w:p>
        </w:tc>
        <w:tc>
          <w:tcPr/>
          <w:p>
            <w:pPr>
              <w:pStyle w:val="TableText"/>
              <w:jc w:val="right"/>
            </w:pPr>
            <w:r>
              <w:t xml:space="preserve">81.71±0.02</w:t>
            </w:r>
          </w:p>
        </w:tc>
        <w:tc>
          <w:tcPr/>
          <w:p>
            <w:pPr>
              <w:pStyle w:val="TableText"/>
              <w:jc w:val="right"/>
            </w:pPr>
            <w:r>
              <w:t xml:space="preserve">81.76±0.03</w:t>
            </w:r>
          </w:p>
        </w:tc>
        <w:tc>
          <w:tcPr/>
          <w:p>
            <w:pPr>
              <w:pStyle w:val="TableText"/>
              <w:jc w:val="right"/>
            </w:pPr>
            <w:r>
              <w:t xml:space="preserve">68.34±0.06</w:t>
            </w:r>
          </w:p>
        </w:tc>
        <w:tc>
          <w:tcPr/>
          <w:p>
            <w:pPr>
              <w:pStyle w:val="TableText"/>
              <w:jc w:val="right"/>
            </w:pPr>
            <w:r>
              <w:t xml:space="preserve">83.39±0.03</w:t>
            </w:r>
          </w:p>
        </w:tc>
      </w:tr>
      <w:tr>
        <w:tc>
          <w:tcPr/>
          <w:p>
            <w:pPr>
              <w:pStyle w:val="TableText"/>
              <w:jc w:val="left"/>
            </w:pPr>
            <w:r>
              <w:t xml:space="preserve">GO (orient.)</w:t>
            </w:r>
          </w:p>
        </w:tc>
        <w:tc>
          <w:tcPr/>
          <w:p>
            <w:pPr>
              <w:pStyle w:val="TableText"/>
              <w:jc w:val="right"/>
            </w:pPr>
            <w:r>
              <w:t xml:space="preserve">3</w:t>
            </w:r>
          </w:p>
        </w:tc>
        <w:tc>
          <w:tcPr/>
          <w:p>
            <w:pPr>
              <w:pStyle w:val="TableText"/>
              <w:jc w:val="right"/>
            </w:pPr>
            <w:r>
              <w:t xml:space="preserve">98.49±0.01</w:t>
            </w:r>
          </w:p>
        </w:tc>
        <w:tc>
          <w:tcPr/>
          <w:p>
            <w:pPr>
              <w:pStyle w:val="TableText"/>
              <w:jc w:val="right"/>
            </w:pPr>
            <w:r>
              <w:t xml:space="preserve">80.39±0.27</w:t>
            </w:r>
          </w:p>
        </w:tc>
        <w:tc>
          <w:tcPr/>
          <w:p>
            <w:pPr>
              <w:pStyle w:val="TableText"/>
              <w:jc w:val="right"/>
            </w:pPr>
            <w:r>
              <w:t xml:space="preserve">81.70±0.67</w:t>
            </w:r>
          </w:p>
        </w:tc>
        <w:tc>
          <w:tcPr/>
          <w:p>
            <w:pPr>
              <w:pStyle w:val="TableText"/>
              <w:jc w:val="right"/>
            </w:pPr>
            <w:r>
              <w:t xml:space="preserve">81.04±0.20</w:t>
            </w:r>
          </w:p>
        </w:tc>
        <w:tc>
          <w:tcPr/>
          <w:p>
            <w:pPr>
              <w:pStyle w:val="TableText"/>
              <w:jc w:val="right"/>
            </w:pPr>
            <w:r>
              <w:t xml:space="preserve">81.57±0.58</w:t>
            </w:r>
          </w:p>
        </w:tc>
        <w:tc>
          <w:tcPr/>
          <w:p>
            <w:pPr>
              <w:pStyle w:val="TableText"/>
              <w:jc w:val="right"/>
            </w:pPr>
            <w:r>
              <w:t xml:space="preserve">81.63±0.62</w:t>
            </w:r>
          </w:p>
        </w:tc>
        <w:tc>
          <w:tcPr/>
          <w:p>
            <w:pPr>
              <w:pStyle w:val="TableText"/>
              <w:jc w:val="right"/>
            </w:pPr>
            <w:r>
              <w:t xml:space="preserve">68.12±0.29</w:t>
            </w:r>
          </w:p>
        </w:tc>
        <w:tc>
          <w:tcPr/>
          <w:p>
            <w:pPr>
              <w:pStyle w:val="TableText"/>
              <w:jc w:val="right"/>
            </w:pPr>
            <w:r>
              <w:t xml:space="preserve">83.28±0.15</w:t>
            </w:r>
          </w:p>
        </w:tc>
      </w:tr>
      <w:tr>
        <w:tc>
          <w:tcPr/>
          <w:p>
            <w:pPr>
              <w:pStyle w:val="TableText"/>
              <w:jc w:val="left"/>
            </w:pPr>
            <w:r>
              <w:t xml:space="preserve">GFa</w:t>
            </w:r>
          </w:p>
        </w:tc>
        <w:tc>
          <w:tcPr/>
          <w:p>
            <w:pPr>
              <w:pStyle w:val="TableText"/>
              <w:jc w:val="right"/>
            </w:pPr>
            <w:r>
              <w:t xml:space="preserve">3</w:t>
            </w:r>
          </w:p>
        </w:tc>
        <w:tc>
          <w:tcPr/>
          <w:p>
            <w:pPr>
              <w:pStyle w:val="TableText"/>
              <w:jc w:val="right"/>
            </w:pPr>
            <w:r>
              <w:rPr>
                <w:b/>
                <w:bCs/>
              </w:rPr>
              <w:t xml:space="preserve">98.51±0.01</w:t>
            </w:r>
          </w:p>
        </w:tc>
        <w:tc>
          <w:tcPr/>
          <w:p>
            <w:pPr>
              <w:pStyle w:val="TableText"/>
              <w:jc w:val="right"/>
            </w:pPr>
            <w:r>
              <w:t xml:space="preserve">80.77±0.32</w:t>
            </w:r>
          </w:p>
        </w:tc>
        <w:tc>
          <w:tcPr/>
          <w:p>
            <w:pPr>
              <w:pStyle w:val="TableText"/>
              <w:jc w:val="right"/>
            </w:pPr>
            <w:r>
              <w:t xml:space="preserve">81.85±0.34</w:t>
            </w:r>
          </w:p>
        </w:tc>
        <w:tc>
          <w:tcPr/>
          <w:p>
            <w:pPr>
              <w:pStyle w:val="TableText"/>
              <w:jc w:val="right"/>
            </w:pPr>
            <w:r>
              <w:t xml:space="preserve">81.31±0.12</w:t>
            </w:r>
          </w:p>
        </w:tc>
        <w:tc>
          <w:tcPr/>
          <w:p>
            <w:pPr>
              <w:pStyle w:val="TableText"/>
              <w:jc w:val="right"/>
            </w:pPr>
            <w:r>
              <w:t xml:space="preserve">81.74±0.28</w:t>
            </w:r>
          </w:p>
        </w:tc>
        <w:tc>
          <w:tcPr/>
          <w:p>
            <w:pPr>
              <w:pStyle w:val="TableText"/>
              <w:jc w:val="right"/>
            </w:pPr>
            <w:r>
              <w:t xml:space="preserve">81.78±0.31</w:t>
            </w:r>
          </w:p>
        </w:tc>
        <w:tc>
          <w:tcPr/>
          <w:p>
            <w:pPr>
              <w:pStyle w:val="TableText"/>
              <w:jc w:val="right"/>
            </w:pPr>
            <w:r>
              <w:t xml:space="preserve">68.50±0.18</w:t>
            </w:r>
          </w:p>
        </w:tc>
        <w:tc>
          <w:tcPr/>
          <w:p>
            <w:pPr>
              <w:pStyle w:val="TableText"/>
              <w:jc w:val="right"/>
            </w:pPr>
            <w:r>
              <w:t xml:space="preserve">83.48±0.09</w:t>
            </w:r>
          </w:p>
        </w:tc>
      </w:tr>
      <w:tr>
        <w:tc>
          <w:tcPr/>
          <w:p>
            <w:pPr>
              <w:pStyle w:val="TableText"/>
              <w:jc w:val="left"/>
            </w:pPr>
            <w:r>
              <w:t xml:space="preserve">GFb</w:t>
            </w:r>
          </w:p>
        </w:tc>
        <w:tc>
          <w:tcPr/>
          <w:p>
            <w:pPr>
              <w:pStyle w:val="TableText"/>
              <w:jc w:val="right"/>
            </w:pPr>
            <w:r>
              <w:t xml:space="preserve">1</w:t>
            </w:r>
          </w:p>
        </w:tc>
        <w:tc>
          <w:tcPr/>
          <w:p>
            <w:pPr>
              <w:pStyle w:val="TableText"/>
              <w:jc w:val="right"/>
            </w:pPr>
            <w:r>
              <w:t xml:space="preserve">98.51</w:t>
            </w:r>
          </w:p>
        </w:tc>
        <w:tc>
          <w:tcPr/>
          <w:p>
            <w:pPr>
              <w:pStyle w:val="TableText"/>
              <w:jc w:val="right"/>
            </w:pPr>
            <w:r>
              <w:t xml:space="preserve">80.85</w:t>
            </w:r>
          </w:p>
        </w:tc>
        <w:tc>
          <w:tcPr/>
          <w:p>
            <w:pPr>
              <w:pStyle w:val="TableText"/>
              <w:jc w:val="right"/>
            </w:pPr>
            <w:r>
              <w:t xml:space="preserve">81.87</w:t>
            </w:r>
          </w:p>
        </w:tc>
        <w:tc>
          <w:tcPr/>
          <w:p>
            <w:pPr>
              <w:pStyle w:val="TableText"/>
              <w:jc w:val="right"/>
            </w:pPr>
            <w:r>
              <w:t xml:space="preserve">81.36</w:t>
            </w:r>
          </w:p>
        </w:tc>
        <w:tc>
          <w:tcPr/>
          <w:p>
            <w:pPr>
              <w:pStyle w:val="TableText"/>
              <w:jc w:val="right"/>
            </w:pPr>
            <w:r>
              <w:t xml:space="preserve">81.76</w:t>
            </w:r>
          </w:p>
        </w:tc>
        <w:tc>
          <w:tcPr/>
          <w:p>
            <w:pPr>
              <w:pStyle w:val="TableText"/>
              <w:jc w:val="right"/>
            </w:pPr>
            <w:r>
              <w:t xml:space="preserve">81.81</w:t>
            </w:r>
          </w:p>
        </w:tc>
        <w:tc>
          <w:tcPr/>
          <w:p>
            <w:pPr>
              <w:pStyle w:val="TableText"/>
              <w:jc w:val="right"/>
            </w:pPr>
            <w:r>
              <w:t xml:space="preserve">68.57</w:t>
            </w:r>
          </w:p>
        </w:tc>
        <w:tc>
          <w:tcPr/>
          <w:p>
            <w:pPr>
              <w:pStyle w:val="TableText"/>
              <w:jc w:val="right"/>
            </w:pPr>
            <w:r>
              <w:t xml:space="preserve">83.52</w:t>
            </w:r>
          </w:p>
        </w:tc>
      </w:tr>
    </w:tbl>
    <w:p/>
    <w:p>
      <w:pPr>
        <w:pStyle w:val="TableCaption"/>
      </w:pPr>
      <w:r>
        <w:t xml:space="preserve">Table 7. Massachusetts Roads test set (49 images): pooled pixel metrics over valid pixels (%).</w:t>
      </w:r>
    </w:p>
    <w:tbl>
      <w:tblPr>
        <w:tblStyle w:val="Table"/>
        <w:tblW w:type="pct" w:w="5000"/>
        <w:tblLayout w:type="fixed"/>
        <w:tblLook w:firstRow="1" w:lastRow="0" w:firstColumn="0" w:lastColumn="0" w:noHBand="0" w:noVBand="0" w:val="0020"/>
        <w:tblCaption w:val="Table 7. Massachusetts Roads test set (49 images): pooled pixel metrics over valid pixels (%)."/>
      </w:tblPr>
      <w:tblGrid>
        <w:gridCol w:w="749"/>
        <w:gridCol w:w="321"/>
        <w:gridCol w:w="856"/>
        <w:gridCol w:w="856"/>
        <w:gridCol w:w="856"/>
        <w:gridCol w:w="856"/>
        <w:gridCol w:w="856"/>
        <w:gridCol w:w="856"/>
        <w:gridCol w:w="856"/>
        <w:gridCol w:w="856"/>
      </w:tblGrid>
      <w:tr>
        <w:trPr>
          <w:tblHeader w:val="on"/>
        </w:trPr>
        <w:tc>
          <w:tcPr/>
          <w:p>
            <w:pPr>
              <w:pStyle w:val="TableText"/>
              <w:jc w:val="left"/>
            </w:pPr>
            <w:r>
              <w:t xml:space="preserve">Model</w:t>
            </w:r>
          </w:p>
        </w:tc>
        <w:tc>
          <w:tcPr/>
          <w:p>
            <w:pPr>
              <w:pStyle w:val="TableText"/>
              <w:jc w:val="right"/>
            </w:pPr>
            <w:r>
              <w:t xml:space="preserve">n</w:t>
            </w:r>
          </w:p>
        </w:tc>
        <w:tc>
          <w:tcPr/>
          <w:p>
            <w:pPr>
              <w:pStyle w:val="TableText"/>
              <w:jc w:val="right"/>
            </w:pPr>
            <w:r>
              <w:t xml:space="preserve">Accuracy</w:t>
            </w:r>
          </w:p>
        </w:tc>
        <w:tc>
          <w:tcPr/>
          <w:p>
            <w:pPr>
              <w:pStyle w:val="TableText"/>
              <w:jc w:val="right"/>
            </w:pPr>
            <w:r>
              <w:t xml:space="preserve">Precision</w:t>
            </w:r>
          </w:p>
        </w:tc>
        <w:tc>
          <w:tcPr/>
          <w:p>
            <w:pPr>
              <w:pStyle w:val="TableText"/>
              <w:jc w:val="right"/>
            </w:pPr>
            <w:r>
              <w:t xml:space="preserve">Recall</w:t>
            </w:r>
          </w:p>
        </w:tc>
        <w:tc>
          <w:tcPr/>
          <w:p>
            <w:pPr>
              <w:pStyle w:val="TableText"/>
              <w:jc w:val="right"/>
            </w:pPr>
            <w:r>
              <w:t xml:space="preserve">F1</w:t>
            </w:r>
          </w:p>
        </w:tc>
        <w:tc>
          <w:tcPr/>
          <w:p>
            <w:pPr>
              <w:pStyle w:val="TableText"/>
              <w:jc w:val="right"/>
            </w:pPr>
            <w:r>
              <w:t xml:space="preserve">F3</w:t>
            </w:r>
          </w:p>
        </w:tc>
        <w:tc>
          <w:tcPr/>
          <w:p>
            <w:pPr>
              <w:pStyle w:val="TableText"/>
              <w:jc w:val="right"/>
            </w:pPr>
            <w:r>
              <w:t xml:space="preserve">F4</w:t>
            </w:r>
          </w:p>
        </w:tc>
        <w:tc>
          <w:tcPr/>
          <w:p>
            <w:pPr>
              <w:pStyle w:val="TableText"/>
              <w:jc w:val="right"/>
            </w:pPr>
            <w:r>
              <w:t xml:space="preserve">IoU</w:t>
            </w:r>
          </w:p>
        </w:tc>
        <w:tc>
          <w:tcPr/>
          <w:p>
            <w:pPr>
              <w:pStyle w:val="TableText"/>
              <w:jc w:val="right"/>
            </w:pPr>
            <w:r>
              <w:t xml:space="preserve">mIoU</w:t>
            </w:r>
          </w:p>
        </w:tc>
      </w:tr>
      <w:tr>
        <w:tc>
          <w:tcPr/>
          <w:p>
            <w:pPr>
              <w:pStyle w:val="TableText"/>
              <w:jc w:val="left"/>
            </w:pPr>
            <w:r>
              <w:t xml:space="preserve">U-Net</w:t>
            </w:r>
          </w:p>
        </w:tc>
        <w:tc>
          <w:tcPr/>
          <w:p>
            <w:pPr>
              <w:pStyle w:val="TableText"/>
              <w:jc w:val="right"/>
            </w:pPr>
            <w:r>
              <w:t xml:space="preserve">3</w:t>
            </w:r>
          </w:p>
        </w:tc>
        <w:tc>
          <w:tcPr/>
          <w:p>
            <w:pPr>
              <w:pStyle w:val="TableText"/>
              <w:jc w:val="right"/>
            </w:pPr>
            <w:r>
              <w:rPr>
                <w:b/>
                <w:bCs/>
              </w:rPr>
              <w:t xml:space="preserve">98.09±0.00</w:t>
            </w:r>
          </w:p>
        </w:tc>
        <w:tc>
          <w:tcPr/>
          <w:p>
            <w:pPr>
              <w:pStyle w:val="TableText"/>
              <w:jc w:val="right"/>
            </w:pPr>
            <w:r>
              <w:t xml:space="preserve">79.61±0.10</w:t>
            </w:r>
          </w:p>
        </w:tc>
        <w:tc>
          <w:tcPr/>
          <w:p>
            <w:pPr>
              <w:pStyle w:val="TableText"/>
              <w:jc w:val="right"/>
            </w:pPr>
            <w:r>
              <w:rPr>
                <w:b/>
                <w:bCs/>
              </w:rPr>
              <w:t xml:space="preserve">79.89±0.09</w:t>
            </w:r>
          </w:p>
        </w:tc>
        <w:tc>
          <w:tcPr/>
          <w:p>
            <w:pPr>
              <w:pStyle w:val="TableText"/>
              <w:jc w:val="right"/>
            </w:pPr>
            <w:r>
              <w:rPr>
                <w:b/>
                <w:bCs/>
              </w:rPr>
              <w:t xml:space="preserve">79.75±0.01</w:t>
            </w:r>
          </w:p>
        </w:tc>
        <w:tc>
          <w:tcPr/>
          <w:p>
            <w:pPr>
              <w:pStyle w:val="TableText"/>
              <w:jc w:val="right"/>
            </w:pPr>
            <w:r>
              <w:rPr>
                <w:b/>
                <w:bCs/>
              </w:rPr>
              <w:t xml:space="preserve">79.86±0.07</w:t>
            </w:r>
          </w:p>
        </w:tc>
        <w:tc>
          <w:tcPr/>
          <w:p>
            <w:pPr>
              <w:pStyle w:val="TableText"/>
              <w:jc w:val="right"/>
            </w:pPr>
            <w:r>
              <w:rPr>
                <w:b/>
                <w:bCs/>
              </w:rPr>
              <w:t xml:space="preserve">79.87±0.08</w:t>
            </w:r>
          </w:p>
        </w:tc>
        <w:tc>
          <w:tcPr/>
          <w:p>
            <w:pPr>
              <w:pStyle w:val="TableText"/>
              <w:jc w:val="right"/>
            </w:pPr>
            <w:r>
              <w:rPr>
                <w:b/>
                <w:bCs/>
              </w:rPr>
              <w:t xml:space="preserve">66.32±0.01</w:t>
            </w:r>
          </w:p>
        </w:tc>
        <w:tc>
          <w:tcPr/>
          <w:p>
            <w:pPr>
              <w:pStyle w:val="TableText"/>
              <w:jc w:val="right"/>
            </w:pPr>
            <w:r>
              <w:rPr>
                <w:b/>
                <w:bCs/>
              </w:rPr>
              <w:t xml:space="preserve">82.17±0.01</w:t>
            </w:r>
          </w:p>
        </w:tc>
      </w:tr>
      <w:tr>
        <w:tc>
          <w:tcPr/>
          <w:p>
            <w:pPr>
              <w:pStyle w:val="TableText"/>
              <w:jc w:val="left"/>
            </w:pPr>
            <w:r>
              <w:t xml:space="preserve">D-LinkNet</w:t>
            </w:r>
          </w:p>
        </w:tc>
        <w:tc>
          <w:tcPr/>
          <w:p>
            <w:pPr>
              <w:pStyle w:val="TableText"/>
              <w:jc w:val="right"/>
            </w:pPr>
            <w:r>
              <w:t xml:space="preserve">3</w:t>
            </w:r>
          </w:p>
        </w:tc>
        <w:tc>
          <w:tcPr/>
          <w:p>
            <w:pPr>
              <w:pStyle w:val="TableText"/>
              <w:jc w:val="right"/>
            </w:pPr>
            <w:r>
              <w:t xml:space="preserve">98.02±0.01</w:t>
            </w:r>
          </w:p>
        </w:tc>
        <w:tc>
          <w:tcPr/>
          <w:p>
            <w:pPr>
              <w:pStyle w:val="TableText"/>
              <w:jc w:val="right"/>
            </w:pPr>
            <w:r>
              <w:t xml:space="preserve">78.95±0.20</w:t>
            </w:r>
          </w:p>
        </w:tc>
        <w:tc>
          <w:tcPr/>
          <w:p>
            <w:pPr>
              <w:pStyle w:val="TableText"/>
              <w:jc w:val="right"/>
            </w:pPr>
            <w:r>
              <w:t xml:space="preserve">78.84±0.24</w:t>
            </w:r>
          </w:p>
        </w:tc>
        <w:tc>
          <w:tcPr/>
          <w:p>
            <w:pPr>
              <w:pStyle w:val="TableText"/>
              <w:jc w:val="right"/>
            </w:pPr>
            <w:r>
              <w:t xml:space="preserve">78.90±0.10</w:t>
            </w:r>
          </w:p>
        </w:tc>
        <w:tc>
          <w:tcPr/>
          <w:p>
            <w:pPr>
              <w:pStyle w:val="TableText"/>
              <w:jc w:val="right"/>
            </w:pPr>
            <w:r>
              <w:t xml:space="preserve">78.85±0.20</w:t>
            </w:r>
          </w:p>
        </w:tc>
        <w:tc>
          <w:tcPr/>
          <w:p>
            <w:pPr>
              <w:pStyle w:val="TableText"/>
              <w:jc w:val="right"/>
            </w:pPr>
            <w:r>
              <w:t xml:space="preserve">78.85±0.22</w:t>
            </w:r>
          </w:p>
        </w:tc>
        <w:tc>
          <w:tcPr/>
          <w:p>
            <w:pPr>
              <w:pStyle w:val="TableText"/>
              <w:jc w:val="right"/>
            </w:pPr>
            <w:r>
              <w:t xml:space="preserve">65.15±0.14</w:t>
            </w:r>
          </w:p>
        </w:tc>
        <w:tc>
          <w:tcPr/>
          <w:p>
            <w:pPr>
              <w:pStyle w:val="TableText"/>
              <w:jc w:val="right"/>
            </w:pPr>
            <w:r>
              <w:t xml:space="preserve">81.54±0.07</w:t>
            </w:r>
          </w:p>
        </w:tc>
      </w:tr>
      <w:tr>
        <w:tc>
          <w:tcPr/>
          <w:p>
            <w:pPr>
              <w:pStyle w:val="TableText"/>
              <w:jc w:val="left"/>
            </w:pPr>
            <w:r>
              <w:t xml:space="preserve">R0 (control)</w:t>
            </w:r>
          </w:p>
        </w:tc>
        <w:tc>
          <w:tcPr/>
          <w:p>
            <w:pPr>
              <w:pStyle w:val="TableText"/>
              <w:jc w:val="right"/>
            </w:pPr>
            <w:r>
              <w:t xml:space="preserve">5</w:t>
            </w:r>
          </w:p>
        </w:tc>
        <w:tc>
          <w:tcPr/>
          <w:p>
            <w:pPr>
              <w:pStyle w:val="TableText"/>
              <w:jc w:val="right"/>
            </w:pPr>
            <w:r>
              <w:t xml:space="preserve">98.06±0.01</w:t>
            </w:r>
          </w:p>
        </w:tc>
        <w:tc>
          <w:tcPr/>
          <w:p>
            <w:pPr>
              <w:pStyle w:val="TableText"/>
              <w:jc w:val="right"/>
            </w:pPr>
            <w:r>
              <w:t xml:space="preserve">79.79±0.22</w:t>
            </w:r>
          </w:p>
        </w:tc>
        <w:tc>
          <w:tcPr/>
          <w:p>
            <w:pPr>
              <w:pStyle w:val="TableText"/>
              <w:jc w:val="right"/>
            </w:pPr>
            <w:r>
              <w:t xml:space="preserve">78.62±0.33</w:t>
            </w:r>
          </w:p>
        </w:tc>
        <w:tc>
          <w:tcPr/>
          <w:p>
            <w:pPr>
              <w:pStyle w:val="TableText"/>
              <w:jc w:val="right"/>
            </w:pPr>
            <w:r>
              <w:t xml:space="preserve">79.20±0.13</w:t>
            </w:r>
          </w:p>
        </w:tc>
        <w:tc>
          <w:tcPr/>
          <w:p>
            <w:pPr>
              <w:pStyle w:val="TableText"/>
              <w:jc w:val="right"/>
            </w:pPr>
            <w:r>
              <w:t xml:space="preserve">78.74±0.29</w:t>
            </w:r>
          </w:p>
        </w:tc>
        <w:tc>
          <w:tcPr/>
          <w:p>
            <w:pPr>
              <w:pStyle w:val="TableText"/>
              <w:jc w:val="right"/>
            </w:pPr>
            <w:r>
              <w:t xml:space="preserve">78.69±0.30</w:t>
            </w:r>
          </w:p>
        </w:tc>
        <w:tc>
          <w:tcPr/>
          <w:p>
            <w:pPr>
              <w:pStyle w:val="TableText"/>
              <w:jc w:val="right"/>
            </w:pPr>
            <w:r>
              <w:t xml:space="preserve">65.56±0.18</w:t>
            </w:r>
          </w:p>
        </w:tc>
        <w:tc>
          <w:tcPr/>
          <w:p>
            <w:pPr>
              <w:pStyle w:val="TableText"/>
              <w:jc w:val="right"/>
            </w:pPr>
            <w:r>
              <w:t xml:space="preserve">81.77±0.09</w:t>
            </w:r>
          </w:p>
        </w:tc>
      </w:tr>
      <w:tr>
        <w:tc>
          <w:tcPr/>
          <w:p>
            <w:pPr>
              <w:pStyle w:val="TableText"/>
              <w:jc w:val="left"/>
            </w:pPr>
            <w:r>
              <w:t xml:space="preserve">R1 (DWT)</w:t>
            </w:r>
          </w:p>
        </w:tc>
        <w:tc>
          <w:tcPr/>
          <w:p>
            <w:pPr>
              <w:pStyle w:val="TableText"/>
              <w:jc w:val="right"/>
            </w:pPr>
            <w:r>
              <w:t xml:space="preserve">3</w:t>
            </w:r>
          </w:p>
        </w:tc>
        <w:tc>
          <w:tcPr/>
          <w:p>
            <w:pPr>
              <w:pStyle w:val="TableText"/>
              <w:jc w:val="right"/>
            </w:pPr>
            <w:r>
              <w:t xml:space="preserve">98.05±0.02</w:t>
            </w:r>
          </w:p>
        </w:tc>
        <w:tc>
          <w:tcPr/>
          <w:p>
            <w:pPr>
              <w:pStyle w:val="TableText"/>
              <w:jc w:val="right"/>
            </w:pPr>
            <w:r>
              <w:t xml:space="preserve">79.67±0.83</w:t>
            </w:r>
          </w:p>
        </w:tc>
        <w:tc>
          <w:tcPr/>
          <w:p>
            <w:pPr>
              <w:pStyle w:val="TableText"/>
              <w:jc w:val="right"/>
            </w:pPr>
            <w:r>
              <w:t xml:space="preserve">78.71±0.89</w:t>
            </w:r>
          </w:p>
        </w:tc>
        <w:tc>
          <w:tcPr/>
          <w:p>
            <w:pPr>
              <w:pStyle w:val="TableText"/>
              <w:jc w:val="right"/>
            </w:pPr>
            <w:r>
              <w:t xml:space="preserve">79.18±0.18</w:t>
            </w:r>
          </w:p>
        </w:tc>
        <w:tc>
          <w:tcPr/>
          <w:p>
            <w:pPr>
              <w:pStyle w:val="TableText"/>
              <w:jc w:val="right"/>
            </w:pPr>
            <w:r>
              <w:t xml:space="preserve">78.80±0.72</w:t>
            </w:r>
          </w:p>
        </w:tc>
        <w:tc>
          <w:tcPr/>
          <w:p>
            <w:pPr>
              <w:pStyle w:val="TableText"/>
              <w:jc w:val="right"/>
            </w:pPr>
            <w:r>
              <w:t xml:space="preserve">78.76±0.79</w:t>
            </w:r>
          </w:p>
        </w:tc>
        <w:tc>
          <w:tcPr/>
          <w:p>
            <w:pPr>
              <w:pStyle w:val="TableText"/>
              <w:jc w:val="right"/>
            </w:pPr>
            <w:r>
              <w:t xml:space="preserve">65.54±0.24</w:t>
            </w:r>
          </w:p>
        </w:tc>
        <w:tc>
          <w:tcPr/>
          <w:p>
            <w:pPr>
              <w:pStyle w:val="TableText"/>
              <w:jc w:val="right"/>
            </w:pPr>
            <w:r>
              <w:t xml:space="preserve">81.76±0.13</w:t>
            </w:r>
          </w:p>
        </w:tc>
      </w:tr>
      <w:tr>
        <w:tc>
          <w:tcPr/>
          <w:p>
            <w:pPr>
              <w:pStyle w:val="TableText"/>
              <w:jc w:val="left"/>
            </w:pPr>
            <w:r>
              <w:t xml:space="preserve">R2 (wavelet)</w:t>
            </w:r>
          </w:p>
        </w:tc>
        <w:tc>
          <w:tcPr/>
          <w:p>
            <w:pPr>
              <w:pStyle w:val="TableText"/>
              <w:jc w:val="right"/>
            </w:pPr>
            <w:r>
              <w:t xml:space="preserve">3</w:t>
            </w:r>
          </w:p>
        </w:tc>
        <w:tc>
          <w:tcPr/>
          <w:p>
            <w:pPr>
              <w:pStyle w:val="TableText"/>
              <w:jc w:val="right"/>
            </w:pPr>
            <w:r>
              <w:t xml:space="preserve">98.03±0.01</w:t>
            </w:r>
          </w:p>
        </w:tc>
        <w:tc>
          <w:tcPr/>
          <w:p>
            <w:pPr>
              <w:pStyle w:val="TableText"/>
              <w:jc w:val="right"/>
            </w:pPr>
            <w:r>
              <w:t xml:space="preserve">79.00±0.55</w:t>
            </w:r>
          </w:p>
        </w:tc>
        <w:tc>
          <w:tcPr/>
          <w:p>
            <w:pPr>
              <w:pStyle w:val="TableText"/>
              <w:jc w:val="right"/>
            </w:pPr>
            <w:r>
              <w:t xml:space="preserve">79.24±0.56</w:t>
            </w:r>
          </w:p>
        </w:tc>
        <w:tc>
          <w:tcPr/>
          <w:p>
            <w:pPr>
              <w:pStyle w:val="TableText"/>
              <w:jc w:val="right"/>
            </w:pPr>
            <w:r>
              <w:t xml:space="preserve">79.12±0.01</w:t>
            </w:r>
          </w:p>
        </w:tc>
        <w:tc>
          <w:tcPr/>
          <w:p>
            <w:pPr>
              <w:pStyle w:val="TableText"/>
              <w:jc w:val="right"/>
            </w:pPr>
            <w:r>
              <w:t xml:space="preserve">79.21±0.45</w:t>
            </w:r>
          </w:p>
        </w:tc>
        <w:tc>
          <w:tcPr/>
          <w:p>
            <w:pPr>
              <w:pStyle w:val="TableText"/>
              <w:jc w:val="right"/>
            </w:pPr>
            <w:r>
              <w:t xml:space="preserve">79.22±0.49</w:t>
            </w:r>
          </w:p>
        </w:tc>
        <w:tc>
          <w:tcPr/>
          <w:p>
            <w:pPr>
              <w:pStyle w:val="TableText"/>
              <w:jc w:val="right"/>
            </w:pPr>
            <w:r>
              <w:t xml:space="preserve">65.45±0.01</w:t>
            </w:r>
          </w:p>
        </w:tc>
        <w:tc>
          <w:tcPr/>
          <w:p>
            <w:pPr>
              <w:pStyle w:val="TableText"/>
              <w:jc w:val="right"/>
            </w:pPr>
            <w:r>
              <w:t xml:space="preserve">81.70±0.00</w:t>
            </w:r>
          </w:p>
        </w:tc>
      </w:tr>
      <w:tr>
        <w:tc>
          <w:tcPr/>
          <w:p>
            <w:pPr>
              <w:pStyle w:val="TableText"/>
              <w:jc w:val="left"/>
            </w:pPr>
            <w:r>
              <w:t xml:space="preserve">R3 (+clDice)</w:t>
            </w:r>
          </w:p>
        </w:tc>
        <w:tc>
          <w:tcPr/>
          <w:p>
            <w:pPr>
              <w:pStyle w:val="TableText"/>
              <w:jc w:val="right"/>
            </w:pPr>
            <w:r>
              <w:t xml:space="preserve">3</w:t>
            </w:r>
          </w:p>
        </w:tc>
        <w:tc>
          <w:tcPr/>
          <w:p>
            <w:pPr>
              <w:pStyle w:val="TableText"/>
              <w:jc w:val="right"/>
            </w:pPr>
            <w:r>
              <w:t xml:space="preserve">98.04±0.02</w:t>
            </w:r>
          </w:p>
        </w:tc>
        <w:tc>
          <w:tcPr/>
          <w:p>
            <w:pPr>
              <w:pStyle w:val="TableText"/>
              <w:jc w:val="right"/>
            </w:pPr>
            <w:r>
              <w:t xml:space="preserve">78.98±0.33</w:t>
            </w:r>
          </w:p>
        </w:tc>
        <w:tc>
          <w:tcPr/>
          <w:p>
            <w:pPr>
              <w:pStyle w:val="TableText"/>
              <w:jc w:val="right"/>
            </w:pPr>
            <w:r>
              <w:t xml:space="preserve">79.37±0.23</w:t>
            </w:r>
          </w:p>
        </w:tc>
        <w:tc>
          <w:tcPr/>
          <w:p>
            <w:pPr>
              <w:pStyle w:val="TableText"/>
              <w:jc w:val="right"/>
            </w:pPr>
            <w:r>
              <w:t xml:space="preserve">79.18±0.13</w:t>
            </w:r>
          </w:p>
        </w:tc>
        <w:tc>
          <w:tcPr/>
          <w:p>
            <w:pPr>
              <w:pStyle w:val="TableText"/>
              <w:jc w:val="right"/>
            </w:pPr>
            <w:r>
              <w:t xml:space="preserve">79.33±0.19</w:t>
            </w:r>
          </w:p>
        </w:tc>
        <w:tc>
          <w:tcPr/>
          <w:p>
            <w:pPr>
              <w:pStyle w:val="TableText"/>
              <w:jc w:val="right"/>
            </w:pPr>
            <w:r>
              <w:t xml:space="preserve">79.34±0.20</w:t>
            </w:r>
          </w:p>
        </w:tc>
        <w:tc>
          <w:tcPr/>
          <w:p>
            <w:pPr>
              <w:pStyle w:val="TableText"/>
              <w:jc w:val="right"/>
            </w:pPr>
            <w:r>
              <w:t xml:space="preserve">65.53±0.18</w:t>
            </w:r>
          </w:p>
        </w:tc>
        <w:tc>
          <w:tcPr/>
          <w:p>
            <w:pPr>
              <w:pStyle w:val="TableText"/>
              <w:jc w:val="right"/>
            </w:pPr>
            <w:r>
              <w:t xml:space="preserve">81.75±0.10</w:t>
            </w:r>
          </w:p>
        </w:tc>
      </w:tr>
      <w:tr>
        <w:tc>
          <w:tcPr/>
          <w:p>
            <w:pPr>
              <w:pStyle w:val="TableText"/>
              <w:jc w:val="left"/>
            </w:pPr>
            <w:r>
              <w:t xml:space="preserve">GA</w:t>
            </w:r>
          </w:p>
        </w:tc>
        <w:tc>
          <w:tcPr/>
          <w:p>
            <w:pPr>
              <w:pStyle w:val="TableText"/>
              <w:jc w:val="right"/>
            </w:pPr>
            <w:r>
              <w:t xml:space="preserve">5</w:t>
            </w:r>
          </w:p>
        </w:tc>
        <w:tc>
          <w:tcPr/>
          <w:p>
            <w:pPr>
              <w:pStyle w:val="TableText"/>
              <w:jc w:val="right"/>
            </w:pPr>
            <w:r>
              <w:rPr>
                <w:b/>
                <w:bCs/>
              </w:rPr>
              <w:t xml:space="preserve">98.09±0.01</w:t>
            </w:r>
          </w:p>
        </w:tc>
        <w:tc>
          <w:tcPr/>
          <w:p>
            <w:pPr>
              <w:pStyle w:val="TableText"/>
              <w:jc w:val="right"/>
            </w:pPr>
            <w:r>
              <w:t xml:space="preserve">80.31±0.40</w:t>
            </w:r>
          </w:p>
        </w:tc>
        <w:tc>
          <w:tcPr/>
          <w:p>
            <w:pPr>
              <w:pStyle w:val="TableText"/>
              <w:jc w:val="right"/>
            </w:pPr>
            <w:r>
              <w:t xml:space="preserve">78.56±0.42</w:t>
            </w:r>
          </w:p>
        </w:tc>
        <w:tc>
          <w:tcPr/>
          <w:p>
            <w:pPr>
              <w:pStyle w:val="TableText"/>
              <w:jc w:val="right"/>
            </w:pPr>
            <w:r>
              <w:t xml:space="preserve">79.43±0.06</w:t>
            </w:r>
          </w:p>
        </w:tc>
        <w:tc>
          <w:tcPr/>
          <w:p>
            <w:pPr>
              <w:pStyle w:val="TableText"/>
              <w:jc w:val="right"/>
            </w:pPr>
            <w:r>
              <w:t xml:space="preserve">78.74±0.34</w:t>
            </w:r>
          </w:p>
        </w:tc>
        <w:tc>
          <w:tcPr/>
          <w:p>
            <w:pPr>
              <w:pStyle w:val="TableText"/>
              <w:jc w:val="right"/>
            </w:pPr>
            <w:r>
              <w:t xml:space="preserve">78.67±0.37</w:t>
            </w:r>
          </w:p>
        </w:tc>
        <w:tc>
          <w:tcPr/>
          <w:p>
            <w:pPr>
              <w:pStyle w:val="TableText"/>
              <w:jc w:val="right"/>
            </w:pPr>
            <w:r>
              <w:t xml:space="preserve">65.88±0.08</w:t>
            </w:r>
          </w:p>
        </w:tc>
        <w:tc>
          <w:tcPr/>
          <w:p>
            <w:pPr>
              <w:pStyle w:val="TableText"/>
              <w:jc w:val="right"/>
            </w:pPr>
            <w:r>
              <w:t xml:space="preserve">81.94±0.04</w:t>
            </w:r>
          </w:p>
        </w:tc>
      </w:tr>
      <w:tr>
        <w:tc>
          <w:tcPr/>
          <w:p>
            <w:pPr>
              <w:pStyle w:val="TableText"/>
              <w:jc w:val="left"/>
            </w:pPr>
            <w:r>
              <w:t xml:space="preserve">GB</w:t>
            </w:r>
          </w:p>
        </w:tc>
        <w:tc>
          <w:tcPr/>
          <w:p>
            <w:pPr>
              <w:pStyle w:val="TableText"/>
              <w:jc w:val="right"/>
            </w:pPr>
            <w:r>
              <w:t xml:space="preserve">3</w:t>
            </w:r>
          </w:p>
        </w:tc>
        <w:tc>
          <w:tcPr/>
          <w:p>
            <w:pPr>
              <w:pStyle w:val="TableText"/>
              <w:jc w:val="right"/>
            </w:pPr>
            <w:r>
              <w:t xml:space="preserve">98.05±0.01</w:t>
            </w:r>
          </w:p>
        </w:tc>
        <w:tc>
          <w:tcPr/>
          <w:p>
            <w:pPr>
              <w:pStyle w:val="TableText"/>
              <w:jc w:val="right"/>
            </w:pPr>
            <w:r>
              <w:t xml:space="preserve">79.29±0.21</w:t>
            </w:r>
          </w:p>
        </w:tc>
        <w:tc>
          <w:tcPr/>
          <w:p>
            <w:pPr>
              <w:pStyle w:val="TableText"/>
              <w:jc w:val="right"/>
            </w:pPr>
            <w:r>
              <w:t xml:space="preserve">79.09±0.16</w:t>
            </w:r>
          </w:p>
        </w:tc>
        <w:tc>
          <w:tcPr/>
          <w:p>
            <w:pPr>
              <w:pStyle w:val="TableText"/>
              <w:jc w:val="right"/>
            </w:pPr>
            <w:r>
              <w:t xml:space="preserve">79.19±0.03</w:t>
            </w:r>
          </w:p>
        </w:tc>
        <w:tc>
          <w:tcPr/>
          <w:p>
            <w:pPr>
              <w:pStyle w:val="TableText"/>
              <w:jc w:val="right"/>
            </w:pPr>
            <w:r>
              <w:t xml:space="preserve">79.11±0.13</w:t>
            </w:r>
          </w:p>
        </w:tc>
        <w:tc>
          <w:tcPr/>
          <w:p>
            <w:pPr>
              <w:pStyle w:val="TableText"/>
              <w:jc w:val="right"/>
            </w:pPr>
            <w:r>
              <w:t xml:space="preserve">79.10±0.14</w:t>
            </w:r>
          </w:p>
        </w:tc>
        <w:tc>
          <w:tcPr/>
          <w:p>
            <w:pPr>
              <w:pStyle w:val="TableText"/>
              <w:jc w:val="right"/>
            </w:pPr>
            <w:r>
              <w:t xml:space="preserve">65.55±0.04</w:t>
            </w:r>
          </w:p>
        </w:tc>
        <w:tc>
          <w:tcPr/>
          <w:p>
            <w:pPr>
              <w:pStyle w:val="TableText"/>
              <w:jc w:val="right"/>
            </w:pPr>
            <w:r>
              <w:t xml:space="preserve">81.76±0.02</w:t>
            </w:r>
          </w:p>
        </w:tc>
      </w:tr>
      <w:tr>
        <w:tc>
          <w:tcPr/>
          <w:p>
            <w:pPr>
              <w:pStyle w:val="TableText"/>
              <w:jc w:val="left"/>
            </w:pPr>
            <w:r>
              <w:t xml:space="preserve">GFa</w:t>
            </w:r>
          </w:p>
        </w:tc>
        <w:tc>
          <w:tcPr/>
          <w:p>
            <w:pPr>
              <w:pStyle w:val="TableText"/>
              <w:jc w:val="right"/>
            </w:pPr>
            <w:r>
              <w:t xml:space="preserve">3</w:t>
            </w:r>
          </w:p>
        </w:tc>
        <w:tc>
          <w:tcPr/>
          <w:p>
            <w:pPr>
              <w:pStyle w:val="TableText"/>
              <w:jc w:val="right"/>
            </w:pPr>
            <w:r>
              <w:rPr>
                <w:b/>
                <w:bCs/>
              </w:rPr>
              <w:t xml:space="preserve">98.09±0.01</w:t>
            </w:r>
          </w:p>
        </w:tc>
        <w:tc>
          <w:tcPr/>
          <w:p>
            <w:pPr>
              <w:pStyle w:val="TableText"/>
              <w:jc w:val="right"/>
            </w:pPr>
            <w:r>
              <w:rPr>
                <w:b/>
                <w:bCs/>
              </w:rPr>
              <w:t xml:space="preserve">80.51±0.04</w:t>
            </w:r>
          </w:p>
        </w:tc>
        <w:tc>
          <w:tcPr/>
          <w:p>
            <w:pPr>
              <w:pStyle w:val="TableText"/>
              <w:jc w:val="right"/>
            </w:pPr>
            <w:r>
              <w:t xml:space="preserve">78.42±0.26</w:t>
            </w:r>
          </w:p>
        </w:tc>
        <w:tc>
          <w:tcPr/>
          <w:p>
            <w:pPr>
              <w:pStyle w:val="TableText"/>
              <w:jc w:val="right"/>
            </w:pPr>
            <w:r>
              <w:t xml:space="preserve">79.45±0.13</w:t>
            </w:r>
          </w:p>
        </w:tc>
        <w:tc>
          <w:tcPr/>
          <w:p>
            <w:pPr>
              <w:pStyle w:val="TableText"/>
              <w:jc w:val="right"/>
            </w:pPr>
            <w:r>
              <w:t xml:space="preserve">78.62±0.23</w:t>
            </w:r>
          </w:p>
        </w:tc>
        <w:tc>
          <w:tcPr/>
          <w:p>
            <w:pPr>
              <w:pStyle w:val="TableText"/>
              <w:jc w:val="right"/>
            </w:pPr>
            <w:r>
              <w:t xml:space="preserve">78.54±0.24</w:t>
            </w:r>
          </w:p>
        </w:tc>
        <w:tc>
          <w:tcPr/>
          <w:p>
            <w:pPr>
              <w:pStyle w:val="TableText"/>
              <w:jc w:val="right"/>
            </w:pPr>
            <w:r>
              <w:t xml:space="preserve">65.91±0.18</w:t>
            </w:r>
          </w:p>
        </w:tc>
        <w:tc>
          <w:tcPr/>
          <w:p>
            <w:pPr>
              <w:pStyle w:val="TableText"/>
              <w:jc w:val="right"/>
            </w:pPr>
            <w:r>
              <w:t xml:space="preserve">81.96±0.10</w:t>
            </w:r>
          </w:p>
        </w:tc>
      </w:tr>
      <w:tr>
        <w:tc>
          <w:tcPr/>
          <w:p>
            <w:pPr>
              <w:pStyle w:val="TableText"/>
              <w:jc w:val="left"/>
            </w:pPr>
            <w:r>
              <w:t xml:space="preserve">GFb</w:t>
            </w:r>
          </w:p>
        </w:tc>
        <w:tc>
          <w:tcPr/>
          <w:p>
            <w:pPr>
              <w:pStyle w:val="TableText"/>
              <w:jc w:val="right"/>
            </w:pPr>
            <w:r>
              <w:t xml:space="preserve">1</w:t>
            </w:r>
          </w:p>
        </w:tc>
        <w:tc>
          <w:tcPr/>
          <w:p>
            <w:pPr>
              <w:pStyle w:val="TableText"/>
              <w:jc w:val="right"/>
            </w:pPr>
            <w:r>
              <w:t xml:space="preserve">98.08</w:t>
            </w:r>
          </w:p>
        </w:tc>
        <w:tc>
          <w:tcPr/>
          <w:p>
            <w:pPr>
              <w:pStyle w:val="TableText"/>
              <w:jc w:val="right"/>
            </w:pPr>
            <w:r>
              <w:t xml:space="preserve">80.22</w:t>
            </w:r>
          </w:p>
        </w:tc>
        <w:tc>
          <w:tcPr/>
          <w:p>
            <w:pPr>
              <w:pStyle w:val="TableText"/>
              <w:jc w:val="right"/>
            </w:pPr>
            <w:r>
              <w:t xml:space="preserve">78.59</w:t>
            </w:r>
          </w:p>
        </w:tc>
        <w:tc>
          <w:tcPr/>
          <w:p>
            <w:pPr>
              <w:pStyle w:val="TableText"/>
              <w:jc w:val="right"/>
            </w:pPr>
            <w:r>
              <w:t xml:space="preserve">79.40</w:t>
            </w:r>
          </w:p>
        </w:tc>
        <w:tc>
          <w:tcPr/>
          <w:p>
            <w:pPr>
              <w:pStyle w:val="TableText"/>
              <w:jc w:val="right"/>
            </w:pPr>
            <w:r>
              <w:t xml:space="preserve">78.75</w:t>
            </w:r>
          </w:p>
        </w:tc>
        <w:tc>
          <w:tcPr/>
          <w:p>
            <w:pPr>
              <w:pStyle w:val="TableText"/>
              <w:jc w:val="right"/>
            </w:pPr>
            <w:r>
              <w:t xml:space="preserve">78.69</w:t>
            </w:r>
          </w:p>
        </w:tc>
        <w:tc>
          <w:tcPr/>
          <w:p>
            <w:pPr>
              <w:pStyle w:val="TableText"/>
              <w:jc w:val="right"/>
            </w:pPr>
            <w:r>
              <w:t xml:space="preserve">65.84</w:t>
            </w:r>
          </w:p>
        </w:tc>
        <w:tc>
          <w:tcPr/>
          <w:p>
            <w:pPr>
              <w:pStyle w:val="TableText"/>
              <w:jc w:val="right"/>
            </w:pPr>
            <w:r>
              <w:t xml:space="preserve">81.92</w:t>
            </w:r>
          </w:p>
        </w:tc>
      </w:tr>
    </w:tbl>
    <w:p/>
    <w:p>
      <w:pPr>
        <w:pStyle w:val="TableCaption"/>
      </w:pPr>
      <w:r>
        <w:t xml:space="preserve">Table 8. Ottawa test set (6 scenes): pooled pixel metrics (%).</w:t>
      </w:r>
    </w:p>
    <w:tbl>
      <w:tblPr>
        <w:tblStyle w:val="Table"/>
        <w:tblW w:type="pct" w:w="5000"/>
        <w:tblLayout w:type="fixed"/>
        <w:tblLook w:firstRow="1" w:lastRow="0" w:firstColumn="0" w:lastColumn="0" w:noHBand="0" w:noVBand="0" w:val="0020"/>
        <w:tblCaption w:val="Table 8. Ottawa test set (6 scenes): pooled pixel metrics (%)."/>
      </w:tblPr>
      <w:tblGrid>
        <w:gridCol w:w="749"/>
        <w:gridCol w:w="321"/>
        <w:gridCol w:w="856"/>
        <w:gridCol w:w="856"/>
        <w:gridCol w:w="856"/>
        <w:gridCol w:w="856"/>
        <w:gridCol w:w="856"/>
        <w:gridCol w:w="856"/>
        <w:gridCol w:w="856"/>
        <w:gridCol w:w="856"/>
      </w:tblGrid>
      <w:tr>
        <w:trPr>
          <w:tblHeader w:val="on"/>
        </w:trPr>
        <w:tc>
          <w:tcPr/>
          <w:p>
            <w:pPr>
              <w:pStyle w:val="TableText"/>
              <w:jc w:val="left"/>
            </w:pPr>
            <w:r>
              <w:t xml:space="preserve">Model</w:t>
            </w:r>
          </w:p>
        </w:tc>
        <w:tc>
          <w:tcPr/>
          <w:p>
            <w:pPr>
              <w:pStyle w:val="TableText"/>
              <w:jc w:val="right"/>
            </w:pPr>
            <w:r>
              <w:t xml:space="preserve">n</w:t>
            </w:r>
          </w:p>
        </w:tc>
        <w:tc>
          <w:tcPr/>
          <w:p>
            <w:pPr>
              <w:pStyle w:val="TableText"/>
              <w:jc w:val="right"/>
            </w:pPr>
            <w:r>
              <w:t xml:space="preserve">Accuracy</w:t>
            </w:r>
          </w:p>
        </w:tc>
        <w:tc>
          <w:tcPr/>
          <w:p>
            <w:pPr>
              <w:pStyle w:val="TableText"/>
              <w:jc w:val="right"/>
            </w:pPr>
            <w:r>
              <w:t xml:space="preserve">Precision</w:t>
            </w:r>
          </w:p>
        </w:tc>
        <w:tc>
          <w:tcPr/>
          <w:p>
            <w:pPr>
              <w:pStyle w:val="TableText"/>
              <w:jc w:val="right"/>
            </w:pPr>
            <w:r>
              <w:t xml:space="preserve">Recall</w:t>
            </w:r>
          </w:p>
        </w:tc>
        <w:tc>
          <w:tcPr/>
          <w:p>
            <w:pPr>
              <w:pStyle w:val="TableText"/>
              <w:jc w:val="right"/>
            </w:pPr>
            <w:r>
              <w:t xml:space="preserve">F1</w:t>
            </w:r>
          </w:p>
        </w:tc>
        <w:tc>
          <w:tcPr/>
          <w:p>
            <w:pPr>
              <w:pStyle w:val="TableText"/>
              <w:jc w:val="right"/>
            </w:pPr>
            <w:r>
              <w:t xml:space="preserve">F3</w:t>
            </w:r>
          </w:p>
        </w:tc>
        <w:tc>
          <w:tcPr/>
          <w:p>
            <w:pPr>
              <w:pStyle w:val="TableText"/>
              <w:jc w:val="right"/>
            </w:pPr>
            <w:r>
              <w:t xml:space="preserve">F4</w:t>
            </w:r>
          </w:p>
        </w:tc>
        <w:tc>
          <w:tcPr/>
          <w:p>
            <w:pPr>
              <w:pStyle w:val="TableText"/>
              <w:jc w:val="right"/>
            </w:pPr>
            <w:r>
              <w:t xml:space="preserve">IoU</w:t>
            </w:r>
          </w:p>
        </w:tc>
        <w:tc>
          <w:tcPr/>
          <w:p>
            <w:pPr>
              <w:pStyle w:val="TableText"/>
              <w:jc w:val="right"/>
            </w:pPr>
            <w:r>
              <w:t xml:space="preserve">mIoU</w:t>
            </w:r>
          </w:p>
        </w:tc>
      </w:tr>
      <w:tr>
        <w:tc>
          <w:tcPr/>
          <w:p>
            <w:pPr>
              <w:pStyle w:val="TableText"/>
              <w:jc w:val="left"/>
            </w:pPr>
            <w:r>
              <w:t xml:space="preserve">R0 (control)</w:t>
            </w:r>
          </w:p>
        </w:tc>
        <w:tc>
          <w:tcPr/>
          <w:p>
            <w:pPr>
              <w:pStyle w:val="TableText"/>
              <w:jc w:val="right"/>
            </w:pPr>
            <w:r>
              <w:t xml:space="preserve">5</w:t>
            </w:r>
          </w:p>
        </w:tc>
        <w:tc>
          <w:tcPr/>
          <w:p>
            <w:pPr>
              <w:pStyle w:val="TableText"/>
              <w:jc w:val="right"/>
            </w:pPr>
            <w:r>
              <w:rPr>
                <w:b/>
                <w:bCs/>
              </w:rPr>
              <w:t xml:space="preserve">98.43±0.07</w:t>
            </w:r>
          </w:p>
        </w:tc>
        <w:tc>
          <w:tcPr/>
          <w:p>
            <w:pPr>
              <w:pStyle w:val="TableText"/>
              <w:jc w:val="right"/>
            </w:pPr>
            <w:r>
              <w:t xml:space="preserve">93.27±0.18</w:t>
            </w:r>
          </w:p>
        </w:tc>
        <w:tc>
          <w:tcPr/>
          <w:p>
            <w:pPr>
              <w:pStyle w:val="TableText"/>
              <w:jc w:val="right"/>
            </w:pPr>
            <w:r>
              <w:rPr>
                <w:b/>
                <w:bCs/>
              </w:rPr>
              <w:t xml:space="preserve">94.66±0.51</w:t>
            </w:r>
          </w:p>
        </w:tc>
        <w:tc>
          <w:tcPr/>
          <w:p>
            <w:pPr>
              <w:pStyle w:val="TableText"/>
              <w:jc w:val="right"/>
            </w:pPr>
            <w:r>
              <w:rPr>
                <w:b/>
                <w:bCs/>
              </w:rPr>
              <w:t xml:space="preserve">93.96±0.27</w:t>
            </w:r>
          </w:p>
        </w:tc>
        <w:tc>
          <w:tcPr/>
          <w:p>
            <w:pPr>
              <w:pStyle w:val="TableText"/>
              <w:jc w:val="right"/>
            </w:pPr>
            <w:r>
              <w:rPr>
                <w:b/>
                <w:bCs/>
              </w:rPr>
              <w:t xml:space="preserve">94.52±0.46</w:t>
            </w:r>
          </w:p>
        </w:tc>
        <w:tc>
          <w:tcPr/>
          <w:p>
            <w:pPr>
              <w:pStyle w:val="TableText"/>
              <w:jc w:val="right"/>
            </w:pPr>
            <w:r>
              <w:rPr>
                <w:b/>
                <w:bCs/>
              </w:rPr>
              <w:t xml:space="preserve">94.58±0.48</w:t>
            </w:r>
          </w:p>
        </w:tc>
        <w:tc>
          <w:tcPr/>
          <w:p>
            <w:pPr>
              <w:pStyle w:val="TableText"/>
              <w:jc w:val="right"/>
            </w:pPr>
            <w:r>
              <w:rPr>
                <w:b/>
                <w:bCs/>
              </w:rPr>
              <w:t xml:space="preserve">88.61±0.48</w:t>
            </w:r>
          </w:p>
        </w:tc>
        <w:tc>
          <w:tcPr/>
          <w:p>
            <w:pPr>
              <w:pStyle w:val="TableText"/>
              <w:jc w:val="right"/>
            </w:pPr>
            <w:r>
              <w:rPr>
                <w:b/>
                <w:bCs/>
              </w:rPr>
              <w:t xml:space="preserve">93.42±0.28</w:t>
            </w:r>
          </w:p>
        </w:tc>
      </w:tr>
      <w:tr>
        <w:tc>
          <w:tcPr/>
          <w:p>
            <w:pPr>
              <w:pStyle w:val="TableText"/>
              <w:jc w:val="left"/>
            </w:pPr>
            <w:r>
              <w:t xml:space="preserve">GA</w:t>
            </w:r>
          </w:p>
        </w:tc>
        <w:tc>
          <w:tcPr/>
          <w:p>
            <w:pPr>
              <w:pStyle w:val="TableText"/>
              <w:jc w:val="right"/>
            </w:pPr>
            <w:r>
              <w:t xml:space="preserve">5</w:t>
            </w:r>
          </w:p>
        </w:tc>
        <w:tc>
          <w:tcPr/>
          <w:p>
            <w:pPr>
              <w:pStyle w:val="TableText"/>
              <w:jc w:val="right"/>
            </w:pPr>
            <w:r>
              <w:t xml:space="preserve">98.39±0.04</w:t>
            </w:r>
          </w:p>
        </w:tc>
        <w:tc>
          <w:tcPr/>
          <w:p>
            <w:pPr>
              <w:pStyle w:val="TableText"/>
              <w:jc w:val="right"/>
            </w:pPr>
            <w:r>
              <w:t xml:space="preserve">93.59±0.53</w:t>
            </w:r>
          </w:p>
        </w:tc>
        <w:tc>
          <w:tcPr/>
          <w:p>
            <w:pPr>
              <w:pStyle w:val="TableText"/>
              <w:jc w:val="right"/>
            </w:pPr>
            <w:r>
              <w:t xml:space="preserve">93.96±0.84</w:t>
            </w:r>
          </w:p>
        </w:tc>
        <w:tc>
          <w:tcPr/>
          <w:p>
            <w:pPr>
              <w:pStyle w:val="TableText"/>
              <w:jc w:val="right"/>
            </w:pPr>
            <w:r>
              <w:t xml:space="preserve">93.77±0.20</w:t>
            </w:r>
          </w:p>
        </w:tc>
        <w:tc>
          <w:tcPr/>
          <w:p>
            <w:pPr>
              <w:pStyle w:val="TableText"/>
              <w:jc w:val="right"/>
            </w:pPr>
            <w:r>
              <w:t xml:space="preserve">93.92±0.70</w:t>
            </w:r>
          </w:p>
        </w:tc>
        <w:tc>
          <w:tcPr/>
          <w:p>
            <w:pPr>
              <w:pStyle w:val="TableText"/>
              <w:jc w:val="right"/>
            </w:pPr>
            <w:r>
              <w:t xml:space="preserve">93.94±0.76</w:t>
            </w:r>
          </w:p>
        </w:tc>
        <w:tc>
          <w:tcPr/>
          <w:p>
            <w:pPr>
              <w:pStyle w:val="TableText"/>
              <w:jc w:val="right"/>
            </w:pPr>
            <w:r>
              <w:t xml:space="preserve">88.28±0.36</w:t>
            </w:r>
          </w:p>
        </w:tc>
        <w:tc>
          <w:tcPr/>
          <w:p>
            <w:pPr>
              <w:pStyle w:val="TableText"/>
              <w:jc w:val="right"/>
            </w:pPr>
            <w:r>
              <w:t xml:space="preserve">93.22±0.20</w:t>
            </w:r>
          </w:p>
        </w:tc>
      </w:tr>
      <w:tr>
        <w:tc>
          <w:tcPr/>
          <w:p>
            <w:pPr>
              <w:pStyle w:val="TableText"/>
              <w:jc w:val="left"/>
            </w:pPr>
            <w:r>
              <w:t xml:space="preserve">GD (DDT)</w:t>
            </w:r>
          </w:p>
        </w:tc>
        <w:tc>
          <w:tcPr/>
          <w:p>
            <w:pPr>
              <w:pStyle w:val="TableText"/>
              <w:jc w:val="right"/>
            </w:pPr>
            <w:r>
              <w:t xml:space="preserve">5</w:t>
            </w:r>
          </w:p>
        </w:tc>
        <w:tc>
          <w:tcPr/>
          <w:p>
            <w:pPr>
              <w:pStyle w:val="TableText"/>
              <w:jc w:val="right"/>
            </w:pPr>
            <w:r>
              <w:t xml:space="preserve">98.37±0.03</w:t>
            </w:r>
          </w:p>
        </w:tc>
        <w:tc>
          <w:tcPr/>
          <w:p>
            <w:pPr>
              <w:pStyle w:val="TableText"/>
              <w:jc w:val="right"/>
            </w:pPr>
            <w:r>
              <w:rPr>
                <w:b/>
                <w:bCs/>
              </w:rPr>
              <w:t xml:space="preserve">93.96±0.34</w:t>
            </w:r>
          </w:p>
        </w:tc>
        <w:tc>
          <w:tcPr/>
          <w:p>
            <w:pPr>
              <w:pStyle w:val="TableText"/>
              <w:jc w:val="right"/>
            </w:pPr>
            <w:r>
              <w:t xml:space="preserve">93.37±0.38</w:t>
            </w:r>
          </w:p>
        </w:tc>
        <w:tc>
          <w:tcPr/>
          <w:p>
            <w:pPr>
              <w:pStyle w:val="TableText"/>
              <w:jc w:val="right"/>
            </w:pPr>
            <w:r>
              <w:t xml:space="preserve">93.66±0.13</w:t>
            </w:r>
          </w:p>
        </w:tc>
        <w:tc>
          <w:tcPr/>
          <w:p>
            <w:pPr>
              <w:pStyle w:val="TableText"/>
              <w:jc w:val="right"/>
            </w:pPr>
            <w:r>
              <w:t xml:space="preserve">93.43±0.32</w:t>
            </w:r>
          </w:p>
        </w:tc>
        <w:tc>
          <w:tcPr/>
          <w:p>
            <w:pPr>
              <w:pStyle w:val="TableText"/>
              <w:jc w:val="right"/>
            </w:pPr>
            <w:r>
              <w:t xml:space="preserve">93.40±0.35</w:t>
            </w:r>
          </w:p>
        </w:tc>
        <w:tc>
          <w:tcPr/>
          <w:p>
            <w:pPr>
              <w:pStyle w:val="TableText"/>
              <w:jc w:val="right"/>
            </w:pPr>
            <w:r>
              <w:t xml:space="preserve">88.08±0.23</w:t>
            </w:r>
          </w:p>
        </w:tc>
        <w:tc>
          <w:tcPr/>
          <w:p>
            <w:pPr>
              <w:pStyle w:val="TableText"/>
              <w:jc w:val="right"/>
            </w:pPr>
            <w:r>
              <w:t xml:space="preserve">93.12±0.14</w:t>
            </w:r>
          </w:p>
        </w:tc>
      </w:tr>
      <w:tr>
        <w:tc>
          <w:tcPr/>
          <w:p>
            <w:pPr>
              <w:pStyle w:val="TableText"/>
              <w:jc w:val="left"/>
            </w:pPr>
            <w:r>
              <w:t xml:space="preserve">GFa</w:t>
            </w:r>
          </w:p>
        </w:tc>
        <w:tc>
          <w:tcPr/>
          <w:p>
            <w:pPr>
              <w:pStyle w:val="TableText"/>
              <w:jc w:val="right"/>
            </w:pPr>
            <w:r>
              <w:t xml:space="preserve">3</w:t>
            </w:r>
          </w:p>
        </w:tc>
        <w:tc>
          <w:tcPr/>
          <w:p>
            <w:pPr>
              <w:pStyle w:val="TableText"/>
              <w:jc w:val="right"/>
            </w:pPr>
            <w:r>
              <w:t xml:space="preserve">98.40±0.02</w:t>
            </w:r>
          </w:p>
        </w:tc>
        <w:tc>
          <w:tcPr/>
          <w:p>
            <w:pPr>
              <w:pStyle w:val="TableText"/>
              <w:jc w:val="right"/>
            </w:pPr>
            <w:r>
              <w:t xml:space="preserve">93.66±0.72</w:t>
            </w:r>
          </w:p>
        </w:tc>
        <w:tc>
          <w:tcPr/>
          <w:p>
            <w:pPr>
              <w:pStyle w:val="TableText"/>
              <w:jc w:val="right"/>
            </w:pPr>
            <w:r>
              <w:t xml:space="preserve">93.96±0.97</w:t>
            </w:r>
          </w:p>
        </w:tc>
        <w:tc>
          <w:tcPr/>
          <w:p>
            <w:pPr>
              <w:pStyle w:val="TableText"/>
              <w:jc w:val="right"/>
            </w:pPr>
            <w:r>
              <w:t xml:space="preserve">93.81±0.14</w:t>
            </w:r>
          </w:p>
        </w:tc>
        <w:tc>
          <w:tcPr/>
          <w:p>
            <w:pPr>
              <w:pStyle w:val="TableText"/>
              <w:jc w:val="right"/>
            </w:pPr>
            <w:r>
              <w:t xml:space="preserve">93.93±0.80</w:t>
            </w:r>
          </w:p>
        </w:tc>
        <w:tc>
          <w:tcPr/>
          <w:p>
            <w:pPr>
              <w:pStyle w:val="TableText"/>
              <w:jc w:val="right"/>
            </w:pPr>
            <w:r>
              <w:t xml:space="preserve">93.94±0.87</w:t>
            </w:r>
          </w:p>
        </w:tc>
        <w:tc>
          <w:tcPr/>
          <w:p>
            <w:pPr>
              <w:pStyle w:val="TableText"/>
              <w:jc w:val="right"/>
            </w:pPr>
            <w:r>
              <w:t xml:space="preserve">88.33±0.24</w:t>
            </w:r>
          </w:p>
        </w:tc>
        <w:tc>
          <w:tcPr/>
          <w:p>
            <w:pPr>
              <w:pStyle w:val="TableText"/>
              <w:jc w:val="right"/>
            </w:pPr>
            <w:r>
              <w:t xml:space="preserve">93.26±0.13</w:t>
            </w:r>
          </w:p>
        </w:tc>
      </w:tr>
      <w:tr>
        <w:tc>
          <w:tcPr/>
          <w:p>
            <w:pPr>
              <w:pStyle w:val="TableText"/>
              <w:jc w:val="left"/>
            </w:pPr>
            <w:r>
              <w:t xml:space="preserve">GFb</w:t>
            </w:r>
          </w:p>
        </w:tc>
        <w:tc>
          <w:tcPr/>
          <w:p>
            <w:pPr>
              <w:pStyle w:val="TableText"/>
              <w:jc w:val="right"/>
            </w:pPr>
            <w:r>
              <w:t xml:space="preserve">1</w:t>
            </w:r>
          </w:p>
        </w:tc>
        <w:tc>
          <w:tcPr/>
          <w:p>
            <w:pPr>
              <w:pStyle w:val="TableText"/>
              <w:jc w:val="right"/>
            </w:pPr>
            <w:r>
              <w:t xml:space="preserve">98.39</w:t>
            </w:r>
          </w:p>
        </w:tc>
        <w:tc>
          <w:tcPr/>
          <w:p>
            <w:pPr>
              <w:pStyle w:val="TableText"/>
              <w:jc w:val="right"/>
            </w:pPr>
            <w:r>
              <w:t xml:space="preserve">93.86</w:t>
            </w:r>
          </w:p>
        </w:tc>
        <w:tc>
          <w:tcPr/>
          <w:p>
            <w:pPr>
              <w:pStyle w:val="TableText"/>
              <w:jc w:val="right"/>
            </w:pPr>
            <w:r>
              <w:t xml:space="preserve">93.65</w:t>
            </w:r>
          </w:p>
        </w:tc>
        <w:tc>
          <w:tcPr/>
          <w:p>
            <w:pPr>
              <w:pStyle w:val="TableText"/>
              <w:jc w:val="right"/>
            </w:pPr>
            <w:r>
              <w:t xml:space="preserve">93.75</w:t>
            </w:r>
          </w:p>
        </w:tc>
        <w:tc>
          <w:tcPr/>
          <w:p>
            <w:pPr>
              <w:pStyle w:val="TableText"/>
              <w:jc w:val="right"/>
            </w:pPr>
            <w:r>
              <w:t xml:space="preserve">93.67</w:t>
            </w:r>
          </w:p>
        </w:tc>
        <w:tc>
          <w:tcPr/>
          <w:p>
            <w:pPr>
              <w:pStyle w:val="TableText"/>
              <w:jc w:val="right"/>
            </w:pPr>
            <w:r>
              <w:t xml:space="preserve">93.66</w:t>
            </w:r>
          </w:p>
        </w:tc>
        <w:tc>
          <w:tcPr/>
          <w:p>
            <w:pPr>
              <w:pStyle w:val="TableText"/>
              <w:jc w:val="right"/>
            </w:pPr>
            <w:r>
              <w:t xml:space="preserve">88.24</w:t>
            </w:r>
          </w:p>
        </w:tc>
        <w:tc>
          <w:tcPr/>
          <w:p>
            <w:pPr>
              <w:pStyle w:val="TableText"/>
              <w:jc w:val="right"/>
            </w:pPr>
            <w:r>
              <w:t xml:space="preserve">93.21</w:t>
            </w:r>
          </w:p>
        </w:tc>
      </w:tr>
    </w:tbl>
    <w:p>
      <w:pPr>
        <w:pStyle w:val="BodyText"/>
      </w:pPr>
      <w:r>
        <w:rPr>
          <w:b/>
          <w:bCs/>
        </w:rPr>
        <w:t xml:space="preserve">Reading the tables.</w:t>
      </w:r>
    </w:p>
    <w:p>
      <w:pPr>
        <w:pStyle w:val="Compact"/>
        <w:numPr>
          <w:ilvl w:val="0"/>
          <w:numId w:val="1022"/>
        </w:numPr>
      </w:pPr>
      <w:r>
        <w:rPr>
          <w:b/>
          <w:bCs/>
        </w:rPr>
        <w:t xml:space="preserve">DeepGlobe.</w:t>
      </w:r>
      <w:r>
        <w:t xml:space="preserve"> </w:t>
      </w:r>
      <w:r>
        <w:t xml:space="preserve">GA has the highest accuracy, precision, F1, IoU and mIoU, and GAw and GFa are close behind. GB (with R2 close behind) is best on recall, F3 and F4: it finds slightly more road at the cost of more false positives.</w:t>
      </w:r>
    </w:p>
    <w:p>
      <w:pPr>
        <w:pStyle w:val="Compact"/>
        <w:numPr>
          <w:ilvl w:val="0"/>
          <w:numId w:val="1022"/>
        </w:numPr>
      </w:pPr>
      <w:r>
        <w:rPr>
          <w:b/>
          <w:bCs/>
        </w:rPr>
        <w:t xml:space="preserve">Massachusetts.</w:t>
      </w:r>
      <w:r>
        <w:t xml:space="preserve"> </w:t>
      </w:r>
      <w:r>
        <w:t xml:space="preserve">All models are within about one IoU point. The from-scratch U-Net is best on most metrics, and GA and GFa are the best ResNeXt models.</w:t>
      </w:r>
    </w:p>
    <w:p>
      <w:pPr>
        <w:pStyle w:val="Compact"/>
        <w:numPr>
          <w:ilvl w:val="0"/>
          <w:numId w:val="1022"/>
        </w:numPr>
      </w:pPr>
      <w:r>
        <w:rPr>
          <w:b/>
          <w:bCs/>
        </w:rPr>
        <w:t xml:space="preserve">Ottawa.</w:t>
      </w:r>
      <w:r>
        <w:t xml:space="preserve"> </w:t>
      </w:r>
      <w:r>
        <w:t xml:space="preserve">The control R0 is best on every metric except precision, where GD is highest: the geometric variants trade recall for precision.</w:t>
      </w:r>
    </w:p>
    <w:bookmarkEnd w:id="106"/>
    <w:bookmarkStart w:id="107" w:name="topology-and-per-image-metrics-secondary"/>
    <w:p>
      <w:pPr>
        <w:pStyle w:val="Heading2"/>
      </w:pPr>
      <w:r>
        <w:rPr>
          <w:rStyle w:val="SectionNumber"/>
        </w:rPr>
        <w:t xml:space="preserve">10.3</w:t>
      </w:r>
      <w:r>
        <w:tab/>
      </w:r>
      <w:r>
        <w:t xml:space="preserve">Topology and per-image metrics (secondary)</w:t>
      </w:r>
    </w:p>
    <w:p>
      <w:pPr>
        <w:pStyle w:val="TableCaption"/>
      </w:pPr>
      <w:r>
        <w:t xml:space="preserve">Table 9. DeepGlobe: per-image IoU and topology metrics (%).</w:t>
      </w:r>
    </w:p>
    <w:tbl>
      <w:tblPr>
        <w:tblStyle w:val="Table"/>
        <w:tblW w:type="pct" w:w="5000"/>
        <w:tblLayout w:type="fixed"/>
        <w:tblLook w:firstRow="1" w:lastRow="0" w:firstColumn="0" w:lastColumn="0" w:noHBand="0" w:noVBand="0" w:val="0020"/>
        <w:tblCaption w:val="Table 9. DeepGlobe: per-image IoU and topology metrics (%)."/>
      </w:tblPr>
      <w:tblGrid>
        <w:gridCol w:w="749"/>
        <w:gridCol w:w="321"/>
        <w:gridCol w:w="1712"/>
        <w:gridCol w:w="1712"/>
        <w:gridCol w:w="1712"/>
        <w:gridCol w:w="1712"/>
      </w:tblGrid>
      <w:tr>
        <w:trPr>
          <w:tblHeader w:val="on"/>
        </w:trPr>
        <w:tc>
          <w:tcPr/>
          <w:p>
            <w:pPr>
              <w:pStyle w:val="TableText"/>
              <w:jc w:val="left"/>
            </w:pPr>
            <w:r>
              <w:t xml:space="preserve">Model</w:t>
            </w:r>
          </w:p>
        </w:tc>
        <w:tc>
          <w:tcPr/>
          <w:p>
            <w:pPr>
              <w:pStyle w:val="TableText"/>
              <w:jc w:val="right"/>
            </w:pPr>
            <w:r>
              <w:t xml:space="preserve">n</w:t>
            </w:r>
          </w:p>
        </w:tc>
        <w:tc>
          <w:tcPr/>
          <w:p>
            <w:pPr>
              <w:pStyle w:val="TableText"/>
              <w:jc w:val="right"/>
            </w:pPr>
            <w:r>
              <w:t xml:space="preserve">IoU (per image)</w:t>
            </w:r>
          </w:p>
        </w:tc>
        <w:tc>
          <w:tcPr/>
          <w:p>
            <w:pPr>
              <w:pStyle w:val="TableText"/>
              <w:jc w:val="right"/>
            </w:pPr>
            <w:r>
              <w:t xml:space="preserve">Relaxed F1 (ρ = 3)</w:t>
            </w:r>
          </w:p>
        </w:tc>
        <w:tc>
          <w:tcPr/>
          <w:p>
            <w:pPr>
              <w:pStyle w:val="TableText"/>
              <w:jc w:val="right"/>
            </w:pPr>
            <w:r>
              <w:t xml:space="preserve">clDice</w:t>
            </w:r>
          </w:p>
        </w:tc>
        <w:tc>
          <w:tcPr/>
          <w:p>
            <w:pPr>
              <w:pStyle w:val="TableText"/>
              <w:jc w:val="right"/>
            </w:pPr>
            <w:r>
              <w:t xml:space="preserve">APLS</w:t>
            </w:r>
          </w:p>
        </w:tc>
      </w:tr>
      <w:tr>
        <w:tc>
          <w:tcPr/>
          <w:p>
            <w:pPr>
              <w:pStyle w:val="TableText"/>
              <w:jc w:val="left"/>
            </w:pPr>
            <w:r>
              <w:t xml:space="preserve">U-Net</w:t>
            </w:r>
          </w:p>
        </w:tc>
        <w:tc>
          <w:tcPr/>
          <w:p>
            <w:pPr>
              <w:pStyle w:val="TableText"/>
              <w:jc w:val="right"/>
            </w:pPr>
            <w:r>
              <w:t xml:space="preserve">3</w:t>
            </w:r>
          </w:p>
        </w:tc>
        <w:tc>
          <w:tcPr/>
          <w:p>
            <w:pPr>
              <w:pStyle w:val="TableText"/>
              <w:jc w:val="right"/>
            </w:pPr>
            <w:r>
              <w:t xml:space="preserve">64.19±0.09</w:t>
            </w:r>
          </w:p>
        </w:tc>
        <w:tc>
          <w:tcPr/>
          <w:p>
            <w:pPr>
              <w:pStyle w:val="TableText"/>
              <w:jc w:val="right"/>
            </w:pPr>
            <w:r>
              <w:t xml:space="preserve">87.64±0.08</w:t>
            </w:r>
          </w:p>
        </w:tc>
        <w:tc>
          <w:tcPr/>
          <w:p>
            <w:pPr>
              <w:pStyle w:val="TableText"/>
              <w:jc w:val="right"/>
            </w:pPr>
            <w:r>
              <w:t xml:space="preserve">83.78±0.11</w:t>
            </w:r>
          </w:p>
        </w:tc>
        <w:tc>
          <w:tcPr/>
          <w:p>
            <w:pPr>
              <w:pStyle w:val="TableText"/>
              <w:jc w:val="right"/>
            </w:pPr>
            <w:r>
              <w:t xml:space="preserve">71.93±0.20</w:t>
            </w:r>
          </w:p>
        </w:tc>
      </w:tr>
      <w:tr>
        <w:tc>
          <w:tcPr/>
          <w:p>
            <w:pPr>
              <w:pStyle w:val="TableText"/>
              <w:jc w:val="left"/>
            </w:pPr>
            <w:r>
              <w:t xml:space="preserve">D-LinkNet</w:t>
            </w:r>
          </w:p>
        </w:tc>
        <w:tc>
          <w:tcPr/>
          <w:p>
            <w:pPr>
              <w:pStyle w:val="TableText"/>
              <w:jc w:val="right"/>
            </w:pPr>
            <w:r>
              <w:t xml:space="preserve">3</w:t>
            </w:r>
          </w:p>
        </w:tc>
        <w:tc>
          <w:tcPr/>
          <w:p>
            <w:pPr>
              <w:pStyle w:val="TableText"/>
              <w:jc w:val="right"/>
            </w:pPr>
            <w:r>
              <w:t xml:space="preserve">66.69±0.08</w:t>
            </w:r>
          </w:p>
        </w:tc>
        <w:tc>
          <w:tcPr/>
          <w:p>
            <w:pPr>
              <w:pStyle w:val="TableText"/>
              <w:jc w:val="right"/>
            </w:pPr>
            <w:r>
              <w:t xml:space="preserve">89.55±0.04</w:t>
            </w:r>
          </w:p>
        </w:tc>
        <w:tc>
          <w:tcPr/>
          <w:p>
            <w:pPr>
              <w:pStyle w:val="TableText"/>
              <w:jc w:val="right"/>
            </w:pPr>
            <w:r>
              <w:t xml:space="preserve">86.13±0.09</w:t>
            </w:r>
          </w:p>
        </w:tc>
        <w:tc>
          <w:tcPr/>
          <w:p>
            <w:pPr>
              <w:pStyle w:val="TableText"/>
              <w:jc w:val="right"/>
            </w:pPr>
            <w:r>
              <w:t xml:space="preserve">76.14±0.36</w:t>
            </w:r>
          </w:p>
        </w:tc>
      </w:tr>
      <w:tr>
        <w:tc>
          <w:tcPr/>
          <w:p>
            <w:pPr>
              <w:pStyle w:val="TableText"/>
              <w:jc w:val="left"/>
            </w:pPr>
            <w:r>
              <w:t xml:space="preserve">R0 (control)</w:t>
            </w:r>
          </w:p>
        </w:tc>
        <w:tc>
          <w:tcPr/>
          <w:p>
            <w:pPr>
              <w:pStyle w:val="TableText"/>
              <w:jc w:val="right"/>
            </w:pPr>
            <w:r>
              <w:t xml:space="preserve">3</w:t>
            </w:r>
          </w:p>
        </w:tc>
        <w:tc>
          <w:tcPr/>
          <w:p>
            <w:pPr>
              <w:pStyle w:val="TableText"/>
              <w:jc w:val="right"/>
            </w:pPr>
            <w:r>
              <w:t xml:space="preserve">67.51±0.32</w:t>
            </w:r>
          </w:p>
        </w:tc>
        <w:tc>
          <w:tcPr/>
          <w:p>
            <w:pPr>
              <w:pStyle w:val="TableText"/>
              <w:jc w:val="right"/>
            </w:pPr>
            <w:r>
              <w:t xml:space="preserve">89.78±0.26</w:t>
            </w:r>
          </w:p>
        </w:tc>
        <w:tc>
          <w:tcPr/>
          <w:p>
            <w:pPr>
              <w:pStyle w:val="TableText"/>
              <w:jc w:val="right"/>
            </w:pPr>
            <w:r>
              <w:t xml:space="preserve">86.65±0.20</w:t>
            </w:r>
          </w:p>
        </w:tc>
        <w:tc>
          <w:tcPr/>
          <w:p>
            <w:pPr>
              <w:pStyle w:val="TableText"/>
              <w:jc w:val="right"/>
            </w:pPr>
            <w:r>
              <w:t xml:space="preserve">77.55±0.45</w:t>
            </w:r>
          </w:p>
        </w:tc>
      </w:tr>
      <w:tr>
        <w:tc>
          <w:tcPr/>
          <w:p>
            <w:pPr>
              <w:pStyle w:val="TableText"/>
              <w:jc w:val="left"/>
            </w:pPr>
            <w:r>
              <w:t xml:space="preserve">R1 (DWT)</w:t>
            </w:r>
          </w:p>
        </w:tc>
        <w:tc>
          <w:tcPr/>
          <w:p>
            <w:pPr>
              <w:pStyle w:val="TableText"/>
              <w:jc w:val="right"/>
            </w:pPr>
            <w:r>
              <w:t xml:space="preserve">3</w:t>
            </w:r>
          </w:p>
        </w:tc>
        <w:tc>
          <w:tcPr/>
          <w:p>
            <w:pPr>
              <w:pStyle w:val="TableText"/>
              <w:jc w:val="right"/>
            </w:pPr>
            <w:r>
              <w:t xml:space="preserve">67.68±0.05</w:t>
            </w:r>
          </w:p>
        </w:tc>
        <w:tc>
          <w:tcPr/>
          <w:p>
            <w:pPr>
              <w:pStyle w:val="TableText"/>
              <w:jc w:val="right"/>
            </w:pPr>
            <w:r>
              <w:t xml:space="preserve">89.88±0.04</w:t>
            </w:r>
          </w:p>
        </w:tc>
        <w:tc>
          <w:tcPr/>
          <w:p>
            <w:pPr>
              <w:pStyle w:val="TableText"/>
              <w:jc w:val="right"/>
            </w:pPr>
            <w:r>
              <w:t xml:space="preserve">86.70±0.07</w:t>
            </w:r>
          </w:p>
        </w:tc>
        <w:tc>
          <w:tcPr/>
          <w:p>
            <w:pPr>
              <w:pStyle w:val="TableText"/>
              <w:jc w:val="right"/>
            </w:pPr>
            <w:r>
              <w:t xml:space="preserve">77.77±0.20</w:t>
            </w:r>
          </w:p>
        </w:tc>
      </w:tr>
      <w:tr>
        <w:tc>
          <w:tcPr/>
          <w:p>
            <w:pPr>
              <w:pStyle w:val="TableText"/>
              <w:jc w:val="left"/>
            </w:pPr>
            <w:r>
              <w:t xml:space="preserve">R2 (wavelet)</w:t>
            </w:r>
          </w:p>
        </w:tc>
        <w:tc>
          <w:tcPr/>
          <w:p>
            <w:pPr>
              <w:pStyle w:val="TableText"/>
              <w:jc w:val="right"/>
            </w:pPr>
            <w:r>
              <w:t xml:space="preserve">3</w:t>
            </w:r>
          </w:p>
        </w:tc>
        <w:tc>
          <w:tcPr/>
          <w:p>
            <w:pPr>
              <w:pStyle w:val="TableText"/>
              <w:jc w:val="right"/>
            </w:pPr>
            <w:r>
              <w:t xml:space="preserve">67.90±0.11</w:t>
            </w:r>
          </w:p>
        </w:tc>
        <w:tc>
          <w:tcPr/>
          <w:p>
            <w:pPr>
              <w:pStyle w:val="TableText"/>
              <w:jc w:val="right"/>
            </w:pPr>
            <w:r>
              <w:rPr>
                <w:b/>
                <w:bCs/>
              </w:rPr>
              <w:t xml:space="preserve">89.96±0.05</w:t>
            </w:r>
          </w:p>
        </w:tc>
        <w:tc>
          <w:tcPr/>
          <w:p>
            <w:pPr>
              <w:pStyle w:val="TableText"/>
              <w:jc w:val="right"/>
            </w:pPr>
            <w:r>
              <w:rPr>
                <w:b/>
                <w:bCs/>
              </w:rPr>
              <w:t xml:space="preserve">86.87±0.03</w:t>
            </w:r>
          </w:p>
        </w:tc>
        <w:tc>
          <w:tcPr/>
          <w:p>
            <w:pPr>
              <w:pStyle w:val="TableText"/>
              <w:jc w:val="right"/>
            </w:pPr>
            <w:r>
              <w:rPr>
                <w:b/>
                <w:bCs/>
              </w:rPr>
              <w:t xml:space="preserve">78.14±0.13</w:t>
            </w:r>
          </w:p>
        </w:tc>
      </w:tr>
      <w:tr>
        <w:tc>
          <w:tcPr/>
          <w:p>
            <w:pPr>
              <w:pStyle w:val="TableText"/>
              <w:jc w:val="left"/>
            </w:pPr>
            <w:r>
              <w:t xml:space="preserve">R3 (+clDice)</w:t>
            </w:r>
          </w:p>
        </w:tc>
        <w:tc>
          <w:tcPr/>
          <w:p>
            <w:pPr>
              <w:pStyle w:val="TableText"/>
              <w:jc w:val="right"/>
            </w:pPr>
            <w:r>
              <w:t xml:space="preserve">3</w:t>
            </w:r>
          </w:p>
        </w:tc>
        <w:tc>
          <w:tcPr/>
          <w:p>
            <w:pPr>
              <w:pStyle w:val="TableText"/>
              <w:jc w:val="right"/>
            </w:pPr>
            <w:r>
              <w:t xml:space="preserve">67.23±0.10</w:t>
            </w:r>
          </w:p>
        </w:tc>
        <w:tc>
          <w:tcPr/>
          <w:p>
            <w:pPr>
              <w:pStyle w:val="TableText"/>
              <w:jc w:val="right"/>
            </w:pPr>
            <w:r>
              <w:t xml:space="preserve">89.52±0.13</w:t>
            </w:r>
          </w:p>
        </w:tc>
        <w:tc>
          <w:tcPr/>
          <w:p>
            <w:pPr>
              <w:pStyle w:val="TableText"/>
              <w:jc w:val="right"/>
            </w:pPr>
            <w:r>
              <w:t xml:space="preserve">86.83±0.09</w:t>
            </w:r>
          </w:p>
        </w:tc>
        <w:tc>
          <w:tcPr/>
          <w:p>
            <w:pPr>
              <w:pStyle w:val="TableText"/>
              <w:jc w:val="right"/>
            </w:pPr>
            <w:r>
              <w:t xml:space="preserve">77.63±0.45</w:t>
            </w:r>
          </w:p>
        </w:tc>
      </w:tr>
      <w:tr>
        <w:tc>
          <w:tcPr/>
          <w:p>
            <w:pPr>
              <w:pStyle w:val="TableText"/>
              <w:jc w:val="left"/>
            </w:pPr>
            <w:r>
              <w:t xml:space="preserve">GA</w:t>
            </w:r>
          </w:p>
        </w:tc>
        <w:tc>
          <w:tcPr/>
          <w:p>
            <w:pPr>
              <w:pStyle w:val="TableText"/>
              <w:jc w:val="right"/>
            </w:pPr>
            <w:r>
              <w:t xml:space="preserve">3</w:t>
            </w:r>
          </w:p>
        </w:tc>
        <w:tc>
          <w:tcPr/>
          <w:p>
            <w:pPr>
              <w:pStyle w:val="TableText"/>
              <w:jc w:val="right"/>
            </w:pPr>
            <w:r>
              <w:rPr>
                <w:b/>
                <w:bCs/>
              </w:rPr>
              <w:t xml:space="preserve">68.24±0.10</w:t>
            </w:r>
          </w:p>
        </w:tc>
        <w:tc>
          <w:tcPr/>
          <w:p>
            <w:pPr>
              <w:pStyle w:val="TableText"/>
              <w:jc w:val="right"/>
            </w:pPr>
            <w:r>
              <w:t xml:space="preserve">89.85±0.11</w:t>
            </w:r>
          </w:p>
        </w:tc>
        <w:tc>
          <w:tcPr/>
          <w:p>
            <w:pPr>
              <w:pStyle w:val="TableText"/>
              <w:jc w:val="right"/>
            </w:pPr>
            <w:r>
              <w:t xml:space="preserve">86.59±0.11</w:t>
            </w:r>
          </w:p>
        </w:tc>
        <w:tc>
          <w:tcPr/>
          <w:p>
            <w:pPr>
              <w:pStyle w:val="TableText"/>
              <w:jc w:val="right"/>
            </w:pPr>
            <w:r>
              <w:t xml:space="preserve">77.53±0.14</w:t>
            </w:r>
          </w:p>
        </w:tc>
      </w:tr>
      <w:tr>
        <w:tc>
          <w:tcPr/>
          <w:p>
            <w:pPr>
              <w:pStyle w:val="TableText"/>
              <w:jc w:val="left"/>
            </w:pPr>
            <w:r>
              <w:t xml:space="preserve">GB</w:t>
            </w:r>
          </w:p>
        </w:tc>
        <w:tc>
          <w:tcPr/>
          <w:p>
            <w:pPr>
              <w:pStyle w:val="TableText"/>
              <w:jc w:val="right"/>
            </w:pPr>
            <w:r>
              <w:t xml:space="preserve">3</w:t>
            </w:r>
          </w:p>
        </w:tc>
        <w:tc>
          <w:tcPr/>
          <w:p>
            <w:pPr>
              <w:pStyle w:val="TableText"/>
              <w:jc w:val="right"/>
            </w:pPr>
            <w:r>
              <w:t xml:space="preserve">67.33±0.16</w:t>
            </w:r>
          </w:p>
        </w:tc>
        <w:tc>
          <w:tcPr/>
          <w:p>
            <w:pPr>
              <w:pStyle w:val="TableText"/>
              <w:jc w:val="right"/>
            </w:pPr>
            <w:r>
              <w:t xml:space="preserve">89.40±0.05</w:t>
            </w:r>
          </w:p>
        </w:tc>
        <w:tc>
          <w:tcPr/>
          <w:p>
            <w:pPr>
              <w:pStyle w:val="TableText"/>
              <w:jc w:val="right"/>
            </w:pPr>
            <w:r>
              <w:t xml:space="preserve">86.80±0.04</w:t>
            </w:r>
          </w:p>
        </w:tc>
        <w:tc>
          <w:tcPr/>
          <w:p>
            <w:pPr>
              <w:pStyle w:val="TableText"/>
              <w:jc w:val="right"/>
            </w:pPr>
            <w:r>
              <w:t xml:space="preserve">75.88±0.11</w:t>
            </w:r>
          </w:p>
        </w:tc>
      </w:tr>
      <w:tr>
        <w:tc>
          <w:tcPr/>
          <w:p>
            <w:pPr>
              <w:pStyle w:val="TableText"/>
              <w:jc w:val="left"/>
            </w:pPr>
            <w:r>
              <w:t xml:space="preserve">GAc</w:t>
            </w:r>
          </w:p>
        </w:tc>
        <w:tc>
          <w:tcPr/>
          <w:p>
            <w:pPr>
              <w:pStyle w:val="TableText"/>
              <w:jc w:val="right"/>
            </w:pPr>
            <w:r>
              <w:t xml:space="preserve">3</w:t>
            </w:r>
          </w:p>
        </w:tc>
        <w:tc>
          <w:tcPr/>
          <w:p>
            <w:pPr>
              <w:pStyle w:val="TableText"/>
              <w:jc w:val="right"/>
            </w:pPr>
            <w:r>
              <w:t xml:space="preserve">67.55±0.18</w:t>
            </w:r>
          </w:p>
        </w:tc>
        <w:tc>
          <w:tcPr/>
          <w:p>
            <w:pPr>
              <w:pStyle w:val="TableText"/>
              <w:jc w:val="right"/>
            </w:pPr>
            <w:r>
              <w:t xml:space="preserve">89.76±0.16</w:t>
            </w:r>
          </w:p>
        </w:tc>
        <w:tc>
          <w:tcPr/>
          <w:p>
            <w:pPr>
              <w:pStyle w:val="TableText"/>
              <w:jc w:val="right"/>
            </w:pPr>
            <w:r>
              <w:t xml:space="preserve">86.61±0.18</w:t>
            </w:r>
          </w:p>
        </w:tc>
        <w:tc>
          <w:tcPr/>
          <w:p>
            <w:pPr>
              <w:pStyle w:val="TableText"/>
              <w:jc w:val="right"/>
            </w:pPr>
            <w:r>
              <w:t xml:space="preserve">77.59±0.33</w:t>
            </w:r>
          </w:p>
        </w:tc>
      </w:tr>
      <w:tr>
        <w:tc>
          <w:tcPr/>
          <w:p>
            <w:pPr>
              <w:pStyle w:val="TableText"/>
              <w:jc w:val="left"/>
            </w:pPr>
            <w:r>
              <w:t xml:space="preserve">GAw</w:t>
            </w:r>
          </w:p>
        </w:tc>
        <w:tc>
          <w:tcPr/>
          <w:p>
            <w:pPr>
              <w:pStyle w:val="TableText"/>
              <w:jc w:val="right"/>
            </w:pPr>
            <w:r>
              <w:t xml:space="preserve">3</w:t>
            </w:r>
          </w:p>
        </w:tc>
        <w:tc>
          <w:tcPr/>
          <w:p>
            <w:pPr>
              <w:pStyle w:val="TableText"/>
              <w:jc w:val="right"/>
            </w:pPr>
            <w:r>
              <w:t xml:space="preserve">67.93±0.10</w:t>
            </w:r>
          </w:p>
        </w:tc>
        <w:tc>
          <w:tcPr/>
          <w:p>
            <w:pPr>
              <w:pStyle w:val="TableText"/>
              <w:jc w:val="right"/>
            </w:pPr>
            <w:r>
              <w:t xml:space="preserve">89.62±0.10</w:t>
            </w:r>
          </w:p>
        </w:tc>
        <w:tc>
          <w:tcPr/>
          <w:p>
            <w:pPr>
              <w:pStyle w:val="TableText"/>
              <w:jc w:val="right"/>
            </w:pPr>
            <w:r>
              <w:t xml:space="preserve">86.39±0.12</w:t>
            </w:r>
          </w:p>
        </w:tc>
        <w:tc>
          <w:tcPr/>
          <w:p>
            <w:pPr>
              <w:pStyle w:val="TableText"/>
              <w:jc w:val="right"/>
            </w:pPr>
            <w:r>
              <w:t xml:space="preserve">77.48±0.46</w:t>
            </w:r>
          </w:p>
        </w:tc>
      </w:tr>
      <w:tr>
        <w:tc>
          <w:tcPr/>
          <w:p>
            <w:pPr>
              <w:pStyle w:val="TableText"/>
              <w:jc w:val="left"/>
            </w:pPr>
            <w:r>
              <w:t xml:space="preserve">GD (DDT)</w:t>
            </w:r>
          </w:p>
        </w:tc>
        <w:tc>
          <w:tcPr/>
          <w:p>
            <w:pPr>
              <w:pStyle w:val="TableText"/>
              <w:jc w:val="right"/>
            </w:pPr>
            <w:r>
              <w:t xml:space="preserve">3</w:t>
            </w:r>
          </w:p>
        </w:tc>
        <w:tc>
          <w:tcPr/>
          <w:p>
            <w:pPr>
              <w:pStyle w:val="TableText"/>
              <w:jc w:val="right"/>
            </w:pPr>
            <w:r>
              <w:t xml:space="preserve">67.77±0.02</w:t>
            </w:r>
          </w:p>
        </w:tc>
        <w:tc>
          <w:tcPr/>
          <w:p>
            <w:pPr>
              <w:pStyle w:val="TableText"/>
              <w:jc w:val="right"/>
            </w:pPr>
            <w:r>
              <w:t xml:space="preserve">89.54±0.03</w:t>
            </w:r>
          </w:p>
        </w:tc>
        <w:tc>
          <w:tcPr/>
          <w:p>
            <w:pPr>
              <w:pStyle w:val="TableText"/>
              <w:jc w:val="right"/>
            </w:pPr>
            <w:r>
              <w:t xml:space="preserve">86.15±0.07</w:t>
            </w:r>
          </w:p>
        </w:tc>
        <w:tc>
          <w:tcPr/>
          <w:p>
            <w:pPr>
              <w:pStyle w:val="TableText"/>
              <w:jc w:val="right"/>
            </w:pPr>
            <w:r>
              <w:t xml:space="preserve">77.17±0.12</w:t>
            </w:r>
          </w:p>
        </w:tc>
      </w:tr>
      <w:tr>
        <w:tc>
          <w:tcPr/>
          <w:p>
            <w:pPr>
              <w:pStyle w:val="TableText"/>
              <w:jc w:val="left"/>
            </w:pPr>
            <w:r>
              <w:t xml:space="preserve">GO (orient.)</w:t>
            </w:r>
          </w:p>
        </w:tc>
        <w:tc>
          <w:tcPr/>
          <w:p>
            <w:pPr>
              <w:pStyle w:val="TableText"/>
              <w:jc w:val="right"/>
            </w:pPr>
            <w:r>
              <w:t xml:space="preserve">3</w:t>
            </w:r>
          </w:p>
        </w:tc>
        <w:tc>
          <w:tcPr/>
          <w:p>
            <w:pPr>
              <w:pStyle w:val="TableText"/>
              <w:jc w:val="right"/>
            </w:pPr>
            <w:r>
              <w:t xml:space="preserve">67.64±0.40</w:t>
            </w:r>
          </w:p>
        </w:tc>
        <w:tc>
          <w:tcPr/>
          <w:p>
            <w:pPr>
              <w:pStyle w:val="TableText"/>
              <w:jc w:val="right"/>
            </w:pPr>
            <w:r>
              <w:t xml:space="preserve">89.82±0.40</w:t>
            </w:r>
          </w:p>
        </w:tc>
        <w:tc>
          <w:tcPr/>
          <w:p>
            <w:pPr>
              <w:pStyle w:val="TableText"/>
              <w:jc w:val="right"/>
            </w:pPr>
            <w:r>
              <w:t xml:space="preserve">86.67±0.29</w:t>
            </w:r>
          </w:p>
        </w:tc>
        <w:tc>
          <w:tcPr/>
          <w:p>
            <w:pPr>
              <w:pStyle w:val="TableText"/>
              <w:jc w:val="right"/>
            </w:pPr>
            <w:r>
              <w:t xml:space="preserve">77.68±1.02</w:t>
            </w:r>
          </w:p>
        </w:tc>
      </w:tr>
      <w:tr>
        <w:tc>
          <w:tcPr/>
          <w:p>
            <w:pPr>
              <w:pStyle w:val="TableText"/>
              <w:jc w:val="left"/>
            </w:pPr>
            <w:r>
              <w:t xml:space="preserve">GFa</w:t>
            </w:r>
          </w:p>
        </w:tc>
        <w:tc>
          <w:tcPr/>
          <w:p>
            <w:pPr>
              <w:pStyle w:val="TableText"/>
              <w:jc w:val="right"/>
            </w:pPr>
            <w:r>
              <w:t xml:space="preserve">3</w:t>
            </w:r>
          </w:p>
        </w:tc>
        <w:tc>
          <w:tcPr/>
          <w:p>
            <w:pPr>
              <w:pStyle w:val="TableText"/>
              <w:jc w:val="right"/>
            </w:pPr>
            <w:r>
              <w:t xml:space="preserve">68.06±0.20</w:t>
            </w:r>
          </w:p>
        </w:tc>
        <w:tc>
          <w:tcPr/>
          <w:p>
            <w:pPr>
              <w:pStyle w:val="TableText"/>
              <w:jc w:val="right"/>
            </w:pPr>
            <w:r>
              <w:t xml:space="preserve">89.68±0.24</w:t>
            </w:r>
          </w:p>
        </w:tc>
        <w:tc>
          <w:tcPr/>
          <w:p>
            <w:pPr>
              <w:pStyle w:val="TableText"/>
              <w:jc w:val="right"/>
            </w:pPr>
            <w:r>
              <w:t xml:space="preserve">86.51±0.27</w:t>
            </w:r>
          </w:p>
        </w:tc>
        <w:tc>
          <w:tcPr/>
          <w:p>
            <w:pPr>
              <w:pStyle w:val="TableText"/>
              <w:jc w:val="right"/>
            </w:pPr>
            <w:r>
              <w:t xml:space="preserve">77.45±0.28</w:t>
            </w:r>
          </w:p>
        </w:tc>
      </w:tr>
      <w:tr>
        <w:tc>
          <w:tcPr/>
          <w:p>
            <w:pPr>
              <w:pStyle w:val="TableText"/>
              <w:jc w:val="left"/>
            </w:pPr>
            <w:r>
              <w:t xml:space="preserve">GFb</w:t>
            </w:r>
          </w:p>
        </w:tc>
        <w:tc>
          <w:tcPr/>
          <w:p>
            <w:pPr>
              <w:pStyle w:val="TableText"/>
              <w:jc w:val="right"/>
            </w:pPr>
            <w:r>
              <w:t xml:space="preserve">1</w:t>
            </w:r>
          </w:p>
        </w:tc>
        <w:tc>
          <w:tcPr/>
          <w:p>
            <w:pPr>
              <w:pStyle w:val="TableText"/>
              <w:jc w:val="right"/>
            </w:pPr>
            <w:r>
              <w:t xml:space="preserve">68.30</w:t>
            </w:r>
          </w:p>
        </w:tc>
        <w:tc>
          <w:tcPr/>
          <w:p>
            <w:pPr>
              <w:pStyle w:val="TableText"/>
              <w:jc w:val="right"/>
            </w:pPr>
            <w:r>
              <w:t xml:space="preserve">90.02</w:t>
            </w:r>
          </w:p>
        </w:tc>
        <w:tc>
          <w:tcPr/>
          <w:p>
            <w:pPr>
              <w:pStyle w:val="TableText"/>
              <w:jc w:val="right"/>
            </w:pPr>
            <w:r>
              <w:t xml:space="preserve">86.82</w:t>
            </w:r>
          </w:p>
        </w:tc>
        <w:tc>
          <w:tcPr/>
          <w:p>
            <w:pPr>
              <w:pStyle w:val="TableText"/>
              <w:jc w:val="right"/>
            </w:pPr>
            <w:r>
              <w:t xml:space="preserve">78.05</w:t>
            </w:r>
          </w:p>
        </w:tc>
      </w:tr>
    </w:tbl>
    <w:p/>
    <w:p>
      <w:pPr>
        <w:pStyle w:val="TableCaption"/>
      </w:pPr>
      <w:r>
        <w:t xml:space="preserve">Table 10. Massachusetts Roads: per-image IoU and topology metrics (%).</w:t>
      </w:r>
    </w:p>
    <w:tbl>
      <w:tblPr>
        <w:tblStyle w:val="Table"/>
        <w:tblW w:type="pct" w:w="5000"/>
        <w:tblLayout w:type="fixed"/>
        <w:tblLook w:firstRow="1" w:lastRow="0" w:firstColumn="0" w:lastColumn="0" w:noHBand="0" w:noVBand="0" w:val="0020"/>
        <w:tblCaption w:val="Table 10. Massachusetts Roads: per-image IoU and topology metrics (%)."/>
      </w:tblPr>
      <w:tblGrid>
        <w:gridCol w:w="749"/>
        <w:gridCol w:w="321"/>
        <w:gridCol w:w="1712"/>
        <w:gridCol w:w="1712"/>
        <w:gridCol w:w="1712"/>
        <w:gridCol w:w="1712"/>
      </w:tblGrid>
      <w:tr>
        <w:trPr>
          <w:tblHeader w:val="on"/>
        </w:trPr>
        <w:tc>
          <w:tcPr/>
          <w:p>
            <w:pPr>
              <w:pStyle w:val="TableText"/>
              <w:jc w:val="left"/>
            </w:pPr>
            <w:r>
              <w:t xml:space="preserve">Model</w:t>
            </w:r>
          </w:p>
        </w:tc>
        <w:tc>
          <w:tcPr/>
          <w:p>
            <w:pPr>
              <w:pStyle w:val="TableText"/>
              <w:jc w:val="right"/>
            </w:pPr>
            <w:r>
              <w:t xml:space="preserve">n</w:t>
            </w:r>
          </w:p>
        </w:tc>
        <w:tc>
          <w:tcPr/>
          <w:p>
            <w:pPr>
              <w:pStyle w:val="TableText"/>
              <w:jc w:val="right"/>
            </w:pPr>
            <w:r>
              <w:t xml:space="preserve">IoU (per image)</w:t>
            </w:r>
          </w:p>
        </w:tc>
        <w:tc>
          <w:tcPr/>
          <w:p>
            <w:pPr>
              <w:pStyle w:val="TableText"/>
              <w:jc w:val="right"/>
            </w:pPr>
            <w:r>
              <w:t xml:space="preserve">Relaxed F1 (ρ = 3)</w:t>
            </w:r>
          </w:p>
        </w:tc>
        <w:tc>
          <w:tcPr/>
          <w:p>
            <w:pPr>
              <w:pStyle w:val="TableText"/>
              <w:jc w:val="right"/>
            </w:pPr>
            <w:r>
              <w:t xml:space="preserve">clDice</w:t>
            </w:r>
          </w:p>
        </w:tc>
        <w:tc>
          <w:tcPr/>
          <w:p>
            <w:pPr>
              <w:pStyle w:val="TableText"/>
              <w:jc w:val="right"/>
            </w:pPr>
            <w:r>
              <w:t xml:space="preserve">APLS</w:t>
            </w:r>
          </w:p>
        </w:tc>
      </w:tr>
      <w:tr>
        <w:tc>
          <w:tcPr/>
          <w:p>
            <w:pPr>
              <w:pStyle w:val="TableText"/>
              <w:jc w:val="left"/>
            </w:pPr>
            <w:r>
              <w:t xml:space="preserve">U-Net</w:t>
            </w:r>
          </w:p>
        </w:tc>
        <w:tc>
          <w:tcPr/>
          <w:p>
            <w:pPr>
              <w:pStyle w:val="TableText"/>
              <w:jc w:val="right"/>
            </w:pPr>
            <w:r>
              <w:t xml:space="preserve">3</w:t>
            </w:r>
          </w:p>
        </w:tc>
        <w:tc>
          <w:tcPr/>
          <w:p>
            <w:pPr>
              <w:pStyle w:val="TableText"/>
              <w:jc w:val="right"/>
            </w:pPr>
            <w:r>
              <w:rPr>
                <w:b/>
                <w:bCs/>
              </w:rPr>
              <w:t xml:space="preserve">66.24±0.03</w:t>
            </w:r>
          </w:p>
        </w:tc>
        <w:tc>
          <w:tcPr/>
          <w:p>
            <w:pPr>
              <w:pStyle w:val="TableText"/>
              <w:jc w:val="right"/>
            </w:pPr>
            <w:r>
              <w:rPr>
                <w:b/>
                <w:bCs/>
              </w:rPr>
              <w:t xml:space="preserve">91.55±0.02</w:t>
            </w:r>
          </w:p>
        </w:tc>
        <w:tc>
          <w:tcPr/>
          <w:p>
            <w:pPr>
              <w:pStyle w:val="TableText"/>
              <w:jc w:val="right"/>
            </w:pPr>
            <w:r>
              <w:rPr>
                <w:b/>
                <w:bCs/>
              </w:rPr>
              <w:t xml:space="preserve">88.95±0.04</w:t>
            </w:r>
          </w:p>
        </w:tc>
        <w:tc>
          <w:tcPr/>
          <w:p>
            <w:pPr>
              <w:pStyle w:val="TableText"/>
              <w:jc w:val="right"/>
            </w:pPr>
            <w:r>
              <w:t xml:space="preserve">80.06±0.30</w:t>
            </w:r>
          </w:p>
        </w:tc>
      </w:tr>
      <w:tr>
        <w:tc>
          <w:tcPr/>
          <w:p>
            <w:pPr>
              <w:pStyle w:val="TableText"/>
              <w:jc w:val="left"/>
            </w:pPr>
            <w:r>
              <w:t xml:space="preserve">D-LinkNet</w:t>
            </w:r>
          </w:p>
        </w:tc>
        <w:tc>
          <w:tcPr/>
          <w:p>
            <w:pPr>
              <w:pStyle w:val="TableText"/>
              <w:jc w:val="right"/>
            </w:pPr>
            <w:r>
              <w:t xml:space="preserve">3</w:t>
            </w:r>
          </w:p>
        </w:tc>
        <w:tc>
          <w:tcPr/>
          <w:p>
            <w:pPr>
              <w:pStyle w:val="TableText"/>
              <w:jc w:val="right"/>
            </w:pPr>
            <w:r>
              <w:t xml:space="preserve">64.86±0.14</w:t>
            </w:r>
          </w:p>
        </w:tc>
        <w:tc>
          <w:tcPr/>
          <w:p>
            <w:pPr>
              <w:pStyle w:val="TableText"/>
              <w:jc w:val="right"/>
            </w:pPr>
            <w:r>
              <w:t xml:space="preserve">90.80±0.06</w:t>
            </w:r>
          </w:p>
        </w:tc>
        <w:tc>
          <w:tcPr/>
          <w:p>
            <w:pPr>
              <w:pStyle w:val="TableText"/>
              <w:jc w:val="right"/>
            </w:pPr>
            <w:r>
              <w:t xml:space="preserve">88.06±0.08</w:t>
            </w:r>
          </w:p>
        </w:tc>
        <w:tc>
          <w:tcPr/>
          <w:p>
            <w:pPr>
              <w:pStyle w:val="TableText"/>
              <w:jc w:val="right"/>
            </w:pPr>
            <w:r>
              <w:t xml:space="preserve">80.02±0.25</w:t>
            </w:r>
          </w:p>
        </w:tc>
      </w:tr>
      <w:tr>
        <w:tc>
          <w:tcPr/>
          <w:p>
            <w:pPr>
              <w:pStyle w:val="TableText"/>
              <w:jc w:val="left"/>
            </w:pPr>
            <w:r>
              <w:t xml:space="preserve">R0 (control)</w:t>
            </w:r>
          </w:p>
        </w:tc>
        <w:tc>
          <w:tcPr/>
          <w:p>
            <w:pPr>
              <w:pStyle w:val="TableText"/>
              <w:jc w:val="right"/>
            </w:pPr>
            <w:r>
              <w:t xml:space="preserve">5</w:t>
            </w:r>
          </w:p>
        </w:tc>
        <w:tc>
          <w:tcPr/>
          <w:p>
            <w:pPr>
              <w:pStyle w:val="TableText"/>
              <w:jc w:val="right"/>
            </w:pPr>
            <w:r>
              <w:t xml:space="preserve">65.19±0.19</w:t>
            </w:r>
          </w:p>
        </w:tc>
        <w:tc>
          <w:tcPr/>
          <w:p>
            <w:pPr>
              <w:pStyle w:val="TableText"/>
              <w:jc w:val="right"/>
            </w:pPr>
            <w:r>
              <w:t xml:space="preserve">90.65±0.16</w:t>
            </w:r>
          </w:p>
        </w:tc>
        <w:tc>
          <w:tcPr/>
          <w:p>
            <w:pPr>
              <w:pStyle w:val="TableText"/>
              <w:jc w:val="right"/>
            </w:pPr>
            <w:r>
              <w:t xml:space="preserve">88.04±0.18</w:t>
            </w:r>
          </w:p>
        </w:tc>
        <w:tc>
          <w:tcPr/>
          <w:p>
            <w:pPr>
              <w:pStyle w:val="TableText"/>
              <w:jc w:val="right"/>
            </w:pPr>
            <w:r>
              <w:t xml:space="preserve">80.07±0.66</w:t>
            </w:r>
          </w:p>
        </w:tc>
      </w:tr>
      <w:tr>
        <w:tc>
          <w:tcPr/>
          <w:p>
            <w:pPr>
              <w:pStyle w:val="TableText"/>
              <w:jc w:val="left"/>
            </w:pPr>
            <w:r>
              <w:t xml:space="preserve">R1 (DWT)</w:t>
            </w:r>
          </w:p>
        </w:tc>
        <w:tc>
          <w:tcPr/>
          <w:p>
            <w:pPr>
              <w:pStyle w:val="TableText"/>
              <w:jc w:val="right"/>
            </w:pPr>
            <w:r>
              <w:t xml:space="preserve">3</w:t>
            </w:r>
          </w:p>
        </w:tc>
        <w:tc>
          <w:tcPr/>
          <w:p>
            <w:pPr>
              <w:pStyle w:val="TableText"/>
              <w:jc w:val="right"/>
            </w:pPr>
            <w:r>
              <w:t xml:space="preserve">65.33±0.32</w:t>
            </w:r>
          </w:p>
        </w:tc>
        <w:tc>
          <w:tcPr/>
          <w:p>
            <w:pPr>
              <w:pStyle w:val="TableText"/>
              <w:jc w:val="right"/>
            </w:pPr>
            <w:r>
              <w:t xml:space="preserve">90.87±0.37</w:t>
            </w:r>
          </w:p>
        </w:tc>
        <w:tc>
          <w:tcPr/>
          <w:p>
            <w:pPr>
              <w:pStyle w:val="TableText"/>
              <w:jc w:val="right"/>
            </w:pPr>
            <w:r>
              <w:t xml:space="preserve">88.21±0.36</w:t>
            </w:r>
          </w:p>
        </w:tc>
        <w:tc>
          <w:tcPr/>
          <w:p>
            <w:pPr>
              <w:pStyle w:val="TableText"/>
              <w:jc w:val="right"/>
            </w:pPr>
            <w:r>
              <w:t xml:space="preserve">80.29±0.40</w:t>
            </w:r>
          </w:p>
        </w:tc>
      </w:tr>
      <w:tr>
        <w:tc>
          <w:tcPr/>
          <w:p>
            <w:pPr>
              <w:pStyle w:val="TableText"/>
              <w:jc w:val="left"/>
            </w:pPr>
            <w:r>
              <w:t xml:space="preserve">R2 (wavelet)</w:t>
            </w:r>
          </w:p>
        </w:tc>
        <w:tc>
          <w:tcPr/>
          <w:p>
            <w:pPr>
              <w:pStyle w:val="TableText"/>
              <w:jc w:val="right"/>
            </w:pPr>
            <w:r>
              <w:t xml:space="preserve">3</w:t>
            </w:r>
          </w:p>
        </w:tc>
        <w:tc>
          <w:tcPr/>
          <w:p>
            <w:pPr>
              <w:pStyle w:val="TableText"/>
              <w:jc w:val="right"/>
            </w:pPr>
            <w:r>
              <w:t xml:space="preserve">65.20±0.34</w:t>
            </w:r>
          </w:p>
        </w:tc>
        <w:tc>
          <w:tcPr/>
          <w:p>
            <w:pPr>
              <w:pStyle w:val="TableText"/>
              <w:jc w:val="right"/>
            </w:pPr>
            <w:r>
              <w:t xml:space="preserve">90.79±0.48</w:t>
            </w:r>
          </w:p>
        </w:tc>
        <w:tc>
          <w:tcPr/>
          <w:p>
            <w:pPr>
              <w:pStyle w:val="TableText"/>
              <w:jc w:val="right"/>
            </w:pPr>
            <w:r>
              <w:t xml:space="preserve">88.22±0.47</w:t>
            </w:r>
          </w:p>
        </w:tc>
        <w:tc>
          <w:tcPr/>
          <w:p>
            <w:pPr>
              <w:pStyle w:val="TableText"/>
              <w:jc w:val="right"/>
            </w:pPr>
            <w:r>
              <w:t xml:space="preserve">80.29±0.39</w:t>
            </w:r>
          </w:p>
        </w:tc>
      </w:tr>
      <w:tr>
        <w:tc>
          <w:tcPr/>
          <w:p>
            <w:pPr>
              <w:pStyle w:val="TableText"/>
              <w:jc w:val="left"/>
            </w:pPr>
            <w:r>
              <w:t xml:space="preserve">R3 (+clDice)</w:t>
            </w:r>
          </w:p>
        </w:tc>
        <w:tc>
          <w:tcPr/>
          <w:p>
            <w:pPr>
              <w:pStyle w:val="TableText"/>
              <w:jc w:val="right"/>
            </w:pPr>
            <w:r>
              <w:t xml:space="preserve">3</w:t>
            </w:r>
          </w:p>
        </w:tc>
        <w:tc>
          <w:tcPr/>
          <w:p>
            <w:pPr>
              <w:pStyle w:val="TableText"/>
              <w:jc w:val="right"/>
            </w:pPr>
            <w:r>
              <w:t xml:space="preserve">65.11±0.16</w:t>
            </w:r>
          </w:p>
        </w:tc>
        <w:tc>
          <w:tcPr/>
          <w:p>
            <w:pPr>
              <w:pStyle w:val="TableText"/>
              <w:jc w:val="right"/>
            </w:pPr>
            <w:r>
              <w:t xml:space="preserve">90.60±0.12</w:t>
            </w:r>
          </w:p>
        </w:tc>
        <w:tc>
          <w:tcPr/>
          <w:p>
            <w:pPr>
              <w:pStyle w:val="TableText"/>
              <w:jc w:val="right"/>
            </w:pPr>
            <w:r>
              <w:t xml:space="preserve">88.28±0.16</w:t>
            </w:r>
          </w:p>
        </w:tc>
        <w:tc>
          <w:tcPr/>
          <w:p>
            <w:pPr>
              <w:pStyle w:val="TableText"/>
              <w:jc w:val="right"/>
            </w:pPr>
            <w:r>
              <w:rPr>
                <w:b/>
                <w:bCs/>
              </w:rPr>
              <w:t xml:space="preserve">80.40±0.27</w:t>
            </w:r>
          </w:p>
        </w:tc>
      </w:tr>
      <w:tr>
        <w:tc>
          <w:tcPr/>
          <w:p>
            <w:pPr>
              <w:pStyle w:val="TableText"/>
              <w:jc w:val="left"/>
            </w:pPr>
            <w:r>
              <w:t xml:space="preserve">GA</w:t>
            </w:r>
          </w:p>
        </w:tc>
        <w:tc>
          <w:tcPr/>
          <w:p>
            <w:pPr>
              <w:pStyle w:val="TableText"/>
              <w:jc w:val="right"/>
            </w:pPr>
            <w:r>
              <w:t xml:space="preserve">5</w:t>
            </w:r>
          </w:p>
        </w:tc>
        <w:tc>
          <w:tcPr/>
          <w:p>
            <w:pPr>
              <w:pStyle w:val="TableText"/>
              <w:jc w:val="right"/>
            </w:pPr>
            <w:r>
              <w:t xml:space="preserve">65.46±0.19</w:t>
            </w:r>
          </w:p>
        </w:tc>
        <w:tc>
          <w:tcPr/>
          <w:p>
            <w:pPr>
              <w:pStyle w:val="TableText"/>
              <w:jc w:val="right"/>
            </w:pPr>
            <w:r>
              <w:t xml:space="preserve">90.77±0.22</w:t>
            </w:r>
          </w:p>
        </w:tc>
        <w:tc>
          <w:tcPr/>
          <w:p>
            <w:pPr>
              <w:pStyle w:val="TableText"/>
              <w:jc w:val="right"/>
            </w:pPr>
            <w:r>
              <w:t xml:space="preserve">88.22±0.08</w:t>
            </w:r>
          </w:p>
        </w:tc>
        <w:tc>
          <w:tcPr/>
          <w:p>
            <w:pPr>
              <w:pStyle w:val="TableText"/>
              <w:jc w:val="right"/>
            </w:pPr>
            <w:r>
              <w:t xml:space="preserve">80.29±0.26</w:t>
            </w:r>
          </w:p>
        </w:tc>
      </w:tr>
      <w:tr>
        <w:tc>
          <w:tcPr/>
          <w:p>
            <w:pPr>
              <w:pStyle w:val="TableText"/>
              <w:jc w:val="left"/>
            </w:pPr>
            <w:r>
              <w:t xml:space="preserve">GB</w:t>
            </w:r>
          </w:p>
        </w:tc>
        <w:tc>
          <w:tcPr/>
          <w:p>
            <w:pPr>
              <w:pStyle w:val="TableText"/>
              <w:jc w:val="right"/>
            </w:pPr>
            <w:r>
              <w:t xml:space="preserve">3</w:t>
            </w:r>
          </w:p>
        </w:tc>
        <w:tc>
          <w:tcPr/>
          <w:p>
            <w:pPr>
              <w:pStyle w:val="TableText"/>
              <w:jc w:val="right"/>
            </w:pPr>
            <w:r>
              <w:t xml:space="preserve">65.08±0.06</w:t>
            </w:r>
          </w:p>
        </w:tc>
        <w:tc>
          <w:tcPr/>
          <w:p>
            <w:pPr>
              <w:pStyle w:val="TableText"/>
              <w:jc w:val="right"/>
            </w:pPr>
            <w:r>
              <w:t xml:space="preserve">90.54±0.06</w:t>
            </w:r>
          </w:p>
        </w:tc>
        <w:tc>
          <w:tcPr/>
          <w:p>
            <w:pPr>
              <w:pStyle w:val="TableText"/>
              <w:jc w:val="right"/>
            </w:pPr>
            <w:r>
              <w:t xml:space="preserve">88.31±0.01</w:t>
            </w:r>
          </w:p>
        </w:tc>
        <w:tc>
          <w:tcPr/>
          <w:p>
            <w:pPr>
              <w:pStyle w:val="TableText"/>
              <w:jc w:val="right"/>
            </w:pPr>
            <w:r>
              <w:t xml:space="preserve">79.90±0.19</w:t>
            </w:r>
          </w:p>
        </w:tc>
      </w:tr>
      <w:tr>
        <w:tc>
          <w:tcPr/>
          <w:p>
            <w:pPr>
              <w:pStyle w:val="TableText"/>
              <w:jc w:val="left"/>
            </w:pPr>
            <w:r>
              <w:t xml:space="preserve">GFa</w:t>
            </w:r>
          </w:p>
        </w:tc>
        <w:tc>
          <w:tcPr/>
          <w:p>
            <w:pPr>
              <w:pStyle w:val="TableText"/>
              <w:jc w:val="right"/>
            </w:pPr>
            <w:r>
              <w:t xml:space="preserve">3</w:t>
            </w:r>
          </w:p>
        </w:tc>
        <w:tc>
          <w:tcPr/>
          <w:p>
            <w:pPr>
              <w:pStyle w:val="TableText"/>
              <w:jc w:val="right"/>
            </w:pPr>
            <w:r>
              <w:t xml:space="preserve">65.52±0.23</w:t>
            </w:r>
          </w:p>
        </w:tc>
        <w:tc>
          <w:tcPr/>
          <w:p>
            <w:pPr>
              <w:pStyle w:val="TableText"/>
              <w:jc w:val="right"/>
            </w:pPr>
            <w:r>
              <w:t xml:space="preserve">90.71±0.23</w:t>
            </w:r>
          </w:p>
        </w:tc>
        <w:tc>
          <w:tcPr/>
          <w:p>
            <w:pPr>
              <w:pStyle w:val="TableText"/>
              <w:jc w:val="right"/>
            </w:pPr>
            <w:r>
              <w:t xml:space="preserve">88.32±0.15</w:t>
            </w:r>
          </w:p>
        </w:tc>
        <w:tc>
          <w:tcPr/>
          <w:p>
            <w:pPr>
              <w:pStyle w:val="TableText"/>
              <w:jc w:val="right"/>
            </w:pPr>
            <w:r>
              <w:t xml:space="preserve">80.08±0.28</w:t>
            </w:r>
          </w:p>
        </w:tc>
      </w:tr>
      <w:tr>
        <w:tc>
          <w:tcPr/>
          <w:p>
            <w:pPr>
              <w:pStyle w:val="TableText"/>
              <w:jc w:val="left"/>
            </w:pPr>
            <w:r>
              <w:t xml:space="preserve">GFb</w:t>
            </w:r>
          </w:p>
        </w:tc>
        <w:tc>
          <w:tcPr/>
          <w:p>
            <w:pPr>
              <w:pStyle w:val="TableText"/>
              <w:jc w:val="right"/>
            </w:pPr>
            <w:r>
              <w:t xml:space="preserve">1</w:t>
            </w:r>
          </w:p>
        </w:tc>
        <w:tc>
          <w:tcPr/>
          <w:p>
            <w:pPr>
              <w:pStyle w:val="TableText"/>
              <w:jc w:val="right"/>
            </w:pPr>
            <w:r>
              <w:t xml:space="preserve">65.48</w:t>
            </w:r>
          </w:p>
        </w:tc>
        <w:tc>
          <w:tcPr/>
          <w:p>
            <w:pPr>
              <w:pStyle w:val="TableText"/>
              <w:jc w:val="right"/>
            </w:pPr>
            <w:r>
              <w:t xml:space="preserve">90.72</w:t>
            </w:r>
          </w:p>
        </w:tc>
        <w:tc>
          <w:tcPr/>
          <w:p>
            <w:pPr>
              <w:pStyle w:val="TableText"/>
              <w:jc w:val="right"/>
            </w:pPr>
            <w:r>
              <w:t xml:space="preserve">88.39</w:t>
            </w:r>
          </w:p>
        </w:tc>
        <w:tc>
          <w:tcPr/>
          <w:p>
            <w:pPr>
              <w:pStyle w:val="TableText"/>
              <w:jc w:val="right"/>
            </w:pPr>
            <w:r>
              <w:t xml:space="preserve">80.15</w:t>
            </w:r>
          </w:p>
        </w:tc>
      </w:tr>
    </w:tbl>
    <w:p/>
    <w:p>
      <w:pPr>
        <w:pStyle w:val="TableCaption"/>
      </w:pPr>
      <w:r>
        <w:t xml:space="preserve">Table 11. Ottawa: per-image IoU and topology metrics (%).</w:t>
      </w:r>
    </w:p>
    <w:tbl>
      <w:tblPr>
        <w:tblStyle w:val="Table"/>
        <w:tblW w:type="pct" w:w="5000"/>
        <w:tblLayout w:type="fixed"/>
        <w:tblLook w:firstRow="1" w:lastRow="0" w:firstColumn="0" w:lastColumn="0" w:noHBand="0" w:noVBand="0" w:val="0020"/>
        <w:tblCaption w:val="Table 11. Ottawa: per-image IoU and topology metrics (%)."/>
      </w:tblPr>
      <w:tblGrid>
        <w:gridCol w:w="749"/>
        <w:gridCol w:w="321"/>
        <w:gridCol w:w="1712"/>
        <w:gridCol w:w="1712"/>
        <w:gridCol w:w="1712"/>
        <w:gridCol w:w="1712"/>
      </w:tblGrid>
      <w:tr>
        <w:trPr>
          <w:tblHeader w:val="on"/>
        </w:trPr>
        <w:tc>
          <w:tcPr/>
          <w:p>
            <w:pPr>
              <w:pStyle w:val="TableText"/>
              <w:jc w:val="left"/>
            </w:pPr>
            <w:r>
              <w:t xml:space="preserve">Model</w:t>
            </w:r>
          </w:p>
        </w:tc>
        <w:tc>
          <w:tcPr/>
          <w:p>
            <w:pPr>
              <w:pStyle w:val="TableText"/>
              <w:jc w:val="right"/>
            </w:pPr>
            <w:r>
              <w:t xml:space="preserve">n</w:t>
            </w:r>
          </w:p>
        </w:tc>
        <w:tc>
          <w:tcPr/>
          <w:p>
            <w:pPr>
              <w:pStyle w:val="TableText"/>
              <w:jc w:val="right"/>
            </w:pPr>
            <w:r>
              <w:t xml:space="preserve">IoU (per image)</w:t>
            </w:r>
          </w:p>
        </w:tc>
        <w:tc>
          <w:tcPr/>
          <w:p>
            <w:pPr>
              <w:pStyle w:val="TableText"/>
              <w:jc w:val="right"/>
            </w:pPr>
            <w:r>
              <w:t xml:space="preserve">Relaxed F1 (ρ = 3)</w:t>
            </w:r>
          </w:p>
        </w:tc>
        <w:tc>
          <w:tcPr/>
          <w:p>
            <w:pPr>
              <w:pStyle w:val="TableText"/>
              <w:jc w:val="right"/>
            </w:pPr>
            <w:r>
              <w:t xml:space="preserve">clDice</w:t>
            </w:r>
          </w:p>
        </w:tc>
        <w:tc>
          <w:tcPr/>
          <w:p>
            <w:pPr>
              <w:pStyle w:val="TableText"/>
              <w:jc w:val="right"/>
            </w:pPr>
            <w:r>
              <w:t xml:space="preserve">APLS</w:t>
            </w:r>
          </w:p>
        </w:tc>
      </w:tr>
      <w:tr>
        <w:tc>
          <w:tcPr/>
          <w:p>
            <w:pPr>
              <w:pStyle w:val="TableText"/>
              <w:jc w:val="left"/>
            </w:pPr>
            <w:r>
              <w:t xml:space="preserve">R0 (control)</w:t>
            </w:r>
          </w:p>
        </w:tc>
        <w:tc>
          <w:tcPr/>
          <w:p>
            <w:pPr>
              <w:pStyle w:val="TableText"/>
              <w:jc w:val="right"/>
            </w:pPr>
            <w:r>
              <w:t xml:space="preserve">5</w:t>
            </w:r>
          </w:p>
        </w:tc>
        <w:tc>
          <w:tcPr/>
          <w:p>
            <w:pPr>
              <w:pStyle w:val="TableText"/>
              <w:jc w:val="right"/>
            </w:pPr>
            <w:r>
              <w:rPr>
                <w:b/>
                <w:bCs/>
              </w:rPr>
              <w:t xml:space="preserve">87.98±0.42</w:t>
            </w:r>
          </w:p>
        </w:tc>
        <w:tc>
          <w:tcPr/>
          <w:p>
            <w:pPr>
              <w:pStyle w:val="TableText"/>
              <w:jc w:val="right"/>
            </w:pPr>
            <w:r>
              <w:rPr>
                <w:b/>
                <w:bCs/>
              </w:rPr>
              <w:t xml:space="preserve">97.83±0.08</w:t>
            </w:r>
          </w:p>
        </w:tc>
        <w:tc>
          <w:tcPr/>
          <w:p>
            <w:pPr>
              <w:pStyle w:val="TableText"/>
              <w:jc w:val="right"/>
            </w:pPr>
            <w:r>
              <w:rPr>
                <w:b/>
                <w:bCs/>
              </w:rPr>
              <w:t xml:space="preserve">96.09±0.18</w:t>
            </w:r>
          </w:p>
        </w:tc>
        <w:tc>
          <w:tcPr/>
          <w:p>
            <w:pPr>
              <w:pStyle w:val="TableText"/>
              <w:jc w:val="right"/>
            </w:pPr>
            <w:r>
              <w:rPr>
                <w:b/>
                <w:bCs/>
              </w:rPr>
              <w:t xml:space="preserve">88.28±0.64</w:t>
            </w:r>
          </w:p>
        </w:tc>
      </w:tr>
      <w:tr>
        <w:tc>
          <w:tcPr/>
          <w:p>
            <w:pPr>
              <w:pStyle w:val="TableText"/>
              <w:jc w:val="left"/>
            </w:pPr>
            <w:r>
              <w:t xml:space="preserve">GA</w:t>
            </w:r>
          </w:p>
        </w:tc>
        <w:tc>
          <w:tcPr/>
          <w:p>
            <w:pPr>
              <w:pStyle w:val="TableText"/>
              <w:jc w:val="right"/>
            </w:pPr>
            <w:r>
              <w:t xml:space="preserve">5</w:t>
            </w:r>
          </w:p>
        </w:tc>
        <w:tc>
          <w:tcPr/>
          <w:p>
            <w:pPr>
              <w:pStyle w:val="TableText"/>
              <w:jc w:val="right"/>
            </w:pPr>
            <w:r>
              <w:t xml:space="preserve">87.69±0.30</w:t>
            </w:r>
          </w:p>
        </w:tc>
        <w:tc>
          <w:tcPr/>
          <w:p>
            <w:pPr>
              <w:pStyle w:val="TableText"/>
              <w:jc w:val="right"/>
            </w:pPr>
            <w:r>
              <w:t xml:space="preserve">97.60±0.14</w:t>
            </w:r>
          </w:p>
        </w:tc>
        <w:tc>
          <w:tcPr/>
          <w:p>
            <w:pPr>
              <w:pStyle w:val="TableText"/>
              <w:jc w:val="right"/>
            </w:pPr>
            <w:r>
              <w:t xml:space="preserve">95.42±0.27</w:t>
            </w:r>
          </w:p>
        </w:tc>
        <w:tc>
          <w:tcPr/>
          <w:p>
            <w:pPr>
              <w:pStyle w:val="TableText"/>
              <w:jc w:val="right"/>
            </w:pPr>
            <w:r>
              <w:t xml:space="preserve">83.94±2.29</w:t>
            </w:r>
          </w:p>
        </w:tc>
      </w:tr>
      <w:tr>
        <w:tc>
          <w:tcPr/>
          <w:p>
            <w:pPr>
              <w:pStyle w:val="TableText"/>
              <w:jc w:val="left"/>
            </w:pPr>
            <w:r>
              <w:t xml:space="preserve">GD (DDT)</w:t>
            </w:r>
          </w:p>
        </w:tc>
        <w:tc>
          <w:tcPr/>
          <w:p>
            <w:pPr>
              <w:pStyle w:val="TableText"/>
              <w:jc w:val="right"/>
            </w:pPr>
            <w:r>
              <w:t xml:space="preserve">5</w:t>
            </w:r>
          </w:p>
        </w:tc>
        <w:tc>
          <w:tcPr/>
          <w:p>
            <w:pPr>
              <w:pStyle w:val="TableText"/>
              <w:jc w:val="right"/>
            </w:pPr>
            <w:r>
              <w:t xml:space="preserve">87.50±0.22</w:t>
            </w:r>
          </w:p>
        </w:tc>
        <w:tc>
          <w:tcPr/>
          <w:p>
            <w:pPr>
              <w:pStyle w:val="TableText"/>
              <w:jc w:val="right"/>
            </w:pPr>
            <w:r>
              <w:t xml:space="preserve">97.49±0.11</w:t>
            </w:r>
          </w:p>
        </w:tc>
        <w:tc>
          <w:tcPr/>
          <w:p>
            <w:pPr>
              <w:pStyle w:val="TableText"/>
              <w:jc w:val="right"/>
            </w:pPr>
            <w:r>
              <w:t xml:space="preserve">95.45±0.31</w:t>
            </w:r>
          </w:p>
        </w:tc>
        <w:tc>
          <w:tcPr/>
          <w:p>
            <w:pPr>
              <w:pStyle w:val="TableText"/>
              <w:jc w:val="right"/>
            </w:pPr>
            <w:r>
              <w:t xml:space="preserve">81.98±2.09</w:t>
            </w:r>
          </w:p>
        </w:tc>
      </w:tr>
      <w:tr>
        <w:tc>
          <w:tcPr/>
          <w:p>
            <w:pPr>
              <w:pStyle w:val="TableText"/>
              <w:jc w:val="left"/>
            </w:pPr>
            <w:r>
              <w:t xml:space="preserve">GFa</w:t>
            </w:r>
          </w:p>
        </w:tc>
        <w:tc>
          <w:tcPr/>
          <w:p>
            <w:pPr>
              <w:pStyle w:val="TableText"/>
              <w:jc w:val="right"/>
            </w:pPr>
            <w:r>
              <w:t xml:space="preserve">3</w:t>
            </w:r>
          </w:p>
        </w:tc>
        <w:tc>
          <w:tcPr/>
          <w:p>
            <w:pPr>
              <w:pStyle w:val="TableText"/>
              <w:jc w:val="right"/>
            </w:pPr>
            <w:r>
              <w:t xml:space="preserve">87.66±0.20</w:t>
            </w:r>
          </w:p>
        </w:tc>
        <w:tc>
          <w:tcPr/>
          <w:p>
            <w:pPr>
              <w:pStyle w:val="TableText"/>
              <w:jc w:val="right"/>
            </w:pPr>
            <w:r>
              <w:t xml:space="preserve">97.65±0.16</w:t>
            </w:r>
          </w:p>
        </w:tc>
        <w:tc>
          <w:tcPr/>
          <w:p>
            <w:pPr>
              <w:pStyle w:val="TableText"/>
              <w:jc w:val="right"/>
            </w:pPr>
            <w:r>
              <w:t xml:space="preserve">95.69±0.32</w:t>
            </w:r>
          </w:p>
        </w:tc>
        <w:tc>
          <w:tcPr/>
          <w:p>
            <w:pPr>
              <w:pStyle w:val="TableText"/>
              <w:jc w:val="right"/>
            </w:pPr>
            <w:r>
              <w:t xml:space="preserve">86.44±0.71</w:t>
            </w:r>
          </w:p>
        </w:tc>
      </w:tr>
      <w:tr>
        <w:tc>
          <w:tcPr/>
          <w:p>
            <w:pPr>
              <w:pStyle w:val="TableText"/>
              <w:jc w:val="left"/>
            </w:pPr>
            <w:r>
              <w:t xml:space="preserve">GFb</w:t>
            </w:r>
          </w:p>
        </w:tc>
        <w:tc>
          <w:tcPr/>
          <w:p>
            <w:pPr>
              <w:pStyle w:val="TableText"/>
              <w:jc w:val="right"/>
            </w:pPr>
            <w:r>
              <w:t xml:space="preserve">1</w:t>
            </w:r>
          </w:p>
        </w:tc>
        <w:tc>
          <w:tcPr/>
          <w:p>
            <w:pPr>
              <w:pStyle w:val="TableText"/>
              <w:jc w:val="right"/>
            </w:pPr>
            <w:r>
              <w:t xml:space="preserve">87.68</w:t>
            </w:r>
          </w:p>
        </w:tc>
        <w:tc>
          <w:tcPr/>
          <w:p>
            <w:pPr>
              <w:pStyle w:val="TableText"/>
              <w:jc w:val="right"/>
            </w:pPr>
            <w:r>
              <w:t xml:space="preserve">97.58</w:t>
            </w:r>
          </w:p>
        </w:tc>
        <w:tc>
          <w:tcPr/>
          <w:p>
            <w:pPr>
              <w:pStyle w:val="TableText"/>
              <w:jc w:val="right"/>
            </w:pPr>
            <w:r>
              <w:t xml:space="preserve">95.85</w:t>
            </w:r>
          </w:p>
        </w:tc>
        <w:tc>
          <w:tcPr/>
          <w:p>
            <w:pPr>
              <w:pStyle w:val="TableText"/>
              <w:jc w:val="right"/>
            </w:pPr>
            <w:r>
              <w:t xml:space="preserve">87.44</w:t>
            </w:r>
          </w:p>
        </w:tc>
      </w:tr>
    </w:tbl>
    <w:bookmarkEnd w:id="107"/>
    <w:bookmarkStart w:id="108" w:name="study-1-wavelets"/>
    <w:p>
      <w:pPr>
        <w:pStyle w:val="Heading2"/>
      </w:pPr>
      <w:r>
        <w:rPr>
          <w:rStyle w:val="SectionNumber"/>
        </w:rPr>
        <w:t xml:space="preserve">10.4</w:t>
      </w:r>
      <w:r>
        <w:tab/>
      </w:r>
      <w:r>
        <w:t xml:space="preserve">Study 1 — wavelets</w:t>
      </w:r>
    </w:p>
    <w:p>
      <w:pPr>
        <w:pStyle w:val="TableCaption"/>
      </w:pPr>
      <w:r>
        <w:t xml:space="preserve">Table 12. Study 1 contrasts in per-image test IoU (3 seeds per arm; Mass. = Massachusetts Roads, DG = DeepGlobe).</w:t>
      </w:r>
    </w:p>
    <w:tbl>
      <w:tblPr>
        <w:tblStyle w:val="Table"/>
        <w:tblW w:type="pct" w:w="5000"/>
        <w:tblLayout w:type="fixed"/>
        <w:tblLook w:firstRow="1" w:lastRow="0" w:firstColumn="0" w:lastColumn="0" w:noHBand="0" w:noVBand="0" w:val="0020"/>
        <w:tblCaption w:val="Table 12. Study 1 contrasts in per-image test IoU (3 seeds per arm; Mass. = Massachusetts Roads, DG = DeepGlobe)."/>
      </w:tblPr>
      <w:tblGrid>
        <w:gridCol w:w="758"/>
        <w:gridCol w:w="1769"/>
        <w:gridCol w:w="674"/>
        <w:gridCol w:w="1348"/>
        <w:gridCol w:w="1348"/>
        <w:gridCol w:w="2022"/>
      </w:tblGrid>
      <w:tr>
        <w:trPr>
          <w:tblHeader w:val="on"/>
        </w:trPr>
        <w:tc>
          <w:tcPr/>
          <w:p>
            <w:pPr>
              <w:pStyle w:val="TableText"/>
              <w:jc w:val="left"/>
            </w:pPr>
            <w:r>
              <w:t xml:space="preserve">Data</w:t>
            </w:r>
          </w:p>
        </w:tc>
        <w:tc>
          <w:tcPr/>
          <w:p>
            <w:pPr>
              <w:pStyle w:val="TableText"/>
              <w:jc w:val="left"/>
            </w:pPr>
            <w:r>
              <w:t xml:space="preserve">Contrast</w:t>
            </w:r>
          </w:p>
        </w:tc>
        <w:tc>
          <w:tcPr/>
          <w:p>
            <w:pPr>
              <w:pStyle w:val="TableText"/>
              <w:jc w:val="right"/>
            </w:pPr>
            <w:r>
              <w:t xml:space="preserve">Δ IoU</w:t>
            </w:r>
          </w:p>
        </w:tc>
        <w:tc>
          <w:tcPr/>
          <w:p>
            <w:pPr>
              <w:pStyle w:val="TableText"/>
              <w:jc w:val="center"/>
            </w:pPr>
            <w:r>
              <w:t xml:space="preserve">Bootstrap 95% CI</w:t>
            </w:r>
          </w:p>
        </w:tc>
        <w:tc>
          <w:tcPr/>
          <w:p>
            <w:pPr>
              <w:pStyle w:val="TableText"/>
              <w:jc w:val="center"/>
            </w:pPr>
            <w:r>
              <w:t xml:space="preserve">Seed-paired</w:t>
            </w:r>
            <w:r>
              <w:t xml:space="preserve"> </w:t>
            </w:r>
            <w:r>
              <w:rPr>
                <w:i/>
                <w:iCs/>
              </w:rPr>
              <w:t xml:space="preserve">t</w:t>
            </w:r>
            <w:r>
              <w:t xml:space="preserve"> </w:t>
            </w:r>
            <w:r>
              <w:t xml:space="preserve">95% CI</w:t>
            </w:r>
          </w:p>
        </w:tc>
        <w:tc>
          <w:tcPr/>
          <w:p>
            <w:pPr>
              <w:pStyle w:val="TableText"/>
              <w:jc w:val="left"/>
            </w:pPr>
            <w:r>
              <w:t xml:space="preserve">Decision</w:t>
            </w:r>
          </w:p>
        </w:tc>
      </w:tr>
      <w:tr>
        <w:tc>
          <w:tcPr/>
          <w:p>
            <w:pPr>
              <w:pStyle w:val="TableText"/>
              <w:jc w:val="left"/>
            </w:pPr>
            <w:r>
              <w:t xml:space="preserve">Mass.</w:t>
            </w:r>
          </w:p>
        </w:tc>
        <w:tc>
          <w:tcPr/>
          <w:p>
            <w:pPr>
              <w:pStyle w:val="TableText"/>
              <w:jc w:val="left"/>
            </w:pPr>
            <w:r>
              <w:rPr>
                <w:b/>
                <w:bCs/>
              </w:rPr>
              <w:t xml:space="preserve">R1 − R0</w:t>
            </w:r>
            <w:r>
              <w:t xml:space="preserve"> </w:t>
            </w:r>
            <w:r>
              <w:t xml:space="preserve">(primary)</w:t>
            </w:r>
          </w:p>
        </w:tc>
        <w:tc>
          <w:tcPr/>
          <w:p>
            <w:pPr>
              <w:pStyle w:val="TableText"/>
              <w:jc w:val="right"/>
            </w:pPr>
            <w:r>
              <w:t xml:space="preserve">+0.0004</w:t>
            </w:r>
          </w:p>
        </w:tc>
        <w:tc>
          <w:tcPr/>
          <w:p>
            <w:pPr>
              <w:pStyle w:val="TableText"/>
              <w:jc w:val="center"/>
            </w:pPr>
            <w:r>
              <w:t xml:space="preserve">[−0.0040, +0.0060]</w:t>
            </w:r>
          </w:p>
        </w:tc>
        <w:tc>
          <w:tcPr/>
          <w:p>
            <w:pPr>
              <w:pStyle w:val="TableText"/>
              <w:jc w:val="center"/>
            </w:pPr>
            <w:r>
              <w:t xml:space="preserve">[−0.0095, +0.0104]</w:t>
            </w:r>
          </w:p>
        </w:tc>
        <w:tc>
          <w:tcPr/>
          <w:p>
            <w:pPr>
              <w:pStyle w:val="TableText"/>
              <w:jc w:val="left"/>
            </w:pPr>
            <w:r>
              <w:t xml:space="preserve">no detected difference</w:t>
            </w:r>
          </w:p>
        </w:tc>
      </w:tr>
      <w:tr>
        <w:tc>
          <w:tcPr/>
          <w:p>
            <w:pPr>
              <w:pStyle w:val="TableText"/>
              <w:jc w:val="left"/>
            </w:pPr>
            <w:r>
              <w:t xml:space="preserve">DG</w:t>
            </w:r>
          </w:p>
        </w:tc>
        <w:tc>
          <w:tcPr/>
          <w:p>
            <w:pPr>
              <w:pStyle w:val="TableText"/>
              <w:jc w:val="left"/>
            </w:pPr>
            <w:r>
              <w:rPr>
                <w:b/>
                <w:bCs/>
              </w:rPr>
              <w:t xml:space="preserve">R1 − R0</w:t>
            </w:r>
            <w:r>
              <w:t xml:space="preserve"> </w:t>
            </w:r>
            <w:r>
              <w:t xml:space="preserve">(primary)</w:t>
            </w:r>
          </w:p>
        </w:tc>
        <w:tc>
          <w:tcPr/>
          <w:p>
            <w:pPr>
              <w:pStyle w:val="TableText"/>
              <w:jc w:val="right"/>
            </w:pPr>
            <w:r>
              <w:t xml:space="preserve">+0.0017</w:t>
            </w:r>
          </w:p>
        </w:tc>
        <w:tc>
          <w:tcPr/>
          <w:p>
            <w:pPr>
              <w:pStyle w:val="TableText"/>
              <w:jc w:val="center"/>
            </w:pPr>
            <w:r>
              <w:t xml:space="preserve">[−0.0018, +0.0059]</w:t>
            </w:r>
          </w:p>
        </w:tc>
        <w:tc>
          <w:tcPr/>
          <w:p>
            <w:pPr>
              <w:pStyle w:val="TableText"/>
              <w:jc w:val="center"/>
            </w:pPr>
            <w:r>
              <w:t xml:space="preserve">[−0.0072, +0.0106]</w:t>
            </w:r>
          </w:p>
        </w:tc>
        <w:tc>
          <w:tcPr/>
          <w:p>
            <w:pPr>
              <w:pStyle w:val="TableText"/>
              <w:jc w:val="left"/>
            </w:pPr>
            <w:r>
              <w:t xml:space="preserve">no detected difference</w:t>
            </w:r>
          </w:p>
        </w:tc>
      </w:tr>
      <w:tr>
        <w:tc>
          <w:tcPr/>
          <w:p>
            <w:pPr>
              <w:pStyle w:val="TableText"/>
              <w:jc w:val="left"/>
            </w:pPr>
            <w:r>
              <w:t xml:space="preserve">Mass.</w:t>
            </w:r>
          </w:p>
        </w:tc>
        <w:tc>
          <w:tcPr/>
          <w:p>
            <w:pPr>
              <w:pStyle w:val="TableText"/>
              <w:jc w:val="left"/>
            </w:pPr>
            <w:r>
              <w:t xml:space="preserve">R2 − R0</w:t>
            </w:r>
          </w:p>
        </w:tc>
        <w:tc>
          <w:tcPr/>
          <w:p>
            <w:pPr>
              <w:pStyle w:val="TableText"/>
              <w:jc w:val="right"/>
            </w:pPr>
            <w:r>
              <w:t xml:space="preserve">−0.0009</w:t>
            </w:r>
          </w:p>
        </w:tc>
        <w:tc>
          <w:tcPr/>
          <w:p>
            <w:pPr>
              <w:pStyle w:val="TableText"/>
              <w:jc w:val="center"/>
            </w:pPr>
            <w:r>
              <w:t xml:space="preserve">[−0.0060, +0.0049]</w:t>
            </w:r>
          </w:p>
        </w:tc>
        <w:tc>
          <w:tcPr/>
          <w:p>
            <w:pPr>
              <w:pStyle w:val="TableText"/>
              <w:jc w:val="center"/>
            </w:pPr>
            <w:r>
              <w:t xml:space="preserve">[−0.0099, +0.0081]</w:t>
            </w:r>
          </w:p>
        </w:tc>
        <w:tc>
          <w:tcPr/>
          <w:p>
            <w:pPr>
              <w:pStyle w:val="TableText"/>
              <w:jc w:val="left"/>
            </w:pPr>
            <w:r>
              <w:t xml:space="preserve">no detected difference</w:t>
            </w:r>
          </w:p>
        </w:tc>
      </w:tr>
      <w:tr>
        <w:tc>
          <w:tcPr/>
          <w:p>
            <w:pPr>
              <w:pStyle w:val="TableText"/>
              <w:jc w:val="left"/>
            </w:pPr>
            <w:r>
              <w:t xml:space="preserve">DG</w:t>
            </w:r>
          </w:p>
        </w:tc>
        <w:tc>
          <w:tcPr/>
          <w:p>
            <w:pPr>
              <w:pStyle w:val="TableText"/>
              <w:jc w:val="left"/>
            </w:pPr>
            <w:r>
              <w:t xml:space="preserve">R2 − R0</w:t>
            </w:r>
          </w:p>
        </w:tc>
        <w:tc>
          <w:tcPr/>
          <w:p>
            <w:pPr>
              <w:pStyle w:val="TableText"/>
              <w:jc w:val="right"/>
            </w:pPr>
            <w:r>
              <w:t xml:space="preserve">+0.0039</w:t>
            </w:r>
          </w:p>
        </w:tc>
        <w:tc>
          <w:tcPr/>
          <w:p>
            <w:pPr>
              <w:pStyle w:val="TableText"/>
              <w:jc w:val="center"/>
            </w:pPr>
            <w:r>
              <w:t xml:space="preserve">[+0.0001, +0.0084]</w:t>
            </w:r>
          </w:p>
        </w:tc>
        <w:tc>
          <w:tcPr/>
          <w:p>
            <w:pPr>
              <w:pStyle w:val="TableText"/>
              <w:jc w:val="center"/>
            </w:pPr>
            <w:r>
              <w:t xml:space="preserve">[−0.0059, +0.0137]</w:t>
            </w:r>
          </w:p>
        </w:tc>
        <w:tc>
          <w:tcPr/>
          <w:p>
            <w:pPr>
              <w:pStyle w:val="TableText"/>
              <w:jc w:val="left"/>
            </w:pPr>
            <w:r>
              <w:t xml:space="preserve">inconclusive</w:t>
            </w:r>
          </w:p>
        </w:tc>
      </w:tr>
      <w:tr>
        <w:tc>
          <w:tcPr/>
          <w:p>
            <w:pPr>
              <w:pStyle w:val="TableText"/>
              <w:jc w:val="left"/>
            </w:pPr>
            <w:r>
              <w:t xml:space="preserve">Mass.</w:t>
            </w:r>
          </w:p>
        </w:tc>
        <w:tc>
          <w:tcPr/>
          <w:p>
            <w:pPr>
              <w:pStyle w:val="TableText"/>
              <w:jc w:val="left"/>
            </w:pPr>
            <w:r>
              <w:t xml:space="preserve">R3 − R0</w:t>
            </w:r>
          </w:p>
        </w:tc>
        <w:tc>
          <w:tcPr/>
          <w:p>
            <w:pPr>
              <w:pStyle w:val="TableText"/>
              <w:jc w:val="right"/>
            </w:pPr>
            <w:r>
              <w:t xml:space="preserve">−0.0018</w:t>
            </w:r>
          </w:p>
        </w:tc>
        <w:tc>
          <w:tcPr/>
          <w:p>
            <w:pPr>
              <w:pStyle w:val="TableText"/>
              <w:jc w:val="center"/>
            </w:pPr>
            <w:r>
              <w:t xml:space="preserve">[−0.0061, +0.0020]</w:t>
            </w:r>
          </w:p>
        </w:tc>
        <w:tc>
          <w:tcPr/>
          <w:p>
            <w:pPr>
              <w:pStyle w:val="TableText"/>
              <w:jc w:val="center"/>
            </w:pPr>
            <w:r>
              <w:t xml:space="preserve">[−0.0052, +0.0017]</w:t>
            </w:r>
          </w:p>
        </w:tc>
        <w:tc>
          <w:tcPr/>
          <w:p>
            <w:pPr>
              <w:pStyle w:val="TableText"/>
              <w:jc w:val="left"/>
            </w:pPr>
            <w:r>
              <w:t xml:space="preserve">no detected difference</w:t>
            </w:r>
          </w:p>
        </w:tc>
      </w:tr>
      <w:tr>
        <w:tc>
          <w:tcPr/>
          <w:p>
            <w:pPr>
              <w:pStyle w:val="TableText"/>
              <w:jc w:val="left"/>
            </w:pPr>
            <w:r>
              <w:t xml:space="preserve">DG</w:t>
            </w:r>
          </w:p>
        </w:tc>
        <w:tc>
          <w:tcPr/>
          <w:p>
            <w:pPr>
              <w:pStyle w:val="TableText"/>
              <w:jc w:val="left"/>
            </w:pPr>
            <w:r>
              <w:t xml:space="preserve">R3 − R0</w:t>
            </w:r>
          </w:p>
        </w:tc>
        <w:tc>
          <w:tcPr/>
          <w:p>
            <w:pPr>
              <w:pStyle w:val="TableText"/>
              <w:jc w:val="right"/>
            </w:pPr>
            <w:r>
              <w:t xml:space="preserve">−0.0027</w:t>
            </w:r>
          </w:p>
        </w:tc>
        <w:tc>
          <w:tcPr/>
          <w:p>
            <w:pPr>
              <w:pStyle w:val="TableText"/>
              <w:jc w:val="center"/>
            </w:pPr>
            <w:r>
              <w:t xml:space="preserve">[−0.0069, +0.0019]</w:t>
            </w:r>
          </w:p>
        </w:tc>
        <w:tc>
          <w:tcPr/>
          <w:p>
            <w:pPr>
              <w:pStyle w:val="TableText"/>
              <w:jc w:val="center"/>
            </w:pPr>
            <w:r>
              <w:t xml:space="preserve">[−0.0112, +0.0058]</w:t>
            </w:r>
          </w:p>
        </w:tc>
        <w:tc>
          <w:tcPr/>
          <w:p>
            <w:pPr>
              <w:pStyle w:val="TableText"/>
              <w:jc w:val="left"/>
            </w:pPr>
            <w:r>
              <w:t xml:space="preserve">no detected difference</w:t>
            </w:r>
          </w:p>
        </w:tc>
      </w:tr>
      <w:tr>
        <w:tc>
          <w:tcPr/>
          <w:p>
            <w:pPr>
              <w:pStyle w:val="TableText"/>
              <w:jc w:val="left"/>
            </w:pPr>
            <w:r>
              <w:t xml:space="preserve">Mass.</w:t>
            </w:r>
          </w:p>
        </w:tc>
        <w:tc>
          <w:tcPr/>
          <w:p>
            <w:pPr>
              <w:pStyle w:val="TableText"/>
              <w:jc w:val="left"/>
            </w:pPr>
            <w:r>
              <w:t xml:space="preserve">U-Net − R0</w:t>
            </w:r>
          </w:p>
        </w:tc>
        <w:tc>
          <w:tcPr/>
          <w:p>
            <w:pPr>
              <w:pStyle w:val="TableText"/>
              <w:jc w:val="right"/>
            </w:pPr>
            <w:r>
              <w:t xml:space="preserve">+0.0095</w:t>
            </w:r>
          </w:p>
        </w:tc>
        <w:tc>
          <w:tcPr/>
          <w:p>
            <w:pPr>
              <w:pStyle w:val="TableText"/>
              <w:jc w:val="center"/>
            </w:pPr>
            <w:r>
              <w:t xml:space="preserve">[+0.0047, +0.0151]</w:t>
            </w:r>
          </w:p>
        </w:tc>
        <w:tc>
          <w:tcPr/>
          <w:p>
            <w:pPr>
              <w:pStyle w:val="TableText"/>
              <w:jc w:val="center"/>
            </w:pPr>
            <w:r>
              <w:t xml:space="preserve">[+0.0068, +0.0123]</w:t>
            </w:r>
          </w:p>
        </w:tc>
        <w:tc>
          <w:tcPr/>
          <w:p>
            <w:pPr>
              <w:pStyle w:val="TableText"/>
              <w:jc w:val="left"/>
            </w:pPr>
            <w:r>
              <w:t xml:space="preserve">difference: U-Net better</w:t>
            </w:r>
          </w:p>
        </w:tc>
      </w:tr>
      <w:tr>
        <w:tc>
          <w:tcPr/>
          <w:p>
            <w:pPr>
              <w:pStyle w:val="TableText"/>
              <w:jc w:val="left"/>
            </w:pPr>
            <w:r>
              <w:t xml:space="preserve">DG</w:t>
            </w:r>
          </w:p>
        </w:tc>
        <w:tc>
          <w:tcPr/>
          <w:p>
            <w:pPr>
              <w:pStyle w:val="TableText"/>
              <w:jc w:val="left"/>
            </w:pPr>
            <w:r>
              <w:t xml:space="preserve">U-Net − R0</w:t>
            </w:r>
          </w:p>
        </w:tc>
        <w:tc>
          <w:tcPr/>
          <w:p>
            <w:pPr>
              <w:pStyle w:val="TableText"/>
              <w:jc w:val="right"/>
            </w:pPr>
            <w:r>
              <w:t xml:space="preserve">−0.0332</w:t>
            </w:r>
          </w:p>
        </w:tc>
        <w:tc>
          <w:tcPr/>
          <w:p>
            <w:pPr>
              <w:pStyle w:val="TableText"/>
              <w:jc w:val="center"/>
            </w:pPr>
            <w:r>
              <w:t xml:space="preserve">[−0.0381, −0.0277]</w:t>
            </w:r>
          </w:p>
        </w:tc>
        <w:tc>
          <w:tcPr/>
          <w:p>
            <w:pPr>
              <w:pStyle w:val="TableText"/>
              <w:jc w:val="center"/>
            </w:pPr>
            <w:r>
              <w:t xml:space="preserve">[−0.0421, −0.0243]</w:t>
            </w:r>
          </w:p>
        </w:tc>
        <w:tc>
          <w:tcPr/>
          <w:p>
            <w:pPr>
              <w:pStyle w:val="TableText"/>
              <w:jc w:val="left"/>
            </w:pPr>
            <w:r>
              <w:t xml:space="preserve">difference: U-Net worse</w:t>
            </w:r>
          </w:p>
        </w:tc>
      </w:tr>
      <w:tr>
        <w:tc>
          <w:tcPr/>
          <w:p>
            <w:pPr>
              <w:pStyle w:val="TableText"/>
              <w:jc w:val="left"/>
            </w:pPr>
            <w:r>
              <w:t xml:space="preserve">Mass.</w:t>
            </w:r>
          </w:p>
        </w:tc>
        <w:tc>
          <w:tcPr/>
          <w:p>
            <w:pPr>
              <w:pStyle w:val="TableText"/>
              <w:jc w:val="left"/>
            </w:pPr>
            <w:r>
              <w:t xml:space="preserve">D-LinkNet − R0</w:t>
            </w:r>
          </w:p>
        </w:tc>
        <w:tc>
          <w:tcPr/>
          <w:p>
            <w:pPr>
              <w:pStyle w:val="TableText"/>
              <w:jc w:val="right"/>
            </w:pPr>
            <w:r>
              <w:t xml:space="preserve">−0.0043</w:t>
            </w:r>
          </w:p>
        </w:tc>
        <w:tc>
          <w:tcPr/>
          <w:p>
            <w:pPr>
              <w:pStyle w:val="TableText"/>
              <w:jc w:val="center"/>
            </w:pPr>
            <w:r>
              <w:t xml:space="preserve">[−0.0114, +0.0023]</w:t>
            </w:r>
          </w:p>
        </w:tc>
        <w:tc>
          <w:tcPr/>
          <w:p>
            <w:pPr>
              <w:pStyle w:val="TableText"/>
              <w:jc w:val="center"/>
            </w:pPr>
            <w:r>
              <w:t xml:space="preserve">[−0.0069, −0.0017]</w:t>
            </w:r>
          </w:p>
        </w:tc>
        <w:tc>
          <w:tcPr/>
          <w:p>
            <w:pPr>
              <w:pStyle w:val="TableText"/>
              <w:jc w:val="left"/>
            </w:pPr>
            <w:r>
              <w:t xml:space="preserve">inconclusive</w:t>
            </w:r>
          </w:p>
        </w:tc>
      </w:tr>
      <w:tr>
        <w:tc>
          <w:tcPr/>
          <w:p>
            <w:pPr>
              <w:pStyle w:val="TableText"/>
              <w:jc w:val="left"/>
            </w:pPr>
            <w:r>
              <w:t xml:space="preserve">DG</w:t>
            </w:r>
          </w:p>
        </w:tc>
        <w:tc>
          <w:tcPr/>
          <w:p>
            <w:pPr>
              <w:pStyle w:val="TableText"/>
              <w:jc w:val="left"/>
            </w:pPr>
            <w:r>
              <w:t xml:space="preserve">D-LinkNet − R0</w:t>
            </w:r>
          </w:p>
        </w:tc>
        <w:tc>
          <w:tcPr/>
          <w:p>
            <w:pPr>
              <w:pStyle w:val="TableText"/>
              <w:jc w:val="right"/>
            </w:pPr>
            <w:r>
              <w:t xml:space="preserve">−0.0081</w:t>
            </w:r>
          </w:p>
        </w:tc>
        <w:tc>
          <w:tcPr/>
          <w:p>
            <w:pPr>
              <w:pStyle w:val="TableText"/>
              <w:jc w:val="center"/>
            </w:pPr>
            <w:r>
              <w:t xml:space="preserve">[−0.0126, −0.0033]</w:t>
            </w:r>
          </w:p>
        </w:tc>
        <w:tc>
          <w:tcPr/>
          <w:p>
            <w:pPr>
              <w:pStyle w:val="TableText"/>
              <w:jc w:val="center"/>
            </w:pPr>
            <w:r>
              <w:t xml:space="preserve">[−0.0175, +0.0012]</w:t>
            </w:r>
          </w:p>
        </w:tc>
        <w:tc>
          <w:tcPr/>
          <w:p>
            <w:pPr>
              <w:pStyle w:val="TableText"/>
              <w:jc w:val="left"/>
            </w:pPr>
            <w:r>
              <w:t xml:space="preserve">inconclusive</w:t>
            </w:r>
          </w:p>
        </w:tc>
      </w:tr>
    </w:tbl>
    <w:p>
      <w:pPr>
        <w:pStyle w:val="BodyText"/>
      </w:pPr>
      <w:r>
        <w:rPr>
          <w:b/>
          <w:bCs/>
        </w:rPr>
        <w:t xml:space="preserve">Interpretation.</w:t>
      </w:r>
    </w:p>
    <w:p>
      <w:pPr>
        <w:pStyle w:val="Compact"/>
        <w:numPr>
          <w:ilvl w:val="0"/>
          <w:numId w:val="1023"/>
        </w:numPr>
      </w:pPr>
      <w:r>
        <w:rPr>
          <w:b/>
          <w:bCs/>
        </w:rPr>
        <w:t xml:space="preserve">The DWT front end (R1) does not help a pretrained ResNeXt.</w:t>
      </w:r>
      <w:r>
        <w:t xml:space="preserve"> </w:t>
      </w:r>
      <w:r>
        <w:t xml:space="preserve">The intervals exclude gains larger than about 0.6 IoU points, consistent with the Proposition in Section 6.2.</w:t>
      </w:r>
    </w:p>
    <w:p>
      <w:pPr>
        <w:pStyle w:val="Compact"/>
        <w:numPr>
          <w:ilvl w:val="0"/>
          <w:numId w:val="1023"/>
        </w:numPr>
      </w:pPr>
      <w:r>
        <w:rPr>
          <w:b/>
          <w:bCs/>
        </w:rPr>
        <w:t xml:space="preserve">Learned wavelet pooling (R2) might help on DeepGlobe</w:t>
      </w:r>
      <w:r>
        <w:t xml:space="preserve">, but three seeds are not enough to tell. If it has a benefit, robustness to shifts and corruptions is a likelier place to find it than clean IoU.</w:t>
      </w:r>
    </w:p>
    <w:p>
      <w:pPr>
        <w:pStyle w:val="Compact"/>
        <w:numPr>
          <w:ilvl w:val="0"/>
          <w:numId w:val="1023"/>
        </w:numPr>
      </w:pPr>
      <w:r>
        <w:rPr>
          <w:b/>
          <w:bCs/>
        </w:rPr>
        <w:t xml:space="preserve">The clDice loss (R3)</w:t>
      </w:r>
      <w:r>
        <w:t xml:space="preserve"> </w:t>
      </w:r>
      <w:r>
        <w:t xml:space="preserve">did not improve IoU, clDice or APLS.</w:t>
      </w:r>
    </w:p>
    <w:p>
      <w:pPr>
        <w:pStyle w:val="Compact"/>
        <w:numPr>
          <w:ilvl w:val="0"/>
          <w:numId w:val="1023"/>
        </w:numPr>
      </w:pPr>
      <w:r>
        <w:rPr>
          <w:b/>
          <w:bCs/>
        </w:rPr>
        <w:t xml:space="preserve">Pretraining matters less on Massachusetts.</w:t>
      </w:r>
      <w:r>
        <w:t xml:space="preserve"> </w:t>
      </w:r>
      <w:r>
        <w:t xml:space="preserve">The from-scratch U-Net is the best model there but the worst on DeepGlobe, suggesting that pretraining matters less for Massachusetts’ constant-width centre-line labels than for DeepGlobe’s varied scenes.</w:t>
      </w:r>
    </w:p>
    <w:bookmarkEnd w:id="108"/>
    <w:bookmarkStart w:id="109" w:name="study-2-geometric-targets"/>
    <w:p>
      <w:pPr>
        <w:pStyle w:val="Heading2"/>
      </w:pPr>
      <w:r>
        <w:rPr>
          <w:rStyle w:val="SectionNumber"/>
        </w:rPr>
        <w:t xml:space="preserve">10.5</w:t>
      </w:r>
      <w:r>
        <w:tab/>
      </w:r>
      <w:r>
        <w:t xml:space="preserve">Study 2 — geometric targets</w:t>
      </w:r>
    </w:p>
    <w:p>
      <w:pPr>
        <w:pStyle w:val="TableCaption"/>
      </w:pPr>
      <w:r>
        <w:t xml:space="preserve">Table 13. Study 2 contrasts in per-image test IoU. Massachusetts GA − R0 and all Ottawa contrasts use 5 seeds; the others use 3. Ottawa has only 6 test scenes, so its intervals are coarse.</w:t>
      </w:r>
    </w:p>
    <w:tbl>
      <w:tblPr>
        <w:tblStyle w:val="Table"/>
        <w:tblW w:type="pct" w:w="5000"/>
        <w:tblLayout w:type="fixed"/>
        <w:tblLook w:firstRow="1" w:lastRow="0" w:firstColumn="0" w:lastColumn="0" w:noHBand="0" w:noVBand="0" w:val="0020"/>
        <w:tblCaption w:val="Table 13. Study 2 contrasts in per-image test IoU. Massachusetts GA − R0 and all Ottawa contrasts use 5 seeds; the others use 3. Ottawa has only 6 test scenes, so its intervals are coarse."/>
      </w:tblPr>
      <w:tblGrid>
        <w:gridCol w:w="758"/>
        <w:gridCol w:w="1769"/>
        <w:gridCol w:w="674"/>
        <w:gridCol w:w="1348"/>
        <w:gridCol w:w="1348"/>
        <w:gridCol w:w="2022"/>
      </w:tblGrid>
      <w:tr>
        <w:trPr>
          <w:tblHeader w:val="on"/>
        </w:trPr>
        <w:tc>
          <w:tcPr/>
          <w:p>
            <w:pPr>
              <w:pStyle w:val="TableText"/>
              <w:jc w:val="left"/>
            </w:pPr>
            <w:r>
              <w:t xml:space="preserve">Data</w:t>
            </w:r>
          </w:p>
        </w:tc>
        <w:tc>
          <w:tcPr/>
          <w:p>
            <w:pPr>
              <w:pStyle w:val="TableText"/>
              <w:jc w:val="left"/>
            </w:pPr>
            <w:r>
              <w:t xml:space="preserve">Contrast</w:t>
            </w:r>
          </w:p>
        </w:tc>
        <w:tc>
          <w:tcPr/>
          <w:p>
            <w:pPr>
              <w:pStyle w:val="TableText"/>
              <w:jc w:val="right"/>
            </w:pPr>
            <w:r>
              <w:t xml:space="preserve">Δ IoU</w:t>
            </w:r>
          </w:p>
        </w:tc>
        <w:tc>
          <w:tcPr/>
          <w:p>
            <w:pPr>
              <w:pStyle w:val="TableText"/>
              <w:jc w:val="center"/>
            </w:pPr>
            <w:r>
              <w:t xml:space="preserve">Bootstrap 95% CI</w:t>
            </w:r>
          </w:p>
        </w:tc>
        <w:tc>
          <w:tcPr/>
          <w:p>
            <w:pPr>
              <w:pStyle w:val="TableText"/>
              <w:jc w:val="center"/>
            </w:pPr>
            <w:r>
              <w:t xml:space="preserve">Seed-paired</w:t>
            </w:r>
            <w:r>
              <w:t xml:space="preserve"> </w:t>
            </w:r>
            <w:r>
              <w:rPr>
                <w:i/>
                <w:iCs/>
              </w:rPr>
              <w:t xml:space="preserve">t</w:t>
            </w:r>
            <w:r>
              <w:t xml:space="preserve"> </w:t>
            </w:r>
            <w:r>
              <w:t xml:space="preserve">95% CI</w:t>
            </w:r>
          </w:p>
        </w:tc>
        <w:tc>
          <w:tcPr/>
          <w:p>
            <w:pPr>
              <w:pStyle w:val="TableText"/>
              <w:jc w:val="left"/>
            </w:pPr>
            <w:r>
              <w:t xml:space="preserve">Decision</w:t>
            </w:r>
          </w:p>
        </w:tc>
      </w:tr>
      <w:tr>
        <w:tc>
          <w:tcPr/>
          <w:p>
            <w:pPr>
              <w:pStyle w:val="TableText"/>
              <w:jc w:val="left"/>
            </w:pPr>
            <w:r>
              <w:t xml:space="preserve">Mass.</w:t>
            </w:r>
          </w:p>
        </w:tc>
        <w:tc>
          <w:tcPr/>
          <w:p>
            <w:pPr>
              <w:pStyle w:val="TableText"/>
              <w:jc w:val="left"/>
            </w:pPr>
            <w:r>
              <w:rPr>
                <w:b/>
                <w:bCs/>
              </w:rPr>
              <w:t xml:space="preserve">GB − R0</w:t>
            </w:r>
            <w:r>
              <w:t xml:space="preserve"> </w:t>
            </w:r>
            <w:r>
              <w:t xml:space="preserve">(primary)</w:t>
            </w:r>
          </w:p>
        </w:tc>
        <w:tc>
          <w:tcPr/>
          <w:p>
            <w:pPr>
              <w:pStyle w:val="TableText"/>
              <w:jc w:val="right"/>
            </w:pPr>
            <w:r>
              <w:t xml:space="preserve">−0.0021</w:t>
            </w:r>
          </w:p>
        </w:tc>
        <w:tc>
          <w:tcPr/>
          <w:p>
            <w:pPr>
              <w:pStyle w:val="TableText"/>
              <w:jc w:val="center"/>
            </w:pPr>
            <w:r>
              <w:t xml:space="preserve">[−0.0060, +0.0016]</w:t>
            </w:r>
          </w:p>
        </w:tc>
        <w:tc>
          <w:tcPr/>
          <w:p>
            <w:pPr>
              <w:pStyle w:val="TableText"/>
              <w:jc w:val="center"/>
            </w:pPr>
            <w:r>
              <w:t xml:space="preserve">[−0.0056, +0.0013]</w:t>
            </w:r>
          </w:p>
        </w:tc>
        <w:tc>
          <w:tcPr/>
          <w:p>
            <w:pPr>
              <w:pStyle w:val="TableText"/>
              <w:jc w:val="left"/>
            </w:pPr>
            <w:r>
              <w:t xml:space="preserve">no detected difference</w:t>
            </w:r>
          </w:p>
        </w:tc>
      </w:tr>
      <w:tr>
        <w:tc>
          <w:tcPr/>
          <w:p>
            <w:pPr>
              <w:pStyle w:val="TableText"/>
              <w:jc w:val="left"/>
            </w:pPr>
            <w:r>
              <w:t xml:space="preserve">DG</w:t>
            </w:r>
          </w:p>
        </w:tc>
        <w:tc>
          <w:tcPr/>
          <w:p>
            <w:pPr>
              <w:pStyle w:val="TableText"/>
              <w:jc w:val="left"/>
            </w:pPr>
            <w:r>
              <w:rPr>
                <w:b/>
                <w:bCs/>
              </w:rPr>
              <w:t xml:space="preserve">GB − R0</w:t>
            </w:r>
            <w:r>
              <w:t xml:space="preserve"> </w:t>
            </w:r>
            <w:r>
              <w:t xml:space="preserve">(primary)</w:t>
            </w:r>
          </w:p>
        </w:tc>
        <w:tc>
          <w:tcPr/>
          <w:p>
            <w:pPr>
              <w:pStyle w:val="TableText"/>
              <w:jc w:val="right"/>
            </w:pPr>
            <w:r>
              <w:t xml:space="preserve">−0.0017</w:t>
            </w:r>
          </w:p>
        </w:tc>
        <w:tc>
          <w:tcPr/>
          <w:p>
            <w:pPr>
              <w:pStyle w:val="TableText"/>
              <w:jc w:val="center"/>
            </w:pPr>
            <w:r>
              <w:t xml:space="preserve">[−0.0059, +0.0028]</w:t>
            </w:r>
          </w:p>
        </w:tc>
        <w:tc>
          <w:tcPr/>
          <w:p>
            <w:pPr>
              <w:pStyle w:val="TableText"/>
              <w:jc w:val="center"/>
            </w:pPr>
            <w:r>
              <w:t xml:space="preserve">[−0.0129, +0.0095]</w:t>
            </w:r>
          </w:p>
        </w:tc>
        <w:tc>
          <w:tcPr/>
          <w:p>
            <w:pPr>
              <w:pStyle w:val="TableText"/>
              <w:jc w:val="left"/>
            </w:pPr>
            <w:r>
              <w:t xml:space="preserve">no detected difference</w:t>
            </w:r>
          </w:p>
        </w:tc>
      </w:tr>
      <w:tr>
        <w:tc>
          <w:tcPr/>
          <w:p>
            <w:pPr>
              <w:pStyle w:val="TableText"/>
              <w:jc w:val="left"/>
            </w:pPr>
            <w:r>
              <w:t xml:space="preserve">DG</w:t>
            </w:r>
          </w:p>
        </w:tc>
        <w:tc>
          <w:tcPr/>
          <w:p>
            <w:pPr>
              <w:pStyle w:val="TableText"/>
              <w:jc w:val="left"/>
            </w:pPr>
            <w:r>
              <w:rPr>
                <w:b/>
                <w:bCs/>
              </w:rPr>
              <w:t xml:space="preserve">GA − R0</w:t>
            </w:r>
            <w:r>
              <w:t xml:space="preserve"> </w:t>
            </w:r>
            <w:r>
              <w:t xml:space="preserve">(confirmatory)</w:t>
            </w:r>
          </w:p>
        </w:tc>
        <w:tc>
          <w:tcPr/>
          <w:p>
            <w:pPr>
              <w:pStyle w:val="TableText"/>
              <w:jc w:val="right"/>
            </w:pPr>
            <w:r>
              <w:rPr>
                <w:b/>
                <w:bCs/>
              </w:rPr>
              <w:t xml:space="preserve">+0.0073</w:t>
            </w:r>
          </w:p>
        </w:tc>
        <w:tc>
          <w:tcPr/>
          <w:p>
            <w:pPr>
              <w:pStyle w:val="TableText"/>
              <w:jc w:val="center"/>
            </w:pPr>
            <w:r>
              <w:rPr>
                <w:b/>
                <w:bCs/>
              </w:rPr>
              <w:t xml:space="preserve">[+0.0033, +0.0118]</w:t>
            </w:r>
          </w:p>
        </w:tc>
        <w:tc>
          <w:tcPr/>
          <w:p>
            <w:pPr>
              <w:pStyle w:val="TableText"/>
              <w:jc w:val="center"/>
            </w:pPr>
            <w:r>
              <w:rPr>
                <w:b/>
                <w:bCs/>
              </w:rPr>
              <w:t xml:space="preserve">[+0.0011, +0.0135]</w:t>
            </w:r>
          </w:p>
        </w:tc>
        <w:tc>
          <w:tcPr/>
          <w:p>
            <w:pPr>
              <w:pStyle w:val="TableText"/>
              <w:jc w:val="left"/>
            </w:pPr>
            <w:r>
              <w:rPr>
                <w:b/>
                <w:bCs/>
              </w:rPr>
              <w:t xml:space="preserve">difference: GA better</w:t>
            </w:r>
          </w:p>
        </w:tc>
      </w:tr>
      <w:tr>
        <w:tc>
          <w:tcPr/>
          <w:p>
            <w:pPr>
              <w:pStyle w:val="TableText"/>
              <w:jc w:val="left"/>
            </w:pPr>
            <w:r>
              <w:t xml:space="preserve">Mass.</w:t>
            </w:r>
          </w:p>
        </w:tc>
        <w:tc>
          <w:tcPr/>
          <w:p>
            <w:pPr>
              <w:pStyle w:val="TableText"/>
              <w:jc w:val="left"/>
            </w:pPr>
            <w:r>
              <w:rPr>
                <w:b/>
                <w:bCs/>
              </w:rPr>
              <w:t xml:space="preserve">GA − R0</w:t>
            </w:r>
            <w:r>
              <w:t xml:space="preserve">, 5 seeds (primary)</w:t>
            </w:r>
          </w:p>
        </w:tc>
        <w:tc>
          <w:tcPr/>
          <w:p>
            <w:pPr>
              <w:pStyle w:val="TableText"/>
              <w:jc w:val="right"/>
            </w:pPr>
            <w:r>
              <w:t xml:space="preserve">+0.0027</w:t>
            </w:r>
          </w:p>
        </w:tc>
        <w:tc>
          <w:tcPr/>
          <w:p>
            <w:pPr>
              <w:pStyle w:val="TableText"/>
              <w:jc w:val="center"/>
            </w:pPr>
            <w:r>
              <w:t xml:space="preserve">[−0.0012, +0.0068]</w:t>
            </w:r>
          </w:p>
        </w:tc>
        <w:tc>
          <w:tcPr/>
          <w:p>
            <w:pPr>
              <w:pStyle w:val="TableText"/>
              <w:jc w:val="center"/>
            </w:pPr>
            <w:r>
              <w:t xml:space="preserve">[−0.0008, +0.0061]</w:t>
            </w:r>
          </w:p>
        </w:tc>
        <w:tc>
          <w:tcPr/>
          <w:p>
            <w:pPr>
              <w:pStyle w:val="TableText"/>
              <w:jc w:val="left"/>
            </w:pPr>
            <w:r>
              <w:t xml:space="preserve">no detected difference</w:t>
            </w:r>
          </w:p>
        </w:tc>
      </w:tr>
      <w:tr>
        <w:tc>
          <w:tcPr/>
          <w:p>
            <w:pPr>
              <w:pStyle w:val="TableText"/>
              <w:jc w:val="left"/>
            </w:pPr>
            <w:r>
              <w:t xml:space="preserve">Ottawa</w:t>
            </w:r>
          </w:p>
        </w:tc>
        <w:tc>
          <w:tcPr/>
          <w:p>
            <w:pPr>
              <w:pStyle w:val="TableText"/>
              <w:jc w:val="left"/>
            </w:pPr>
            <w:r>
              <w:rPr>
                <w:b/>
                <w:bCs/>
              </w:rPr>
              <w:t xml:space="preserve">GA − R0</w:t>
            </w:r>
            <w:r>
              <w:t xml:space="preserve">, 5 seeds (primary)</w:t>
            </w:r>
          </w:p>
        </w:tc>
        <w:tc>
          <w:tcPr/>
          <w:p>
            <w:pPr>
              <w:pStyle w:val="TableText"/>
              <w:jc w:val="right"/>
            </w:pPr>
            <w:r>
              <w:t xml:space="preserve">−0.0029</w:t>
            </w:r>
          </w:p>
        </w:tc>
        <w:tc>
          <w:tcPr/>
          <w:p>
            <w:pPr>
              <w:pStyle w:val="TableText"/>
              <w:jc w:val="center"/>
            </w:pPr>
            <w:r>
              <w:t xml:space="preserve">[−0.0081, +0.0024]</w:t>
            </w:r>
          </w:p>
        </w:tc>
        <w:tc>
          <w:tcPr/>
          <w:p>
            <w:pPr>
              <w:pStyle w:val="TableText"/>
              <w:jc w:val="center"/>
            </w:pPr>
            <w:r>
              <w:t xml:space="preserve">[−0.0105, +0.0047]</w:t>
            </w:r>
          </w:p>
        </w:tc>
        <w:tc>
          <w:tcPr/>
          <w:p>
            <w:pPr>
              <w:pStyle w:val="TableText"/>
              <w:jc w:val="left"/>
            </w:pPr>
            <w:r>
              <w:t xml:space="preserve">no detected difference</w:t>
            </w:r>
          </w:p>
        </w:tc>
      </w:tr>
      <w:tr>
        <w:tc>
          <w:tcPr/>
          <w:p>
            <w:pPr>
              <w:pStyle w:val="TableText"/>
              <w:jc w:val="left"/>
            </w:pPr>
            <w:r>
              <w:t xml:space="preserve">DG</w:t>
            </w:r>
          </w:p>
        </w:tc>
        <w:tc>
          <w:tcPr/>
          <w:p>
            <w:pPr>
              <w:pStyle w:val="TableText"/>
              <w:jc w:val="left"/>
            </w:pPr>
            <w:r>
              <w:rPr>
                <w:b/>
                <w:bCs/>
              </w:rPr>
              <w:t xml:space="preserve">GA − GD</w:t>
            </w:r>
            <w:r>
              <w:t xml:space="preserve"> </w:t>
            </w:r>
            <w:r>
              <w:t xml:space="preserve">(primary)</w:t>
            </w:r>
          </w:p>
        </w:tc>
        <w:tc>
          <w:tcPr/>
          <w:p>
            <w:pPr>
              <w:pStyle w:val="TableText"/>
              <w:jc w:val="right"/>
            </w:pPr>
            <w:r>
              <w:rPr>
                <w:b/>
                <w:bCs/>
              </w:rPr>
              <w:t xml:space="preserve">+0.0046</w:t>
            </w:r>
          </w:p>
        </w:tc>
        <w:tc>
          <w:tcPr/>
          <w:p>
            <w:pPr>
              <w:pStyle w:val="TableText"/>
              <w:jc w:val="center"/>
            </w:pPr>
            <w:r>
              <w:rPr>
                <w:b/>
                <w:bCs/>
              </w:rPr>
              <w:t xml:space="preserve">[+0.0021, +0.0072]</w:t>
            </w:r>
          </w:p>
        </w:tc>
        <w:tc>
          <w:tcPr/>
          <w:p>
            <w:pPr>
              <w:pStyle w:val="TableText"/>
              <w:jc w:val="center"/>
            </w:pPr>
            <w:r>
              <w:rPr>
                <w:b/>
                <w:bCs/>
              </w:rPr>
              <w:t xml:space="preserve">[+0.0025, +0.0068]</w:t>
            </w:r>
          </w:p>
        </w:tc>
        <w:tc>
          <w:tcPr/>
          <w:p>
            <w:pPr>
              <w:pStyle w:val="TableText"/>
              <w:jc w:val="left"/>
            </w:pPr>
            <w:r>
              <w:rPr>
                <w:b/>
                <w:bCs/>
              </w:rPr>
              <w:t xml:space="preserve">difference: GA better</w:t>
            </w:r>
          </w:p>
        </w:tc>
      </w:tr>
      <w:tr>
        <w:tc>
          <w:tcPr/>
          <w:p>
            <w:pPr>
              <w:pStyle w:val="TableText"/>
              <w:jc w:val="left"/>
            </w:pPr>
            <w:r>
              <w:t xml:space="preserve">DG</w:t>
            </w:r>
          </w:p>
        </w:tc>
        <w:tc>
          <w:tcPr/>
          <w:p>
            <w:pPr>
              <w:pStyle w:val="TableText"/>
              <w:jc w:val="left"/>
            </w:pPr>
            <w:r>
              <w:t xml:space="preserve">GB − GA</w:t>
            </w:r>
          </w:p>
        </w:tc>
        <w:tc>
          <w:tcPr/>
          <w:p>
            <w:pPr>
              <w:pStyle w:val="TableText"/>
              <w:jc w:val="right"/>
            </w:pPr>
            <w:r>
              <w:t xml:space="preserve">−0.0090</w:t>
            </w:r>
          </w:p>
        </w:tc>
        <w:tc>
          <w:tcPr/>
          <w:p>
            <w:pPr>
              <w:pStyle w:val="TableText"/>
              <w:jc w:val="center"/>
            </w:pPr>
            <w:r>
              <w:t xml:space="preserve">[−0.0118, −0.0062]</w:t>
            </w:r>
          </w:p>
        </w:tc>
        <w:tc>
          <w:tcPr/>
          <w:p>
            <w:pPr>
              <w:pStyle w:val="TableText"/>
              <w:jc w:val="center"/>
            </w:pPr>
            <w:r>
              <w:t xml:space="preserve">[−0.0155, −0.0025]</w:t>
            </w:r>
          </w:p>
        </w:tc>
        <w:tc>
          <w:tcPr/>
          <w:p>
            <w:pPr>
              <w:pStyle w:val="TableText"/>
              <w:jc w:val="left"/>
            </w:pPr>
            <w:r>
              <w:t xml:space="preserve">difference: GB worse</w:t>
            </w:r>
          </w:p>
        </w:tc>
      </w:tr>
      <w:tr>
        <w:tc>
          <w:tcPr/>
          <w:p>
            <w:pPr>
              <w:pStyle w:val="TableText"/>
              <w:jc w:val="left"/>
            </w:pPr>
            <w:r>
              <w:t xml:space="preserve">Mass.</w:t>
            </w:r>
          </w:p>
        </w:tc>
        <w:tc>
          <w:tcPr/>
          <w:p>
            <w:pPr>
              <w:pStyle w:val="TableText"/>
              <w:jc w:val="left"/>
            </w:pPr>
            <w:r>
              <w:t xml:space="preserve">GB − GA</w:t>
            </w:r>
          </w:p>
        </w:tc>
        <w:tc>
          <w:tcPr/>
          <w:p>
            <w:pPr>
              <w:pStyle w:val="TableText"/>
              <w:jc w:val="right"/>
            </w:pPr>
            <w:r>
              <w:t xml:space="preserve">−0.0046</w:t>
            </w:r>
          </w:p>
        </w:tc>
        <w:tc>
          <w:tcPr/>
          <w:p>
            <w:pPr>
              <w:pStyle w:val="TableText"/>
              <w:jc w:val="center"/>
            </w:pPr>
            <w:r>
              <w:t xml:space="preserve">[−0.0087, −0.0008]</w:t>
            </w:r>
          </w:p>
        </w:tc>
        <w:tc>
          <w:tcPr/>
          <w:p>
            <w:pPr>
              <w:pStyle w:val="TableText"/>
              <w:jc w:val="center"/>
            </w:pPr>
            <w:r>
              <w:t xml:space="preserve">[−0.0083, −0.0008]</w:t>
            </w:r>
          </w:p>
        </w:tc>
        <w:tc>
          <w:tcPr/>
          <w:p>
            <w:pPr>
              <w:pStyle w:val="TableText"/>
              <w:jc w:val="left"/>
            </w:pPr>
            <w:r>
              <w:t xml:space="preserve">difference: GB worse</w:t>
            </w:r>
          </w:p>
        </w:tc>
      </w:tr>
      <w:tr>
        <w:tc>
          <w:tcPr/>
          <w:p>
            <w:pPr>
              <w:pStyle w:val="TableText"/>
              <w:jc w:val="left"/>
            </w:pPr>
            <w:r>
              <w:t xml:space="preserve">DG</w:t>
            </w:r>
          </w:p>
        </w:tc>
        <w:tc>
          <w:tcPr/>
          <w:p>
            <w:pPr>
              <w:pStyle w:val="TableText"/>
              <w:jc w:val="left"/>
            </w:pPr>
            <w:r>
              <w:t xml:space="preserve">GAc − R0 (centre only)</w:t>
            </w:r>
          </w:p>
        </w:tc>
        <w:tc>
          <w:tcPr/>
          <w:p>
            <w:pPr>
              <w:pStyle w:val="TableText"/>
              <w:jc w:val="right"/>
            </w:pPr>
            <w:r>
              <w:t xml:space="preserve">+0.0005</w:t>
            </w:r>
          </w:p>
        </w:tc>
        <w:tc>
          <w:tcPr/>
          <w:p>
            <w:pPr>
              <w:pStyle w:val="TableText"/>
              <w:jc w:val="center"/>
            </w:pPr>
            <w:r>
              <w:t xml:space="preserve">[−0.0033, +0.0051]</w:t>
            </w:r>
          </w:p>
        </w:tc>
        <w:tc>
          <w:tcPr/>
          <w:p>
            <w:pPr>
              <w:pStyle w:val="TableText"/>
              <w:jc w:val="center"/>
            </w:pPr>
            <w:r>
              <w:t xml:space="preserve">[−0.0098, +0.0108]</w:t>
            </w:r>
          </w:p>
        </w:tc>
        <w:tc>
          <w:tcPr/>
          <w:p>
            <w:pPr>
              <w:pStyle w:val="TableText"/>
              <w:jc w:val="left"/>
            </w:pPr>
            <w:r>
              <w:t xml:space="preserve">no detected difference</w:t>
            </w:r>
          </w:p>
        </w:tc>
      </w:tr>
      <w:tr>
        <w:tc>
          <w:tcPr/>
          <w:p>
            <w:pPr>
              <w:pStyle w:val="TableText"/>
              <w:jc w:val="left"/>
            </w:pPr>
            <w:r>
              <w:t xml:space="preserve">DG</w:t>
            </w:r>
          </w:p>
        </w:tc>
        <w:tc>
          <w:tcPr/>
          <w:p>
            <w:pPr>
              <w:pStyle w:val="TableText"/>
              <w:jc w:val="left"/>
            </w:pPr>
            <w:r>
              <w:t xml:space="preserve">GAw − R0 (width only)</w:t>
            </w:r>
          </w:p>
        </w:tc>
        <w:tc>
          <w:tcPr/>
          <w:p>
            <w:pPr>
              <w:pStyle w:val="TableText"/>
              <w:jc w:val="right"/>
            </w:pPr>
            <w:r>
              <w:t xml:space="preserve">+0.0043</w:t>
            </w:r>
          </w:p>
        </w:tc>
        <w:tc>
          <w:tcPr/>
          <w:p>
            <w:pPr>
              <w:pStyle w:val="TableText"/>
              <w:jc w:val="center"/>
            </w:pPr>
            <w:r>
              <w:t xml:space="preserve">[+0.0002, +0.0088]</w:t>
            </w:r>
          </w:p>
        </w:tc>
        <w:tc>
          <w:tcPr/>
          <w:p>
            <w:pPr>
              <w:pStyle w:val="TableText"/>
              <w:jc w:val="center"/>
            </w:pPr>
            <w:r>
              <w:t xml:space="preserve">[−0.0013, +0.0098]</w:t>
            </w:r>
          </w:p>
        </w:tc>
        <w:tc>
          <w:tcPr/>
          <w:p>
            <w:pPr>
              <w:pStyle w:val="TableText"/>
              <w:jc w:val="left"/>
            </w:pPr>
            <w:r>
              <w:t xml:space="preserve">inconclusive</w:t>
            </w:r>
          </w:p>
        </w:tc>
      </w:tr>
      <w:tr>
        <w:tc>
          <w:tcPr/>
          <w:p>
            <w:pPr>
              <w:pStyle w:val="TableText"/>
              <w:jc w:val="left"/>
            </w:pPr>
            <w:r>
              <w:t xml:space="preserve">DG</w:t>
            </w:r>
          </w:p>
        </w:tc>
        <w:tc>
          <w:tcPr/>
          <w:p>
            <w:pPr>
              <w:pStyle w:val="TableText"/>
              <w:jc w:val="left"/>
            </w:pPr>
            <w:r>
              <w:t xml:space="preserve">GA − GAc</w:t>
            </w:r>
          </w:p>
        </w:tc>
        <w:tc>
          <w:tcPr/>
          <w:p>
            <w:pPr>
              <w:pStyle w:val="TableText"/>
              <w:jc w:val="right"/>
            </w:pPr>
            <w:r>
              <w:t xml:space="preserve">+0.0068</w:t>
            </w:r>
          </w:p>
        </w:tc>
        <w:tc>
          <w:tcPr/>
          <w:p>
            <w:pPr>
              <w:pStyle w:val="TableText"/>
              <w:jc w:val="center"/>
            </w:pPr>
            <w:r>
              <w:t xml:space="preserve">[+0.0035, +0.0101]</w:t>
            </w:r>
          </w:p>
        </w:tc>
        <w:tc>
          <w:tcPr/>
          <w:p>
            <w:pPr>
              <w:pStyle w:val="TableText"/>
              <w:jc w:val="center"/>
            </w:pPr>
            <w:r>
              <w:t xml:space="preserve">[+0.0025, +0.0111]</w:t>
            </w:r>
          </w:p>
        </w:tc>
        <w:tc>
          <w:tcPr/>
          <w:p>
            <w:pPr>
              <w:pStyle w:val="TableText"/>
              <w:jc w:val="left"/>
            </w:pPr>
            <w:r>
              <w:t xml:space="preserve">difference: GA better</w:t>
            </w:r>
          </w:p>
        </w:tc>
      </w:tr>
      <w:tr>
        <w:tc>
          <w:tcPr/>
          <w:p>
            <w:pPr>
              <w:pStyle w:val="TableText"/>
              <w:jc w:val="left"/>
            </w:pPr>
            <w:r>
              <w:t xml:space="preserve">DG</w:t>
            </w:r>
          </w:p>
        </w:tc>
        <w:tc>
          <w:tcPr/>
          <w:p>
            <w:pPr>
              <w:pStyle w:val="TableText"/>
              <w:jc w:val="left"/>
            </w:pPr>
            <w:r>
              <w:t xml:space="preserve">GA − GAw</w:t>
            </w:r>
          </w:p>
        </w:tc>
        <w:tc>
          <w:tcPr/>
          <w:p>
            <w:pPr>
              <w:pStyle w:val="TableText"/>
              <w:jc w:val="right"/>
            </w:pPr>
            <w:r>
              <w:t xml:space="preserve">+0.0030</w:t>
            </w:r>
          </w:p>
        </w:tc>
        <w:tc>
          <w:tcPr/>
          <w:p>
            <w:pPr>
              <w:pStyle w:val="TableText"/>
              <w:jc w:val="center"/>
            </w:pPr>
            <w:r>
              <w:t xml:space="preserve">[+0.0004, +0.0057]</w:t>
            </w:r>
          </w:p>
        </w:tc>
        <w:tc>
          <w:tcPr/>
          <w:p>
            <w:pPr>
              <w:pStyle w:val="TableText"/>
              <w:jc w:val="center"/>
            </w:pPr>
            <w:r>
              <w:t xml:space="preserve">[+0.0019, +0.0042]</w:t>
            </w:r>
          </w:p>
        </w:tc>
        <w:tc>
          <w:tcPr/>
          <w:p>
            <w:pPr>
              <w:pStyle w:val="TableText"/>
              <w:jc w:val="left"/>
            </w:pPr>
            <w:r>
              <w:t xml:space="preserve">difference: GA better</w:t>
            </w:r>
          </w:p>
        </w:tc>
      </w:tr>
      <w:tr>
        <w:tc>
          <w:tcPr/>
          <w:p>
            <w:pPr>
              <w:pStyle w:val="TableText"/>
              <w:jc w:val="left"/>
            </w:pPr>
            <w:r>
              <w:t xml:space="preserve">DG</w:t>
            </w:r>
          </w:p>
        </w:tc>
        <w:tc>
          <w:tcPr/>
          <w:p>
            <w:pPr>
              <w:pStyle w:val="TableText"/>
              <w:jc w:val="left"/>
            </w:pPr>
            <w:r>
              <w:t xml:space="preserve">GD − R0</w:t>
            </w:r>
          </w:p>
        </w:tc>
        <w:tc>
          <w:tcPr/>
          <w:p>
            <w:pPr>
              <w:pStyle w:val="TableText"/>
              <w:jc w:val="right"/>
            </w:pPr>
            <w:r>
              <w:t xml:space="preserve">+0.0027</w:t>
            </w:r>
          </w:p>
        </w:tc>
        <w:tc>
          <w:tcPr/>
          <w:p>
            <w:pPr>
              <w:pStyle w:val="TableText"/>
              <w:jc w:val="center"/>
            </w:pPr>
            <w:r>
              <w:t xml:space="preserve">[−0.0012, +0.0070]</w:t>
            </w:r>
          </w:p>
        </w:tc>
        <w:tc>
          <w:tcPr/>
          <w:p>
            <w:pPr>
              <w:pStyle w:val="TableText"/>
              <w:jc w:val="center"/>
            </w:pPr>
            <w:r>
              <w:t xml:space="preserve">[−0.0048, +0.0101]</w:t>
            </w:r>
          </w:p>
        </w:tc>
        <w:tc>
          <w:tcPr/>
          <w:p>
            <w:pPr>
              <w:pStyle w:val="TableText"/>
              <w:jc w:val="left"/>
            </w:pPr>
            <w:r>
              <w:t xml:space="preserve">no detected difference</w:t>
            </w:r>
          </w:p>
        </w:tc>
      </w:tr>
      <w:tr>
        <w:tc>
          <w:tcPr/>
          <w:p>
            <w:pPr>
              <w:pStyle w:val="TableText"/>
              <w:jc w:val="left"/>
            </w:pPr>
            <w:r>
              <w:t xml:space="preserve">DG</w:t>
            </w:r>
          </w:p>
        </w:tc>
        <w:tc>
          <w:tcPr/>
          <w:p>
            <w:pPr>
              <w:pStyle w:val="TableText"/>
              <w:jc w:val="left"/>
            </w:pPr>
            <w:r>
              <w:t xml:space="preserve">GO − R0</w:t>
            </w:r>
          </w:p>
        </w:tc>
        <w:tc>
          <w:tcPr/>
          <w:p>
            <w:pPr>
              <w:pStyle w:val="TableText"/>
              <w:jc w:val="right"/>
            </w:pPr>
            <w:r>
              <w:t xml:space="preserve">+0.0014</w:t>
            </w:r>
          </w:p>
        </w:tc>
        <w:tc>
          <w:tcPr/>
          <w:p>
            <w:pPr>
              <w:pStyle w:val="TableText"/>
              <w:jc w:val="center"/>
            </w:pPr>
            <w:r>
              <w:t xml:space="preserve">[−0.0041, +0.0068]</w:t>
            </w:r>
          </w:p>
        </w:tc>
        <w:tc>
          <w:tcPr/>
          <w:p>
            <w:pPr>
              <w:pStyle w:val="TableText"/>
              <w:jc w:val="center"/>
            </w:pPr>
            <w:r>
              <w:t xml:space="preserve">[−0.0147, +0.0175]</w:t>
            </w:r>
          </w:p>
        </w:tc>
        <w:tc>
          <w:tcPr/>
          <w:p>
            <w:pPr>
              <w:pStyle w:val="TableText"/>
              <w:jc w:val="left"/>
            </w:pPr>
            <w:r>
              <w:t xml:space="preserve">no detected difference</w:t>
            </w:r>
          </w:p>
        </w:tc>
      </w:tr>
      <w:tr>
        <w:tc>
          <w:tcPr/>
          <w:p>
            <w:pPr>
              <w:pStyle w:val="TableText"/>
              <w:jc w:val="left"/>
            </w:pPr>
            <w:r>
              <w:t xml:space="preserve">DG</w:t>
            </w:r>
          </w:p>
        </w:tc>
        <w:tc>
          <w:tcPr/>
          <w:p>
            <w:pPr>
              <w:pStyle w:val="TableText"/>
              <w:jc w:val="left"/>
            </w:pPr>
            <w:r>
              <w:t xml:space="preserve">GAw − GD</w:t>
            </w:r>
          </w:p>
        </w:tc>
        <w:tc>
          <w:tcPr/>
          <w:p>
            <w:pPr>
              <w:pStyle w:val="TableText"/>
              <w:jc w:val="right"/>
            </w:pPr>
            <w:r>
              <w:t xml:space="preserve">+0.0016</w:t>
            </w:r>
          </w:p>
        </w:tc>
        <w:tc>
          <w:tcPr/>
          <w:p>
            <w:pPr>
              <w:pStyle w:val="TableText"/>
              <w:jc w:val="center"/>
            </w:pPr>
            <w:r>
              <w:t xml:space="preserve">[−0.0011, +0.0042]</w:t>
            </w:r>
          </w:p>
        </w:tc>
        <w:tc>
          <w:tcPr/>
          <w:p>
            <w:pPr>
              <w:pStyle w:val="TableText"/>
              <w:jc w:val="center"/>
            </w:pPr>
            <w:r>
              <w:t xml:space="preserve">[−0.0004, +0.0036]</w:t>
            </w:r>
          </w:p>
        </w:tc>
        <w:tc>
          <w:tcPr/>
          <w:p>
            <w:pPr>
              <w:pStyle w:val="TableText"/>
              <w:jc w:val="left"/>
            </w:pPr>
            <w:r>
              <w:t xml:space="preserve">no detected difference</w:t>
            </w:r>
          </w:p>
        </w:tc>
      </w:tr>
      <w:tr>
        <w:tc>
          <w:tcPr/>
          <w:p>
            <w:pPr>
              <w:pStyle w:val="TableText"/>
              <w:jc w:val="left"/>
            </w:pPr>
            <w:r>
              <w:t xml:space="preserve">Ottawa</w:t>
            </w:r>
          </w:p>
        </w:tc>
        <w:tc>
          <w:tcPr/>
          <w:p>
            <w:pPr>
              <w:pStyle w:val="TableText"/>
              <w:jc w:val="left"/>
            </w:pPr>
            <w:r>
              <w:t xml:space="preserve">GD − R0</w:t>
            </w:r>
          </w:p>
        </w:tc>
        <w:tc>
          <w:tcPr/>
          <w:p>
            <w:pPr>
              <w:pStyle w:val="TableText"/>
              <w:jc w:val="right"/>
            </w:pPr>
            <w:r>
              <w:t xml:space="preserve">−0.0048</w:t>
            </w:r>
          </w:p>
        </w:tc>
        <w:tc>
          <w:tcPr/>
          <w:p>
            <w:pPr>
              <w:pStyle w:val="TableText"/>
              <w:jc w:val="center"/>
            </w:pPr>
            <w:r>
              <w:t xml:space="preserve">[−0.0101, −0.0001]</w:t>
            </w:r>
          </w:p>
        </w:tc>
        <w:tc>
          <w:tcPr/>
          <w:p>
            <w:pPr>
              <w:pStyle w:val="TableText"/>
              <w:jc w:val="center"/>
            </w:pPr>
            <w:r>
              <w:t xml:space="preserve">[−0.0096, +0.0001]</w:t>
            </w:r>
          </w:p>
        </w:tc>
        <w:tc>
          <w:tcPr/>
          <w:p>
            <w:pPr>
              <w:pStyle w:val="TableText"/>
              <w:jc w:val="left"/>
            </w:pPr>
            <w:r>
              <w:t xml:space="preserve">inconclusive</w:t>
            </w:r>
          </w:p>
        </w:tc>
      </w:tr>
      <w:tr>
        <w:tc>
          <w:tcPr/>
          <w:p>
            <w:pPr>
              <w:pStyle w:val="TableText"/>
              <w:jc w:val="left"/>
            </w:pPr>
            <w:r>
              <w:t xml:space="preserve">Ottawa</w:t>
            </w:r>
          </w:p>
        </w:tc>
        <w:tc>
          <w:tcPr/>
          <w:p>
            <w:pPr>
              <w:pStyle w:val="TableText"/>
              <w:jc w:val="left"/>
            </w:pPr>
            <w:r>
              <w:t xml:space="preserve">GA − GD</w:t>
            </w:r>
          </w:p>
        </w:tc>
        <w:tc>
          <w:tcPr/>
          <w:p>
            <w:pPr>
              <w:pStyle w:val="TableText"/>
              <w:jc w:val="right"/>
            </w:pPr>
            <w:r>
              <w:t xml:space="preserve">+0.0019</w:t>
            </w:r>
          </w:p>
        </w:tc>
        <w:tc>
          <w:tcPr/>
          <w:p>
            <w:pPr>
              <w:pStyle w:val="TableText"/>
              <w:jc w:val="center"/>
            </w:pPr>
            <w:r>
              <w:t xml:space="preserve">[−0.0020, +0.0062]</w:t>
            </w:r>
          </w:p>
        </w:tc>
        <w:tc>
          <w:tcPr/>
          <w:p>
            <w:pPr>
              <w:pStyle w:val="TableText"/>
              <w:jc w:val="center"/>
            </w:pPr>
            <w:r>
              <w:t xml:space="preserve">[−0.0034, +0.0071]</w:t>
            </w:r>
          </w:p>
        </w:tc>
        <w:tc>
          <w:tcPr/>
          <w:p>
            <w:pPr>
              <w:pStyle w:val="TableText"/>
              <w:jc w:val="left"/>
            </w:pPr>
            <w:r>
              <w:t xml:space="preserve">no detected difference</w:t>
            </w:r>
          </w:p>
        </w:tc>
      </w:tr>
    </w:tbl>
    <w:p>
      <w:pPr>
        <w:pStyle w:val="BodyText"/>
      </w:pPr>
      <w:r>
        <w:rPr>
          <w:b/>
          <w:bCs/>
        </w:rPr>
        <w:t xml:space="preserve">Interpretation.</w:t>
      </w:r>
    </w:p>
    <w:p>
      <w:pPr>
        <w:pStyle w:val="Compact"/>
        <w:numPr>
          <w:ilvl w:val="0"/>
          <w:numId w:val="1024"/>
        </w:numPr>
      </w:pPr>
      <w:r>
        <w:rPr>
          <w:b/>
          <w:bCs/>
        </w:rPr>
        <w:t xml:space="preserve">On DeepGlobe, centre-line + width supervision helps.</w:t>
      </w:r>
      <w:r>
        <w:t xml:space="preserve"> </w:t>
      </w:r>
      <w:r>
        <w:t xml:space="preserve">GA improves per-image IoU by +0.0073 (pooled IoU 0.6771 → 0.6858).</w:t>
      </w:r>
    </w:p>
    <w:p>
      <w:pPr>
        <w:pStyle w:val="Compact"/>
        <w:numPr>
          <w:ilvl w:val="0"/>
          <w:numId w:val="1024"/>
        </w:numPr>
      </w:pPr>
      <w:r>
        <w:rPr>
          <w:b/>
          <w:bCs/>
        </w:rPr>
        <w:t xml:space="preserve">Both terms are needed.</w:t>
      </w:r>
      <w:r>
        <w:t xml:space="preserve"> </w:t>
      </w:r>
      <w:r>
        <w:t xml:space="preserve">GA beats each single-term model (GA − GAc +0.0068, GA − GAw +0.0030), and neither single term carries the gain by itself under the pre-specified reading rule. The width term contributes most (GAw pooled 0.6849); the centre term alone does almost nothing (GAc 0.6784).</w:t>
      </w:r>
    </w:p>
    <w:p>
      <w:pPr>
        <w:pStyle w:val="Compact"/>
        <w:numPr>
          <w:ilvl w:val="0"/>
          <w:numId w:val="1024"/>
        </w:numPr>
      </w:pPr>
      <w:r>
        <w:rPr>
          <w:b/>
          <w:bCs/>
        </w:rPr>
        <w:t xml:space="preserve">It beats prior targets.</w:t>
      </w:r>
      <w:r>
        <w:t xml:space="preserve"> </w:t>
      </w:r>
      <w:r>
        <w:t xml:space="preserve">With the same model and loss, our disc-cover target beats Deep-Distance-Transform targets (GA − GD +0.0046), while orientation targets (GO) show no gain over R0. The width encodings of GAw and GD alone are not distinguishable (GAw − GD +0.0016, no difference). GA’s advantage over DDT therefore needs the centre term too.</w:t>
      </w:r>
    </w:p>
    <w:p>
      <w:pPr>
        <w:pStyle w:val="Compact"/>
        <w:numPr>
          <w:ilvl w:val="0"/>
          <w:numId w:val="1024"/>
        </w:numPr>
      </w:pPr>
      <w:r>
        <w:rPr>
          <w:b/>
          <w:bCs/>
        </w:rPr>
        <w:t xml:space="preserve">The gain comes from fewer false positives.</w:t>
      </w:r>
      <w:r>
        <w:t xml:space="preserve"> </w:t>
      </w:r>
      <w:r>
        <w:t xml:space="preserve">A descriptive error breakdown on the saved test predictions shows GA reducing false positives near roads by 6.1% and far from roads by 7.2% relative to R0, with recall unchanged.</w:t>
      </w:r>
    </w:p>
    <w:p>
      <w:pPr>
        <w:pStyle w:val="Compact"/>
        <w:numPr>
          <w:ilvl w:val="0"/>
          <w:numId w:val="1024"/>
        </w:numPr>
      </w:pPr>
      <w:r>
        <w:rPr>
          <w:b/>
          <w:bCs/>
        </w:rPr>
        <w:t xml:space="preserve">Drawing the mask (GB) hurts.</w:t>
      </w:r>
      <w:r>
        <w:t xml:space="preserve"> </w:t>
      </w:r>
      <w:r>
        <w:t xml:space="preserve">Using the geometry to</w:t>
      </w:r>
      <w:r>
        <w:t xml:space="preserve"> </w:t>
      </w:r>
      <w:r>
        <w:rPr>
          <w:i/>
          <w:iCs/>
        </w:rPr>
        <w:t xml:space="preserve">draw</w:t>
      </w:r>
      <w:r>
        <w:t xml:space="preserve"> </w:t>
      </w:r>
      <w:r>
        <w:t xml:space="preserve">the mask is worse than using it as supervision on both datasets (GB − GA −0.0090 and −0.0046). GB draws roads slightly too wide.</w:t>
      </w:r>
    </w:p>
    <w:p>
      <w:pPr>
        <w:pStyle w:val="Compact"/>
        <w:numPr>
          <w:ilvl w:val="0"/>
          <w:numId w:val="1024"/>
        </w:numPr>
      </w:pPr>
      <w:r>
        <w:rPr>
          <w:b/>
          <w:bCs/>
        </w:rPr>
        <w:t xml:space="preserve">The gain does not replicate.</w:t>
      </w:r>
      <w:r>
        <w:t xml:space="preserve"> </w:t>
      </w:r>
      <w:r>
        <w:t xml:space="preserve">On Massachusetts (+0.0027, five seeds) and Ottawa (−0.0029, five seeds) it is not detected. An explanation based on label quality (</w:t>
      </w:r>
      <w:r>
        <w:t xml:space="preserve">“helps where label widths vary”</w:t>
      </w:r>
      <w:r>
        <w:t xml:space="preserve">) is not supported: Ottawa’s widths vary too, but its labels are precise road surfaces and IoU is already about 0.88.</w:t>
      </w:r>
    </w:p>
    <w:bookmarkEnd w:id="109"/>
    <w:bookmarkStart w:id="110" w:name="study-3-geometry-feedback"/>
    <w:p>
      <w:pPr>
        <w:pStyle w:val="Heading2"/>
      </w:pPr>
      <w:r>
        <w:rPr>
          <w:rStyle w:val="SectionNumber"/>
        </w:rPr>
        <w:t xml:space="preserve">10.6</w:t>
      </w:r>
      <w:r>
        <w:tab/>
      </w:r>
      <w:r>
        <w:t xml:space="preserve">Study 3 — geometry feedback</w:t>
      </w:r>
    </w:p>
    <w:p>
      <w:pPr>
        <w:pStyle w:val="TableCaption"/>
      </w:pPr>
      <w:r>
        <w:t xml:space="preserve">Table 14. Study 3 contrasts (GFa: 3 seeds; R0 and GA: 5 seeds on Massachusetts and Ottawa, 3 on DeepGlobe). The</w:t>
      </w:r>
      <w:r>
        <w:t xml:space="preserve"> </w:t>
      </w:r>
      <w:r>
        <w:rPr>
          <w:i/>
          <w:iCs/>
        </w:rPr>
        <w:t xml:space="preserve">t</w:t>
      </w:r>
      <w:r>
        <w:t xml:space="preserve"> </w:t>
      </w:r>
      <w:r>
        <w:t xml:space="preserve">interval uses only the seeds common to both arms, so its centre can differ from the bootstrap estimate.</w:t>
      </w:r>
    </w:p>
    <w:tbl>
      <w:tblPr>
        <w:tblStyle w:val="Table"/>
        <w:tblW w:type="pct" w:w="5000"/>
        <w:tblLayout w:type="fixed"/>
        <w:tblLook w:firstRow="1" w:lastRow="0" w:firstColumn="0" w:lastColumn="0" w:noHBand="0" w:noVBand="0" w:val="0020"/>
        <w:tblCaption w:val="Table 14. Study 3 contrasts (GFa: 3 seeds; R0 and GA: 5 seeds on Massachusetts and Ottawa, 3 on DeepGlobe). The t interval uses only the seeds common to both arms, so its centre can differ from the bootstrap estimate."/>
      </w:tblPr>
      <w:tblGrid>
        <w:gridCol w:w="758"/>
        <w:gridCol w:w="1769"/>
        <w:gridCol w:w="674"/>
        <w:gridCol w:w="1348"/>
        <w:gridCol w:w="1348"/>
        <w:gridCol w:w="2022"/>
      </w:tblGrid>
      <w:tr>
        <w:trPr>
          <w:tblHeader w:val="on"/>
        </w:trPr>
        <w:tc>
          <w:tcPr/>
          <w:p>
            <w:pPr>
              <w:pStyle w:val="TableText"/>
              <w:jc w:val="left"/>
            </w:pPr>
            <w:r>
              <w:t xml:space="preserve">Data</w:t>
            </w:r>
          </w:p>
        </w:tc>
        <w:tc>
          <w:tcPr/>
          <w:p>
            <w:pPr>
              <w:pStyle w:val="TableText"/>
              <w:jc w:val="left"/>
            </w:pPr>
            <w:r>
              <w:t xml:space="preserve">Contrast</w:t>
            </w:r>
          </w:p>
        </w:tc>
        <w:tc>
          <w:tcPr/>
          <w:p>
            <w:pPr>
              <w:pStyle w:val="TableText"/>
              <w:jc w:val="right"/>
            </w:pPr>
            <w:r>
              <w:t xml:space="preserve">Δ IoU</w:t>
            </w:r>
          </w:p>
        </w:tc>
        <w:tc>
          <w:tcPr/>
          <w:p>
            <w:pPr>
              <w:pStyle w:val="TableText"/>
              <w:jc w:val="center"/>
            </w:pPr>
            <w:r>
              <w:t xml:space="preserve">Bootstrap 95% CI</w:t>
            </w:r>
          </w:p>
        </w:tc>
        <w:tc>
          <w:tcPr/>
          <w:p>
            <w:pPr>
              <w:pStyle w:val="TableText"/>
              <w:jc w:val="center"/>
            </w:pPr>
            <w:r>
              <w:t xml:space="preserve">Seed-paired</w:t>
            </w:r>
            <w:r>
              <w:t xml:space="preserve"> </w:t>
            </w:r>
            <w:r>
              <w:rPr>
                <w:i/>
                <w:iCs/>
              </w:rPr>
              <w:t xml:space="preserve">t</w:t>
            </w:r>
            <w:r>
              <w:t xml:space="preserve"> </w:t>
            </w:r>
            <w:r>
              <w:t xml:space="preserve">95% CI</w:t>
            </w:r>
          </w:p>
        </w:tc>
        <w:tc>
          <w:tcPr/>
          <w:p>
            <w:pPr>
              <w:pStyle w:val="TableText"/>
              <w:jc w:val="left"/>
            </w:pPr>
            <w:r>
              <w:t xml:space="preserve">Decision</w:t>
            </w:r>
          </w:p>
        </w:tc>
      </w:tr>
      <w:tr>
        <w:tc>
          <w:tcPr/>
          <w:p>
            <w:pPr>
              <w:pStyle w:val="TableText"/>
              <w:jc w:val="left"/>
            </w:pPr>
            <w:r>
              <w:t xml:space="preserve">Mass.</w:t>
            </w:r>
          </w:p>
        </w:tc>
        <w:tc>
          <w:tcPr/>
          <w:p>
            <w:pPr>
              <w:pStyle w:val="TableText"/>
              <w:jc w:val="left"/>
            </w:pPr>
            <w:r>
              <w:rPr>
                <w:b/>
                <w:bCs/>
              </w:rPr>
              <w:t xml:space="preserve">GFa − R0</w:t>
            </w:r>
            <w:r>
              <w:t xml:space="preserve"> </w:t>
            </w:r>
            <w:r>
              <w:t xml:space="preserve">(primary)</w:t>
            </w:r>
          </w:p>
        </w:tc>
        <w:tc>
          <w:tcPr/>
          <w:p>
            <w:pPr>
              <w:pStyle w:val="TableText"/>
              <w:jc w:val="right"/>
            </w:pPr>
            <w:r>
              <w:t xml:space="preserve">+0.0032</w:t>
            </w:r>
          </w:p>
        </w:tc>
        <w:tc>
          <w:tcPr/>
          <w:p>
            <w:pPr>
              <w:pStyle w:val="TableText"/>
              <w:jc w:val="center"/>
            </w:pPr>
            <w:r>
              <w:t xml:space="preserve">[−0.0018, +0.0085]</w:t>
            </w:r>
          </w:p>
        </w:tc>
        <w:tc>
          <w:tcPr/>
          <w:p>
            <w:pPr>
              <w:pStyle w:val="TableText"/>
              <w:jc w:val="center"/>
            </w:pPr>
            <w:r>
              <w:t xml:space="preserve">[−0.0031, +0.0077]</w:t>
            </w:r>
          </w:p>
        </w:tc>
        <w:tc>
          <w:tcPr/>
          <w:p>
            <w:pPr>
              <w:pStyle w:val="TableText"/>
              <w:jc w:val="left"/>
            </w:pPr>
            <w:r>
              <w:t xml:space="preserve">no detected difference</w:t>
            </w:r>
          </w:p>
        </w:tc>
      </w:tr>
      <w:tr>
        <w:tc>
          <w:tcPr/>
          <w:p>
            <w:pPr>
              <w:pStyle w:val="TableText"/>
              <w:jc w:val="left"/>
            </w:pPr>
            <w:r>
              <w:t xml:space="preserve">DG</w:t>
            </w:r>
          </w:p>
        </w:tc>
        <w:tc>
          <w:tcPr/>
          <w:p>
            <w:pPr>
              <w:pStyle w:val="TableText"/>
              <w:jc w:val="left"/>
            </w:pPr>
            <w:r>
              <w:rPr>
                <w:b/>
                <w:bCs/>
              </w:rPr>
              <w:t xml:space="preserve">GFa − R0</w:t>
            </w:r>
            <w:r>
              <w:t xml:space="preserve"> </w:t>
            </w:r>
            <w:r>
              <w:t xml:space="preserve">(primary)</w:t>
            </w:r>
          </w:p>
        </w:tc>
        <w:tc>
          <w:tcPr/>
          <w:p>
            <w:pPr>
              <w:pStyle w:val="TableText"/>
              <w:jc w:val="right"/>
            </w:pPr>
            <w:r>
              <w:t xml:space="preserve">+0.0056</w:t>
            </w:r>
          </w:p>
        </w:tc>
        <w:tc>
          <w:tcPr/>
          <w:p>
            <w:pPr>
              <w:pStyle w:val="TableText"/>
              <w:jc w:val="center"/>
            </w:pPr>
            <w:r>
              <w:t xml:space="preserve">[+0.0012, +0.0103]</w:t>
            </w:r>
          </w:p>
        </w:tc>
        <w:tc>
          <w:tcPr/>
          <w:p>
            <w:pPr>
              <w:pStyle w:val="TableText"/>
              <w:jc w:val="center"/>
            </w:pPr>
            <w:r>
              <w:t xml:space="preserve">[−0.0072, +0.0183]</w:t>
            </w:r>
          </w:p>
        </w:tc>
        <w:tc>
          <w:tcPr/>
          <w:p>
            <w:pPr>
              <w:pStyle w:val="TableText"/>
              <w:jc w:val="left"/>
            </w:pPr>
            <w:r>
              <w:t xml:space="preserve">inconclusive</w:t>
            </w:r>
          </w:p>
        </w:tc>
      </w:tr>
      <w:tr>
        <w:tc>
          <w:tcPr/>
          <w:p>
            <w:pPr>
              <w:pStyle w:val="TableText"/>
              <w:jc w:val="left"/>
            </w:pPr>
            <w:r>
              <w:t xml:space="preserve">Ottawa</w:t>
            </w:r>
          </w:p>
        </w:tc>
        <w:tc>
          <w:tcPr/>
          <w:p>
            <w:pPr>
              <w:pStyle w:val="TableText"/>
              <w:jc w:val="left"/>
            </w:pPr>
            <w:r>
              <w:rPr>
                <w:b/>
                <w:bCs/>
              </w:rPr>
              <w:t xml:space="preserve">GFa − R0</w:t>
            </w:r>
            <w:r>
              <w:t xml:space="preserve"> </w:t>
            </w:r>
            <w:r>
              <w:t xml:space="preserve">(primary)</w:t>
            </w:r>
          </w:p>
        </w:tc>
        <w:tc>
          <w:tcPr/>
          <w:p>
            <w:pPr>
              <w:pStyle w:val="TableText"/>
              <w:jc w:val="right"/>
            </w:pPr>
            <w:r>
              <w:t xml:space="preserve">−0.0032</w:t>
            </w:r>
          </w:p>
        </w:tc>
        <w:tc>
          <w:tcPr/>
          <w:p>
            <w:pPr>
              <w:pStyle w:val="TableText"/>
              <w:jc w:val="center"/>
            </w:pPr>
            <w:r>
              <w:t xml:space="preserve">[−0.0084, +0.0032]</w:t>
            </w:r>
          </w:p>
        </w:tc>
        <w:tc>
          <w:tcPr/>
          <w:p>
            <w:pPr>
              <w:pStyle w:val="TableText"/>
              <w:jc w:val="center"/>
            </w:pPr>
            <w:r>
              <w:t xml:space="preserve">[−0.0142, +0.0080]</w:t>
            </w:r>
          </w:p>
        </w:tc>
        <w:tc>
          <w:tcPr/>
          <w:p>
            <w:pPr>
              <w:pStyle w:val="TableText"/>
              <w:jc w:val="left"/>
            </w:pPr>
            <w:r>
              <w:t xml:space="preserve">no detected difference</w:t>
            </w:r>
          </w:p>
        </w:tc>
      </w:tr>
      <w:tr>
        <w:tc>
          <w:tcPr/>
          <w:p>
            <w:pPr>
              <w:pStyle w:val="TableText"/>
              <w:jc w:val="left"/>
            </w:pPr>
            <w:r>
              <w:t xml:space="preserve">Mass.</w:t>
            </w:r>
          </w:p>
        </w:tc>
        <w:tc>
          <w:tcPr/>
          <w:p>
            <w:pPr>
              <w:pStyle w:val="TableText"/>
              <w:jc w:val="left"/>
            </w:pPr>
            <w:r>
              <w:t xml:space="preserve">GFa − GA</w:t>
            </w:r>
          </w:p>
        </w:tc>
        <w:tc>
          <w:tcPr/>
          <w:p>
            <w:pPr>
              <w:pStyle w:val="TableText"/>
              <w:jc w:val="right"/>
            </w:pPr>
            <w:r>
              <w:t xml:space="preserve">+0.0006</w:t>
            </w:r>
          </w:p>
        </w:tc>
        <w:tc>
          <w:tcPr/>
          <w:p>
            <w:pPr>
              <w:pStyle w:val="TableText"/>
              <w:jc w:val="center"/>
            </w:pPr>
            <w:r>
              <w:t xml:space="preserve">[−0.0038, +0.0047]</w:t>
            </w:r>
          </w:p>
        </w:tc>
        <w:tc>
          <w:tcPr/>
          <w:p>
            <w:pPr>
              <w:pStyle w:val="TableText"/>
              <w:jc w:val="center"/>
            </w:pPr>
            <w:r>
              <w:t xml:space="preserve">[−0.0062, +0.0059]</w:t>
            </w:r>
          </w:p>
        </w:tc>
        <w:tc>
          <w:tcPr/>
          <w:p>
            <w:pPr>
              <w:pStyle w:val="TableText"/>
              <w:jc w:val="left"/>
            </w:pPr>
            <w:r>
              <w:t xml:space="preserve">no detected difference</w:t>
            </w:r>
          </w:p>
        </w:tc>
      </w:tr>
      <w:tr>
        <w:tc>
          <w:tcPr/>
          <w:p>
            <w:pPr>
              <w:pStyle w:val="TableText"/>
              <w:jc w:val="left"/>
            </w:pPr>
            <w:r>
              <w:t xml:space="preserve">DG</w:t>
            </w:r>
          </w:p>
        </w:tc>
        <w:tc>
          <w:tcPr/>
          <w:p>
            <w:pPr>
              <w:pStyle w:val="TableText"/>
              <w:jc w:val="left"/>
            </w:pPr>
            <w:r>
              <w:t xml:space="preserve">GFa − GA</w:t>
            </w:r>
          </w:p>
        </w:tc>
        <w:tc>
          <w:tcPr/>
          <w:p>
            <w:pPr>
              <w:pStyle w:val="TableText"/>
              <w:jc w:val="right"/>
            </w:pPr>
            <w:r>
              <w:t xml:space="preserve">−0.0017</w:t>
            </w:r>
          </w:p>
        </w:tc>
        <w:tc>
          <w:tcPr/>
          <w:p>
            <w:pPr>
              <w:pStyle w:val="TableText"/>
              <w:jc w:val="center"/>
            </w:pPr>
            <w:r>
              <w:t xml:space="preserve">[−0.0048, +0.0013]</w:t>
            </w:r>
          </w:p>
        </w:tc>
        <w:tc>
          <w:tcPr/>
          <w:p>
            <w:pPr>
              <w:pStyle w:val="TableText"/>
              <w:jc w:val="center"/>
            </w:pPr>
            <w:r>
              <w:t xml:space="preserve">[−0.0083, +0.0048]</w:t>
            </w:r>
          </w:p>
        </w:tc>
        <w:tc>
          <w:tcPr/>
          <w:p>
            <w:pPr>
              <w:pStyle w:val="TableText"/>
              <w:jc w:val="left"/>
            </w:pPr>
            <w:r>
              <w:t xml:space="preserve">no detected difference</w:t>
            </w:r>
          </w:p>
        </w:tc>
      </w:tr>
      <w:tr>
        <w:tc>
          <w:tcPr/>
          <w:p>
            <w:pPr>
              <w:pStyle w:val="TableText"/>
              <w:jc w:val="left"/>
            </w:pPr>
            <w:r>
              <w:t xml:space="preserve">Ottawa</w:t>
            </w:r>
          </w:p>
        </w:tc>
        <w:tc>
          <w:tcPr/>
          <w:p>
            <w:pPr>
              <w:pStyle w:val="TableText"/>
              <w:jc w:val="left"/>
            </w:pPr>
            <w:r>
              <w:t xml:space="preserve">GFa − GA</w:t>
            </w:r>
          </w:p>
        </w:tc>
        <w:tc>
          <w:tcPr/>
          <w:p>
            <w:pPr>
              <w:pStyle w:val="TableText"/>
              <w:jc w:val="right"/>
            </w:pPr>
            <w:r>
              <w:t xml:space="preserve">−0.0002</w:t>
            </w:r>
          </w:p>
        </w:tc>
        <w:tc>
          <w:tcPr/>
          <w:p>
            <w:pPr>
              <w:pStyle w:val="TableText"/>
              <w:jc w:val="center"/>
            </w:pPr>
            <w:r>
              <w:t xml:space="preserve">[−0.0051, +0.0054]</w:t>
            </w:r>
          </w:p>
        </w:tc>
        <w:tc>
          <w:tcPr/>
          <w:p>
            <w:pPr>
              <w:pStyle w:val="TableText"/>
              <w:jc w:val="center"/>
            </w:pPr>
            <w:r>
              <w:t xml:space="preserve">[−0.0094, +0.0119]</w:t>
            </w:r>
          </w:p>
        </w:tc>
        <w:tc>
          <w:tcPr/>
          <w:p>
            <w:pPr>
              <w:pStyle w:val="TableText"/>
              <w:jc w:val="left"/>
            </w:pPr>
            <w:r>
              <w:t xml:space="preserve">no detected difference</w:t>
            </w:r>
          </w:p>
        </w:tc>
      </w:tr>
    </w:tbl>
    <w:p>
      <w:pPr>
        <w:pStyle w:val="BodyText"/>
      </w:pPr>
      <w:r>
        <w:t xml:space="preserve">Feeding the geometry back into the decoder does not add to GA: GFa is indistinguishable from GA on all three datasets, and its gain over R0 on DeepGlobe is inconclusive.</w:t>
      </w:r>
    </w:p>
    <w:bookmarkEnd w:id="110"/>
    <w:bookmarkStart w:id="117" w:name="qualitative-results"/>
    <w:p>
      <w:pPr>
        <w:pStyle w:val="Heading2"/>
      </w:pPr>
      <w:r>
        <w:rPr>
          <w:rStyle w:val="SectionNumber"/>
        </w:rPr>
        <w:t xml:space="preserve">10.7</w:t>
      </w:r>
      <w:r>
        <w:tab/>
      </w:r>
      <w:r>
        <w:t xml:space="preserve">Qualitative results</w:t>
      </w:r>
    </w:p>
    <w:p>
      <w:pPr>
        <w:pStyle w:val="CaptionedFigure"/>
      </w:pPr>
      <w:r>
        <w:drawing>
          <wp:inline>
            <wp:extent cx="5943600" cy="4887850"/>
            <wp:effectExtent b="0" l="0" r="0" t="0"/>
            <wp:docPr descr="Figure 16. Predictions of every model on the same DeepGlobe test crop (seed 0, each at its own validation-selected threshold). Grey: correct road; red: false positive; blue: missed road; black: correct background. The image was chosen as one whose GA − R0 difference is close to the dataset average, not a best case." title="" id="112" name="Picture"/>
            <a:graphic>
              <a:graphicData uri="http://schemas.openxmlformats.org/drawingml/2006/picture">
                <pic:pic>
                  <pic:nvPicPr>
                    <pic:cNvPr descr="fig/ex_models_pred.png" id="113" name="Picture"/>
                    <pic:cNvPicPr>
                      <a:picLocks noChangeArrowheads="1" noChangeAspect="1"/>
                    </pic:cNvPicPr>
                  </pic:nvPicPr>
                  <pic:blipFill>
                    <a:blip r:embed="rId111"/>
                    <a:stretch>
                      <a:fillRect/>
                    </a:stretch>
                  </pic:blipFill>
                  <pic:spPr bwMode="auto">
                    <a:xfrm>
                      <a:off x="0" y="0"/>
                      <a:ext cx="5943600" cy="4887850"/>
                    </a:xfrm>
                    <a:prstGeom prst="rect">
                      <a:avLst/>
                    </a:prstGeom>
                    <a:noFill/>
                    <a:ln w="9525">
                      <a:noFill/>
                      <a:headEnd/>
                      <a:tailEnd/>
                    </a:ln>
                  </pic:spPr>
                </pic:pic>
              </a:graphicData>
            </a:graphic>
          </wp:inline>
        </w:drawing>
      </w:r>
    </w:p>
    <w:p>
      <w:pPr>
        <w:pStyle w:val="ImageCaption"/>
      </w:pPr>
      <w:r>
        <w:rPr>
          <w:b/>
          <w:bCs/>
        </w:rPr>
        <w:t xml:space="preserve">Figure 16. Predictions of every model on the same DeepGlobe test crop</w:t>
      </w:r>
      <w:r>
        <w:t xml:space="preserve"> </w:t>
      </w:r>
      <w:r>
        <w:t xml:space="preserve">(seed 0, each at its own validation-selected threshold). Grey: correct road; red: false positive; blue: missed road; black: correct background. The image was chosen as one whose GA − R0 difference is close to the dataset average, not a best case.</w:t>
      </w:r>
    </w:p>
    <w:p>
      <w:pPr>
        <w:pStyle w:val="CaptionedFigure"/>
      </w:pPr>
      <w:r>
        <w:drawing>
          <wp:inline>
            <wp:extent cx="5943600" cy="4791372"/>
            <wp:effectExtent b="0" l="0" r="0" t="0"/>
            <wp:docPr descr="Figure 17. R0 and GA on one test image per dataset (seed 0). Each image’s GA − R0 difference is close to that dataset’s average, so the pair is typical. Purple on Massachusetts marks no-data pixels." title="" id="115" name="Picture"/>
            <a:graphic>
              <a:graphicData uri="http://schemas.openxmlformats.org/drawingml/2006/picture">
                <pic:pic>
                  <pic:nvPicPr>
                    <pic:cNvPr descr="fig/ex_qual_datasets.png" id="116" name="Picture"/>
                    <pic:cNvPicPr>
                      <a:picLocks noChangeArrowheads="1" noChangeAspect="1"/>
                    </pic:cNvPicPr>
                  </pic:nvPicPr>
                  <pic:blipFill>
                    <a:blip r:embed="rId114"/>
                    <a:stretch>
                      <a:fillRect/>
                    </a:stretch>
                  </pic:blipFill>
                  <pic:spPr bwMode="auto">
                    <a:xfrm>
                      <a:off x="0" y="0"/>
                      <a:ext cx="5943600" cy="4791372"/>
                    </a:xfrm>
                    <a:prstGeom prst="rect">
                      <a:avLst/>
                    </a:prstGeom>
                    <a:noFill/>
                    <a:ln w="9525">
                      <a:noFill/>
                      <a:headEnd/>
                      <a:tailEnd/>
                    </a:ln>
                  </pic:spPr>
                </pic:pic>
              </a:graphicData>
            </a:graphic>
          </wp:inline>
        </w:drawing>
      </w:r>
    </w:p>
    <w:p>
      <w:pPr>
        <w:pStyle w:val="ImageCaption"/>
      </w:pPr>
      <w:r>
        <w:rPr>
          <w:b/>
          <w:bCs/>
        </w:rPr>
        <w:t xml:space="preserve">Figure 17. R0 and GA on one test image per dataset</w:t>
      </w:r>
      <w:r>
        <w:t xml:space="preserve"> </w:t>
      </w:r>
      <w:r>
        <w:t xml:space="preserve">(seed 0). Each image’s GA − R0 difference is close to that dataset’s average, so the pair is typical. Purple on Massachusetts marks no-data pixels.</w:t>
      </w:r>
    </w:p>
    <w:p>
      <w:pPr>
        <w:pStyle w:val="Explainer"/>
      </w:pPr>
      <w:r>
        <w:rPr>
          <w:b/>
          <w:bCs/>
        </w:rPr>
        <w:t xml:space="preserve">How to read Figures 16 and 17.</w:t>
      </w:r>
    </w:p>
    <w:p>
      <w:pPr>
        <w:pStyle w:val="Explainer"/>
      </w:pPr>
      <w:r>
        <w:t xml:space="preserve">•</w:t>
      </w:r>
      <w:r>
        <w:t xml:space="preserve"> </w:t>
      </w:r>
      <w:r>
        <w:rPr>
          <w:i/>
          <w:iCs/>
        </w:rPr>
        <w:t xml:space="preserve">Most errors sit at road edges</w:t>
      </w:r>
      <w:r>
        <w:t xml:space="preserve"> </w:t>
      </w:r>
      <w:r>
        <w:t xml:space="preserve">(thin red and blue lines along the roads): 69% of R0’s errors on Massachusetts and 51% on DeepGlobe lie within 2 px of a label boundary. Exact road width is the hardest part of the task, and partly a matter of labelling convention.</w:t>
      </w:r>
    </w:p>
    <w:p>
      <w:pPr>
        <w:pStyle w:val="Explainer"/>
      </w:pPr>
      <w:r>
        <w:t xml:space="preserve">•</w:t>
      </w:r>
      <w:r>
        <w:t xml:space="preserve"> </w:t>
      </w:r>
      <w:r>
        <w:rPr>
          <w:i/>
          <w:iCs/>
        </w:rPr>
        <w:t xml:space="preserve">Whole segments</w:t>
      </w:r>
      <w:r>
        <w:t xml:space="preserve"> </w:t>
      </w:r>
      <w:r>
        <w:t xml:space="preserve">are missed (solid blue) where roads are narrow, unpaved or occluded, and spurious segments appear (solid red) on road-like structures such as field boundaries.</w:t>
      </w:r>
    </w:p>
    <w:p>
      <w:pPr>
        <w:pStyle w:val="Explainer"/>
      </w:pPr>
      <w:r>
        <w:t xml:space="preserve">•</w:t>
      </w:r>
      <w:r>
        <w:t xml:space="preserve"> </w:t>
      </w:r>
      <w:r>
        <w:rPr>
          <w:i/>
          <w:iCs/>
        </w:rPr>
        <w:t xml:space="preserve">Single crops are noisy.</w:t>
      </w:r>
      <w:r>
        <w:t xml:space="preserve"> </w:t>
      </w:r>
      <w:r>
        <w:t xml:space="preserve">On one crop and one seed, the ranking of models can go either way; for example, U-Net scores well on the crop in Figure 16 although it is the worst model on DeepGlobe overall. This is why the conclusions rest on 935 images × several seeds and the intervals of Section 9, not on pictures.</w:t>
      </w:r>
    </w:p>
    <w:bookmarkEnd w:id="117"/>
    <w:bookmarkEnd w:id="118"/>
    <w:bookmarkStart w:id="122" w:name="comparison-with-published-results"/>
    <w:p>
      <w:pPr>
        <w:pStyle w:val="Heading1"/>
      </w:pPr>
      <w:r>
        <w:rPr>
          <w:rStyle w:val="SectionNumber"/>
        </w:rPr>
        <w:t xml:space="preserve">11</w:t>
      </w:r>
      <w:r>
        <w:tab/>
      </w:r>
      <w:r>
        <w:t xml:space="preserve">Comparison with published results</w:t>
      </w:r>
    </w:p>
    <w:p>
      <w:pPr>
        <w:pStyle w:val="TableCaption"/>
      </w:pPr>
      <w:r>
        <w:t xml:space="preserve">Table 15. Published road-segmentation results and ours (values as printed in each source, converted to 0–1; ours are means over seeds). Splits and protocols differ between row groups. Ottawa is not compared: published Ottawa results use the original 0.21 m resolution and other splits.</w:t>
      </w:r>
    </w:p>
    <w:tbl>
      <w:tblPr>
        <w:tblStyle w:val="Table"/>
        <w:tblW w:type="pct" w:w="5000"/>
        <w:tblLayout w:type="fixed"/>
        <w:tblLook w:firstRow="1" w:lastRow="0" w:firstColumn="0" w:lastColumn="0" w:noHBand="0" w:noVBand="0" w:val="0020"/>
        <w:tblCaption w:val="Table 15. Published road-segmentation results and ours (values as printed in each source, converted to 0–1; ours are means over seeds). Splits and protocols differ between row groups. Ottawa is not compared: published Ottawa results use the original 0.21 m resolution and other splits."/>
      </w:tblPr>
      <w:tblGrid>
        <w:gridCol w:w="1890"/>
        <w:gridCol w:w="2070"/>
        <w:gridCol w:w="810"/>
        <w:gridCol w:w="1080"/>
        <w:gridCol w:w="2070"/>
      </w:tblGrid>
      <w:tr>
        <w:trPr>
          <w:tblHeader w:val="on"/>
        </w:trPr>
        <w:tc>
          <w:tcPr/>
          <w:p>
            <w:pPr>
              <w:pStyle w:val="TableText"/>
              <w:jc w:val="left"/>
            </w:pPr>
            <w:r>
              <w:t xml:space="preserve">Method</w:t>
            </w:r>
          </w:p>
        </w:tc>
        <w:tc>
          <w:tcPr/>
          <w:p>
            <w:pPr>
              <w:pStyle w:val="TableText"/>
              <w:jc w:val="left"/>
            </w:pPr>
            <w:r>
              <w:t xml:space="preserve">Split / protocol</w:t>
            </w:r>
          </w:p>
        </w:tc>
        <w:tc>
          <w:tcPr/>
          <w:p>
            <w:pPr>
              <w:pStyle w:val="TableText"/>
              <w:jc w:val="center"/>
            </w:pPr>
            <w:r>
              <w:t xml:space="preserve">Mass. IoU</w:t>
            </w:r>
          </w:p>
        </w:tc>
        <w:tc>
          <w:tcPr/>
          <w:p>
            <w:pPr>
              <w:pStyle w:val="TableText"/>
              <w:jc w:val="center"/>
            </w:pPr>
            <w:r>
              <w:t xml:space="preserve">DeepGlobe IoU</w:t>
            </w:r>
          </w:p>
        </w:tc>
        <w:tc>
          <w:tcPr/>
          <w:p>
            <w:pPr>
              <w:pStyle w:val="TableText"/>
              <w:jc w:val="left"/>
            </w:pPr>
            <w:r>
              <w:t xml:space="preserve">Other metrics as published</w:t>
            </w:r>
          </w:p>
        </w:tc>
      </w:tr>
      <w:tr>
        <w:tc>
          <w:tcPr/>
          <w:p>
            <w:pPr>
              <w:pStyle w:val="TableText"/>
              <w:jc w:val="left"/>
            </w:pPr>
            <w:r>
              <w:t xml:space="preserve">D-LinkNet [7]</w:t>
            </w:r>
          </w:p>
        </w:tc>
        <w:tc>
          <w:tcPr/>
          <w:p>
            <w:pPr>
              <w:pStyle w:val="TableText"/>
              <w:jc w:val="left"/>
            </w:pPr>
            <w:r>
              <w:t xml:space="preserve">DeepGlobe challenge server (val / test)</w:t>
            </w:r>
          </w:p>
        </w:tc>
        <w:tc>
          <w:tcPr/>
          <w:p>
            <w:pPr>
              <w:pStyle w:val="TableText"/>
              <w:jc w:val="center"/>
            </w:pPr>
            <w:r>
              <w:t xml:space="preserve">—</w:t>
            </w:r>
          </w:p>
        </w:tc>
        <w:tc>
          <w:tcPr/>
          <w:p>
            <w:pPr>
              <w:pStyle w:val="TableText"/>
              <w:jc w:val="center"/>
            </w:pPr>
            <w:r>
              <w:t xml:space="preserve">0.6466 / 0.6342</w:t>
            </w:r>
          </w:p>
        </w:tc>
        <w:tc>
          <w:tcPr/>
          <w:p>
            <w:pPr>
              <w:pStyle w:val="TableText"/>
              <w:jc w:val="left"/>
            </w:pPr>
            <w:r>
              <w:t xml:space="preserve">—</w:t>
            </w:r>
          </w:p>
        </w:tc>
      </w:tr>
      <w:tr>
        <w:tc>
          <w:tcPr/>
          <w:p>
            <w:pPr>
              <w:pStyle w:val="TableText"/>
              <w:jc w:val="left"/>
            </w:pPr>
            <w:r>
              <w:t xml:space="preserve">NL-LinkNet [15]</w:t>
            </w:r>
          </w:p>
        </w:tc>
        <w:tc>
          <w:tcPr/>
          <w:p>
            <w:pPr>
              <w:pStyle w:val="TableText"/>
              <w:jc w:val="left"/>
            </w:pPr>
            <w:r>
              <w:t xml:space="preserve">DeepGlobe challenge val</w:t>
            </w:r>
          </w:p>
        </w:tc>
        <w:tc>
          <w:tcPr/>
          <w:p>
            <w:pPr>
              <w:pStyle w:val="TableText"/>
              <w:jc w:val="center"/>
            </w:pPr>
            <w:r>
              <w:t xml:space="preserve">—</w:t>
            </w:r>
          </w:p>
        </w:tc>
        <w:tc>
          <w:tcPr/>
          <w:p>
            <w:pPr>
              <w:pStyle w:val="TableText"/>
              <w:jc w:val="center"/>
            </w:pPr>
            <w:r>
              <w:t xml:space="preserve">0.6500</w:t>
            </w:r>
          </w:p>
        </w:tc>
        <w:tc>
          <w:tcPr/>
          <w:p>
            <w:pPr>
              <w:pStyle w:val="TableText"/>
              <w:jc w:val="left"/>
            </w:pPr>
            <w:r>
              <w:t xml:space="preserve">(</w:t>
            </w:r>
            <w:r>
              <w:t xml:space="preserve">“mIoU”</w:t>
            </w:r>
            <w:r>
              <w:t xml:space="preserve"> </w:t>
            </w:r>
            <w:r>
              <w:t xml:space="preserve">as named in source)</w:t>
            </w:r>
          </w:p>
        </w:tc>
      </w:tr>
      <w:tr>
        <w:tc>
          <w:tcPr/>
          <w:p>
            <w:pPr>
              <w:pStyle w:val="TableText"/>
              <w:jc w:val="left"/>
            </w:pPr>
            <w:r>
              <w:t xml:space="preserve">RoadCNN [20], as reported in [18]</w:t>
            </w:r>
          </w:p>
        </w:tc>
        <w:tc>
          <w:tcPr/>
          <w:p>
            <w:pPr>
              <w:pStyle w:val="TableText"/>
              <w:jc w:val="left"/>
            </w:pPr>
            <w:r>
              <w:t xml:space="preserve">DG 4696 / 1530, full image</w:t>
            </w:r>
          </w:p>
        </w:tc>
        <w:tc>
          <w:tcPr/>
          <w:p>
            <w:pPr>
              <w:pStyle w:val="TableText"/>
              <w:jc w:val="center"/>
            </w:pPr>
            <w:r>
              <w:t xml:space="preserve">—</w:t>
            </w:r>
          </w:p>
        </w:tc>
        <w:tc>
          <w:tcPr/>
          <w:p>
            <w:pPr>
              <w:pStyle w:val="TableText"/>
              <w:jc w:val="center"/>
            </w:pPr>
            <w:r>
              <w:t xml:space="preserve">0.6761</w:t>
            </w:r>
          </w:p>
        </w:tc>
        <w:tc>
          <w:tcPr/>
          <w:p>
            <w:pPr>
              <w:pStyle w:val="TableText"/>
              <w:jc w:val="left"/>
            </w:pPr>
            <w:r>
              <w:t xml:space="preserve">—</w:t>
            </w:r>
          </w:p>
        </w:tc>
      </w:tr>
      <w:tr>
        <w:tc>
          <w:tcPr/>
          <w:p>
            <w:pPr>
              <w:pStyle w:val="TableText"/>
              <w:jc w:val="left"/>
            </w:pPr>
            <w:r>
              <w:t xml:space="preserve">Batra et al. [18]</w:t>
            </w:r>
          </w:p>
        </w:tc>
        <w:tc>
          <w:tcPr/>
          <w:p>
            <w:pPr>
              <w:pStyle w:val="TableText"/>
              <w:jc w:val="left"/>
            </w:pPr>
            <w:r>
              <w:t xml:space="preserve">DG 4696 / 1530, full image</w:t>
            </w:r>
          </w:p>
        </w:tc>
        <w:tc>
          <w:tcPr/>
          <w:p>
            <w:pPr>
              <w:pStyle w:val="TableText"/>
              <w:jc w:val="center"/>
            </w:pPr>
            <w:r>
              <w:t xml:space="preserve">—</w:t>
            </w:r>
          </w:p>
        </w:tc>
        <w:tc>
          <w:tcPr/>
          <w:p>
            <w:pPr>
              <w:pStyle w:val="TableText"/>
              <w:jc w:val="center"/>
            </w:pPr>
            <w:r>
              <w:t xml:space="preserve">0.6721</w:t>
            </w:r>
          </w:p>
        </w:tc>
        <w:tc>
          <w:tcPr/>
          <w:p>
            <w:pPr>
              <w:pStyle w:val="TableText"/>
              <w:jc w:val="left"/>
            </w:pPr>
            <w:r>
              <w:t xml:space="preserve">APLS 0.7312</w:t>
            </w:r>
          </w:p>
        </w:tc>
      </w:tr>
      <w:tr>
        <w:tc>
          <w:tcPr/>
          <w:p>
            <w:pPr>
              <w:pStyle w:val="TableText"/>
              <w:jc w:val="left"/>
            </w:pPr>
            <w:r>
              <w:t xml:space="preserve">D-LinkNet, as reported in [24]</w:t>
            </w:r>
          </w:p>
        </w:tc>
        <w:tc>
          <w:tcPr/>
          <w:p>
            <w:pPr>
              <w:pStyle w:val="TableText"/>
              <w:jc w:val="left"/>
            </w:pPr>
            <w:r>
              <w:t xml:space="preserve">Mass 1108/14/49; DG 4696/1530; 512² crops</w:t>
            </w:r>
          </w:p>
        </w:tc>
        <w:tc>
          <w:tcPr/>
          <w:p>
            <w:pPr>
              <w:pStyle w:val="TableText"/>
              <w:jc w:val="center"/>
            </w:pPr>
            <w:r>
              <w:t xml:space="preserve">0.6145</w:t>
            </w:r>
          </w:p>
        </w:tc>
        <w:tc>
          <w:tcPr/>
          <w:p>
            <w:pPr>
              <w:pStyle w:val="TableText"/>
              <w:jc w:val="center"/>
            </w:pPr>
            <w:r>
              <w:t xml:space="preserve">0.5762</w:t>
            </w:r>
          </w:p>
        </w:tc>
        <w:tc>
          <w:tcPr/>
          <w:p>
            <w:pPr>
              <w:pStyle w:val="TableText"/>
              <w:jc w:val="left"/>
            </w:pPr>
            <w:r>
              <w:t xml:space="preserve">—</w:t>
            </w:r>
          </w:p>
        </w:tc>
      </w:tr>
      <w:tr>
        <w:tc>
          <w:tcPr/>
          <w:p>
            <w:pPr>
              <w:pStyle w:val="TableText"/>
              <w:jc w:val="left"/>
            </w:pPr>
            <w:r>
              <w:t xml:space="preserve">CoANet [19], as reported in [24]</w:t>
            </w:r>
          </w:p>
        </w:tc>
        <w:tc>
          <w:tcPr/>
          <w:p>
            <w:pPr>
              <w:pStyle w:val="TableText"/>
              <w:jc w:val="left"/>
            </w:pPr>
            <w:r>
              <w:t xml:space="preserve">as above</w:t>
            </w:r>
          </w:p>
        </w:tc>
        <w:tc>
          <w:tcPr/>
          <w:p>
            <w:pPr>
              <w:pStyle w:val="TableText"/>
              <w:jc w:val="center"/>
            </w:pPr>
            <w:r>
              <w:t xml:space="preserve">0.6167</w:t>
            </w:r>
          </w:p>
        </w:tc>
        <w:tc>
          <w:tcPr/>
          <w:p>
            <w:pPr>
              <w:pStyle w:val="TableText"/>
              <w:jc w:val="center"/>
            </w:pPr>
            <w:r>
              <w:t xml:space="preserve">0.5911</w:t>
            </w:r>
          </w:p>
        </w:tc>
        <w:tc>
          <w:tcPr/>
          <w:p>
            <w:pPr>
              <w:pStyle w:val="TableText"/>
              <w:jc w:val="left"/>
            </w:pPr>
            <w:r>
              <w:t xml:space="preserve">—</w:t>
            </w:r>
          </w:p>
        </w:tc>
      </w:tr>
      <w:tr>
        <w:tc>
          <w:tcPr/>
          <w:p>
            <w:pPr>
              <w:pStyle w:val="TableText"/>
              <w:jc w:val="left"/>
            </w:pPr>
            <w:r>
              <w:t xml:space="preserve">Seg-Road-l [24]</w:t>
            </w:r>
          </w:p>
        </w:tc>
        <w:tc>
          <w:tcPr/>
          <w:p>
            <w:pPr>
              <w:pStyle w:val="TableText"/>
              <w:jc w:val="left"/>
            </w:pPr>
            <w:r>
              <w:t xml:space="preserve">as above</w:t>
            </w:r>
          </w:p>
        </w:tc>
        <w:tc>
          <w:tcPr/>
          <w:p>
            <w:pPr>
              <w:pStyle w:val="TableText"/>
              <w:jc w:val="center"/>
            </w:pPr>
            <w:r>
              <w:t xml:space="preserve">0.6838</w:t>
            </w:r>
          </w:p>
        </w:tc>
        <w:tc>
          <w:tcPr/>
          <w:p>
            <w:pPr>
              <w:pStyle w:val="TableText"/>
              <w:jc w:val="center"/>
            </w:pPr>
            <w:r>
              <w:t xml:space="preserve">0.6720</w:t>
            </w:r>
          </w:p>
        </w:tc>
        <w:tc>
          <w:tcPr/>
          <w:p>
            <w:pPr>
              <w:pStyle w:val="TableText"/>
              <w:jc w:val="left"/>
            </w:pPr>
            <w:r>
              <w:t xml:space="preserve">mIoU Mass 0.8389, DG 0.8206</w:t>
            </w:r>
          </w:p>
        </w:tc>
      </w:tr>
      <w:tr>
        <w:tc>
          <w:tcPr/>
          <w:p>
            <w:pPr>
              <w:pStyle w:val="TableText"/>
              <w:jc w:val="left"/>
            </w:pPr>
            <w:r>
              <w:t xml:space="preserve">SegFormer [23], as reported in [25]</w:t>
            </w:r>
          </w:p>
        </w:tc>
        <w:tc>
          <w:tcPr/>
          <w:p>
            <w:pPr>
              <w:pStyle w:val="TableText"/>
              <w:jc w:val="left"/>
            </w:pPr>
            <w:r>
              <w:t xml:space="preserve">Mass official; DG 4891/190/1145; resized to 512²</w:t>
            </w:r>
          </w:p>
        </w:tc>
        <w:tc>
          <w:tcPr/>
          <w:p>
            <w:pPr>
              <w:pStyle w:val="TableText"/>
              <w:jc w:val="center"/>
            </w:pPr>
            <w:r>
              <w:t xml:space="preserve">0.6009</w:t>
            </w:r>
          </w:p>
        </w:tc>
        <w:tc>
          <w:tcPr/>
          <w:p>
            <w:pPr>
              <w:pStyle w:val="TableText"/>
              <w:jc w:val="center"/>
            </w:pPr>
            <w:r>
              <w:t xml:space="preserve">0.6742</w:t>
            </w:r>
          </w:p>
        </w:tc>
        <w:tc>
          <w:tcPr/>
          <w:p>
            <w:pPr>
              <w:pStyle w:val="TableText"/>
              <w:jc w:val="left"/>
            </w:pPr>
            <w:r>
              <w:t xml:space="preserve">—</w:t>
            </w:r>
          </w:p>
        </w:tc>
      </w:tr>
      <w:tr>
        <w:tc>
          <w:tcPr/>
          <w:p>
            <w:pPr>
              <w:pStyle w:val="TableText"/>
              <w:jc w:val="left"/>
            </w:pPr>
            <w:r>
              <w:t xml:space="preserve">URoadNet [25]</w:t>
            </w:r>
          </w:p>
        </w:tc>
        <w:tc>
          <w:tcPr/>
          <w:p>
            <w:pPr>
              <w:pStyle w:val="TableText"/>
              <w:jc w:val="left"/>
            </w:pPr>
            <w:r>
              <w:t xml:space="preserve">as above</w:t>
            </w:r>
          </w:p>
        </w:tc>
        <w:tc>
          <w:tcPr/>
          <w:p>
            <w:pPr>
              <w:pStyle w:val="TableText"/>
              <w:jc w:val="center"/>
            </w:pPr>
            <w:r>
              <w:t xml:space="preserve">0.6761</w:t>
            </w:r>
          </w:p>
        </w:tc>
        <w:tc>
          <w:tcPr/>
          <w:p>
            <w:pPr>
              <w:pStyle w:val="TableText"/>
              <w:jc w:val="center"/>
            </w:pPr>
            <w:r>
              <w:t xml:space="preserve">0.6777</w:t>
            </w:r>
          </w:p>
        </w:tc>
        <w:tc>
          <w:tcPr/>
          <w:p>
            <w:pPr>
              <w:pStyle w:val="TableText"/>
              <w:jc w:val="left"/>
            </w:pPr>
            <w:r>
              <w:t xml:space="preserve">accuracy Mass 0.9706, DG 0.9753</w:t>
            </w:r>
          </w:p>
        </w:tc>
      </w:tr>
      <w:tr>
        <w:tc>
          <w:tcPr/>
          <w:p>
            <w:pPr>
              <w:pStyle w:val="TableText"/>
              <w:jc w:val="left"/>
            </w:pPr>
            <w:r>
              <w:t xml:space="preserve">U-Net, as reported in [26]</w:t>
            </w:r>
          </w:p>
        </w:tc>
        <w:tc>
          <w:tcPr/>
          <w:p>
            <w:pPr>
              <w:pStyle w:val="TableText"/>
              <w:jc w:val="left"/>
            </w:pPr>
            <w:r>
              <w:t xml:space="preserve">Mass 1108/63; DG 4980/1236; patches</w:t>
            </w:r>
          </w:p>
        </w:tc>
        <w:tc>
          <w:tcPr/>
          <w:p>
            <w:pPr>
              <w:pStyle w:val="TableText"/>
              <w:jc w:val="center"/>
            </w:pPr>
            <w:r>
              <w:t xml:space="preserve">0.6456</w:t>
            </w:r>
          </w:p>
        </w:tc>
        <w:tc>
          <w:tcPr/>
          <w:p>
            <w:pPr>
              <w:pStyle w:val="TableText"/>
              <w:jc w:val="center"/>
            </w:pPr>
            <w:r>
              <w:t xml:space="preserve">0.6506</w:t>
            </w:r>
          </w:p>
        </w:tc>
        <w:tc>
          <w:tcPr/>
          <w:p>
            <w:pPr>
              <w:pStyle w:val="TableText"/>
              <w:jc w:val="left"/>
            </w:pPr>
            <w:r>
              <w:t xml:space="preserve">—</w:t>
            </w:r>
          </w:p>
        </w:tc>
      </w:tr>
      <w:tr>
        <w:tc>
          <w:tcPr/>
          <w:p>
            <w:pPr>
              <w:pStyle w:val="TableText"/>
              <w:jc w:val="left"/>
            </w:pPr>
            <w:r>
              <w:t xml:space="preserve">D-LinkNet, as reported in [26]</w:t>
            </w:r>
          </w:p>
        </w:tc>
        <w:tc>
          <w:tcPr/>
          <w:p>
            <w:pPr>
              <w:pStyle w:val="TableText"/>
              <w:jc w:val="left"/>
            </w:pPr>
            <w:r>
              <w:t xml:space="preserve">as above</w:t>
            </w:r>
          </w:p>
        </w:tc>
        <w:tc>
          <w:tcPr/>
          <w:p>
            <w:pPr>
              <w:pStyle w:val="TableText"/>
              <w:jc w:val="center"/>
            </w:pPr>
            <w:r>
              <w:t xml:space="preserve">0.6443</w:t>
            </w:r>
          </w:p>
        </w:tc>
        <w:tc>
          <w:tcPr/>
          <w:p>
            <w:pPr>
              <w:pStyle w:val="TableText"/>
              <w:jc w:val="center"/>
            </w:pPr>
            <w:r>
              <w:t xml:space="preserve">0.6599</w:t>
            </w:r>
          </w:p>
        </w:tc>
        <w:tc>
          <w:tcPr/>
          <w:p>
            <w:pPr>
              <w:pStyle w:val="TableText"/>
              <w:jc w:val="left"/>
            </w:pPr>
            <w:r>
              <w:t xml:space="preserve">—</w:t>
            </w:r>
          </w:p>
        </w:tc>
      </w:tr>
      <w:tr>
        <w:tc>
          <w:tcPr/>
          <w:p>
            <w:pPr>
              <w:pStyle w:val="TableText"/>
              <w:jc w:val="left"/>
            </w:pPr>
            <w:r>
              <w:t xml:space="preserve">DSFC-Net [26]</w:t>
            </w:r>
          </w:p>
        </w:tc>
        <w:tc>
          <w:tcPr/>
          <w:p>
            <w:pPr>
              <w:pStyle w:val="TableText"/>
              <w:jc w:val="left"/>
            </w:pPr>
            <w:r>
              <w:t xml:space="preserve">as above</w:t>
            </w:r>
          </w:p>
        </w:tc>
        <w:tc>
          <w:tcPr/>
          <w:p>
            <w:pPr>
              <w:pStyle w:val="TableText"/>
              <w:jc w:val="center"/>
            </w:pPr>
            <w:r>
              <w:t xml:space="preserve">0.6750</w:t>
            </w:r>
          </w:p>
        </w:tc>
        <w:tc>
          <w:tcPr/>
          <w:p>
            <w:pPr>
              <w:pStyle w:val="TableText"/>
              <w:jc w:val="center"/>
            </w:pPr>
            <w:r>
              <w:t xml:space="preserve">0.6868</w:t>
            </w:r>
          </w:p>
        </w:tc>
        <w:tc>
          <w:tcPr/>
          <w:p>
            <w:pPr>
              <w:pStyle w:val="TableText"/>
              <w:jc w:val="left"/>
            </w:pPr>
            <w:r>
              <w:t xml:space="preserve">—</w:t>
            </w:r>
          </w:p>
        </w:tc>
      </w:tr>
      <w:tr>
        <w:tc>
          <w:tcPr/>
          <w:p>
            <w:pPr>
              <w:pStyle w:val="TableText"/>
              <w:jc w:val="left"/>
            </w:pPr>
            <w:r>
              <w:rPr>
                <w:b/>
                <w:bCs/>
              </w:rPr>
              <w:t xml:space="preserve">Ours: R0</w:t>
            </w:r>
            <w:r>
              <w:t xml:space="preserve"> </w:t>
            </w:r>
            <w:r>
              <w:t xml:space="preserve">(control)</w:t>
            </w:r>
          </w:p>
        </w:tc>
        <w:tc>
          <w:tcPr/>
          <w:p>
            <w:pPr>
              <w:pStyle w:val="TableText"/>
              <w:jc w:val="left"/>
            </w:pPr>
            <w:r>
              <w:t xml:space="preserve">Mass official, no-data masked; DG 4358/933/935; stitched full images</w:t>
            </w:r>
          </w:p>
        </w:tc>
        <w:tc>
          <w:tcPr/>
          <w:p>
            <w:pPr>
              <w:pStyle w:val="TableText"/>
              <w:jc w:val="center"/>
            </w:pPr>
            <w:r>
              <w:t xml:space="preserve">0.6556</w:t>
            </w:r>
          </w:p>
        </w:tc>
        <w:tc>
          <w:tcPr/>
          <w:p>
            <w:pPr>
              <w:pStyle w:val="TableText"/>
              <w:jc w:val="center"/>
            </w:pPr>
            <w:r>
              <w:t xml:space="preserve">0.6771</w:t>
            </w:r>
          </w:p>
        </w:tc>
        <w:tc>
          <w:tcPr/>
          <w:p>
            <w:pPr>
              <w:pStyle w:val="TableText"/>
              <w:jc w:val="left"/>
            </w:pPr>
            <w:r>
              <w:t xml:space="preserve">mIoU 0.8177 / 0.8306</w:t>
            </w:r>
          </w:p>
        </w:tc>
      </w:tr>
      <w:tr>
        <w:tc>
          <w:tcPr/>
          <w:p>
            <w:pPr>
              <w:pStyle w:val="TableText"/>
              <w:jc w:val="left"/>
            </w:pPr>
            <w:r>
              <w:rPr>
                <w:b/>
                <w:bCs/>
              </w:rPr>
              <w:t xml:space="preserve">Ours: R1</w:t>
            </w:r>
            <w:r>
              <w:t xml:space="preserve"> </w:t>
            </w:r>
            <w:r>
              <w:t xml:space="preserve">(DWT, draft paper)</w:t>
            </w:r>
          </w:p>
        </w:tc>
        <w:tc>
          <w:tcPr/>
          <w:p>
            <w:pPr>
              <w:pStyle w:val="TableText"/>
              <w:jc w:val="left"/>
            </w:pPr>
            <w:r>
              <w:t xml:space="preserve">as above</w:t>
            </w:r>
          </w:p>
        </w:tc>
        <w:tc>
          <w:tcPr/>
          <w:p>
            <w:pPr>
              <w:pStyle w:val="TableText"/>
              <w:jc w:val="center"/>
            </w:pPr>
            <w:r>
              <w:t xml:space="preserve">0.6554</w:t>
            </w:r>
          </w:p>
        </w:tc>
        <w:tc>
          <w:tcPr/>
          <w:p>
            <w:pPr>
              <w:pStyle w:val="TableText"/>
              <w:jc w:val="center"/>
            </w:pPr>
            <w:r>
              <w:t xml:space="preserve">0.6785</w:t>
            </w:r>
          </w:p>
        </w:tc>
        <w:tc>
          <w:tcPr/>
          <w:p>
            <w:pPr>
              <w:pStyle w:val="TableText"/>
              <w:jc w:val="left"/>
            </w:pPr>
            <w:r>
              <w:t xml:space="preserve">mIoU 0.8176 / 0.8314</w:t>
            </w:r>
          </w:p>
        </w:tc>
      </w:tr>
      <w:tr>
        <w:tc>
          <w:tcPr/>
          <w:p>
            <w:pPr>
              <w:pStyle w:val="TableText"/>
              <w:jc w:val="left"/>
            </w:pPr>
            <w:r>
              <w:rPr>
                <w:b/>
                <w:bCs/>
              </w:rPr>
              <w:t xml:space="preserve">Ours: GA</w:t>
            </w:r>
            <w:r>
              <w:t xml:space="preserve"> </w:t>
            </w:r>
            <w:r>
              <w:t xml:space="preserve">(centre + width)</w:t>
            </w:r>
          </w:p>
        </w:tc>
        <w:tc>
          <w:tcPr/>
          <w:p>
            <w:pPr>
              <w:pStyle w:val="TableText"/>
              <w:jc w:val="left"/>
            </w:pPr>
            <w:r>
              <w:t xml:space="preserve">as above</w:t>
            </w:r>
          </w:p>
        </w:tc>
        <w:tc>
          <w:tcPr/>
          <w:p>
            <w:pPr>
              <w:pStyle w:val="TableText"/>
              <w:jc w:val="center"/>
            </w:pPr>
            <w:r>
              <w:t xml:space="preserve">0.6588</w:t>
            </w:r>
          </w:p>
        </w:tc>
        <w:tc>
          <w:tcPr/>
          <w:p>
            <w:pPr>
              <w:pStyle w:val="TableText"/>
              <w:jc w:val="center"/>
            </w:pPr>
            <w:r>
              <w:rPr>
                <w:b/>
                <w:bCs/>
              </w:rPr>
              <w:t xml:space="preserve">0.6858</w:t>
            </w:r>
          </w:p>
        </w:tc>
        <w:tc>
          <w:tcPr/>
          <w:p>
            <w:pPr>
              <w:pStyle w:val="TableText"/>
              <w:jc w:val="left"/>
            </w:pPr>
            <w:r>
              <w:t xml:space="preserve">mIoU 0.8194 /</w:t>
            </w:r>
            <w:r>
              <w:t xml:space="preserve"> </w:t>
            </w:r>
            <w:r>
              <w:rPr>
                <w:b/>
                <w:bCs/>
              </w:rPr>
              <w:t xml:space="preserve">0.8352</w:t>
            </w:r>
            <w:r>
              <w:t xml:space="preserve">; accuracy 0.9809 /</w:t>
            </w:r>
            <w:r>
              <w:t xml:space="preserve"> </w:t>
            </w:r>
            <w:r>
              <w:rPr>
                <w:b/>
                <w:bCs/>
              </w:rPr>
              <w:t xml:space="preserve">0.9851</w:t>
            </w:r>
            <w:r>
              <w:t xml:space="preserve">; F1 0.7943 / 0.8136</w:t>
            </w:r>
          </w:p>
        </w:tc>
      </w:tr>
      <w:tr>
        <w:tc>
          <w:tcPr/>
          <w:p>
            <w:pPr>
              <w:pStyle w:val="TableText"/>
              <w:jc w:val="left"/>
            </w:pPr>
            <w:r>
              <w:rPr>
                <w:b/>
                <w:bCs/>
              </w:rPr>
              <w:t xml:space="preserve">Ours: U-Net</w:t>
            </w:r>
            <w:r>
              <w:t xml:space="preserve"> </w:t>
            </w:r>
            <w:r>
              <w:t xml:space="preserve">(from scratch)</w:t>
            </w:r>
          </w:p>
        </w:tc>
        <w:tc>
          <w:tcPr/>
          <w:p>
            <w:pPr>
              <w:pStyle w:val="TableText"/>
              <w:jc w:val="left"/>
            </w:pPr>
            <w:r>
              <w:t xml:space="preserve">as above</w:t>
            </w:r>
          </w:p>
        </w:tc>
        <w:tc>
          <w:tcPr/>
          <w:p>
            <w:pPr>
              <w:pStyle w:val="TableText"/>
              <w:jc w:val="center"/>
            </w:pPr>
            <w:r>
              <w:rPr>
                <w:b/>
                <w:bCs/>
              </w:rPr>
              <w:t xml:space="preserve">0.6632</w:t>
            </w:r>
          </w:p>
        </w:tc>
        <w:tc>
          <w:tcPr/>
          <w:p>
            <w:pPr>
              <w:pStyle w:val="TableText"/>
              <w:jc w:val="center"/>
            </w:pPr>
            <w:r>
              <w:t xml:space="preserve">0.6461</w:t>
            </w:r>
          </w:p>
        </w:tc>
        <w:tc>
          <w:tcPr/>
          <w:p>
            <w:pPr>
              <w:pStyle w:val="TableText"/>
              <w:jc w:val="left"/>
            </w:pPr>
            <w:r>
              <w:t xml:space="preserve">mIoU 0.8217 / 0.8141</w:t>
            </w:r>
          </w:p>
        </w:tc>
      </w:tr>
    </w:tbl>
    <w:bookmarkStart w:id="119" w:name="where-our-results-are-better"/>
    <w:p>
      <w:pPr>
        <w:pStyle w:val="Heading2"/>
      </w:pPr>
      <w:r>
        <w:rPr>
          <w:rStyle w:val="SectionNumber"/>
        </w:rPr>
        <w:t xml:space="preserve">11.1</w:t>
      </w:r>
      <w:r>
        <w:tab/>
      </w:r>
      <w:r>
        <w:t xml:space="preserve">Where our results are better</w:t>
      </w:r>
    </w:p>
    <w:p>
      <w:pPr>
        <w:pStyle w:val="FirstParagraph"/>
      </w:pPr>
      <w:r>
        <w:rPr>
          <w:b/>
          <w:bCs/>
        </w:rPr>
        <w:t xml:space="preserve">DeepGlobe road IoU.</w:t>
      </w:r>
      <w:r>
        <w:t xml:space="preserve"> </w:t>
      </w:r>
      <w:r>
        <w:t xml:space="preserve">GA (0.6858) is higher than:</w:t>
      </w:r>
    </w:p>
    <w:p>
      <w:pPr>
        <w:pStyle w:val="Compact"/>
        <w:numPr>
          <w:ilvl w:val="0"/>
          <w:numId w:val="1025"/>
        </w:numPr>
      </w:pPr>
      <w:r>
        <w:t xml:space="preserve">the 2018 challenge winner D-LinkNet (0.6466 validation / 0.6342 test) and NL-LinkNet (0.650);</w:t>
      </w:r>
    </w:p>
    <w:p>
      <w:pPr>
        <w:pStyle w:val="Compact"/>
        <w:numPr>
          <w:ilvl w:val="0"/>
          <w:numId w:val="1025"/>
        </w:numPr>
      </w:pPr>
      <w:r>
        <w:t xml:space="preserve">RoadCNN (0.6761) and Batra et al. (0.6721);</w:t>
      </w:r>
    </w:p>
    <w:p>
      <w:pPr>
        <w:pStyle w:val="Compact"/>
        <w:numPr>
          <w:ilvl w:val="0"/>
          <w:numId w:val="1025"/>
        </w:numPr>
      </w:pPr>
      <w:r>
        <w:t xml:space="preserve">Seg-Road (0.6720), SegFormer (0.6742) and URoadNet (0.6777).</w:t>
      </w:r>
    </w:p>
    <w:p>
      <w:pPr>
        <w:pStyle w:val="FirstParagraph"/>
      </w:pPr>
      <w:r>
        <w:t xml:space="preserve">It matches DSFC-Net (0.6868; difference −0.0010). Even our plain R0 control (0.6771) is on a par with the strongest of these.</w:t>
      </w:r>
    </w:p>
    <w:p>
      <w:pPr>
        <w:pStyle w:val="BodyText"/>
      </w:pPr>
      <w:r>
        <w:rPr>
          <w:b/>
          <w:bCs/>
        </w:rPr>
        <w:t xml:space="preserve">Other DeepGlobe metrics.</w:t>
      </w:r>
      <w:r>
        <w:t xml:space="preserve"> </w:t>
      </w:r>
      <w:r>
        <w:t xml:space="preserve">GA’s mIoU (0.8352) is above Seg-Road’s (0.8206), and its accuracy (0.9851) is above URoadNet’s (0.9753).</w:t>
      </w:r>
    </w:p>
    <w:p>
      <w:pPr>
        <w:pStyle w:val="BodyText"/>
      </w:pPr>
      <w:r>
        <w:rPr>
          <w:b/>
          <w:bCs/>
        </w:rPr>
        <w:t xml:space="preserve">Massachusetts re-run baselines.</w:t>
      </w:r>
      <w:r>
        <w:t xml:space="preserve"> </w:t>
      </w:r>
      <w:r>
        <w:t xml:space="preserve">Every model we trained (IoU 0.6515–0.6632) beats the baselines the recent papers re-ran: D-LinkNet 0.6145 and CoANet 0.6167 in [24], SegFormer 0.6009 in [25], and U-Net 0.6456 and D-LinkNet 0.6443 in [26]. Our accuracy (≈ 0.980) is also above URoadNet’s (0.9706).</w:t>
      </w:r>
    </w:p>
    <w:bookmarkEnd w:id="119"/>
    <w:bookmarkStart w:id="120" w:name="where-our-results-are-not-better"/>
    <w:p>
      <w:pPr>
        <w:pStyle w:val="Heading2"/>
      </w:pPr>
      <w:r>
        <w:rPr>
          <w:rStyle w:val="SectionNumber"/>
        </w:rPr>
        <w:t xml:space="preserve">11.2</w:t>
      </w:r>
      <w:r>
        <w:tab/>
      </w:r>
      <w:r>
        <w:t xml:space="preserve">Where our results are not better</w:t>
      </w:r>
    </w:p>
    <w:p>
      <w:pPr>
        <w:pStyle w:val="FirstParagraph"/>
      </w:pPr>
      <w:r>
        <w:t xml:space="preserve">On Massachusetts, the best published methods remain ahead in road IoU (Seg-Road 0.6838, URoadNet 0.6761, DSFC-Net 0.6750) against our best of 0.6632 (U-Net) and 0.6588 (GA). Seg-Road’s mIoU (0.8389) is also higher than ours. The draft paper’s DWT model (R1) is not better than its own control on either dataset.</w:t>
      </w:r>
    </w:p>
    <w:bookmarkEnd w:id="120"/>
    <w:bookmarkStart w:id="121" w:name="Xfd9aff143fc9df6d8b87277ca75d7cac356c98b"/>
    <w:p>
      <w:pPr>
        <w:pStyle w:val="Heading2"/>
      </w:pPr>
      <w:r>
        <w:rPr>
          <w:rStyle w:val="SectionNumber"/>
        </w:rPr>
        <w:t xml:space="preserve">11.3</w:t>
      </w:r>
      <w:r>
        <w:tab/>
      </w:r>
      <w:r>
        <w:t xml:space="preserve">Why these cross-paper numbers are only indicative</w:t>
      </w:r>
    </w:p>
    <w:p>
      <w:pPr>
        <w:pStyle w:val="Compact"/>
        <w:numPr>
          <w:ilvl w:val="0"/>
          <w:numId w:val="1026"/>
        </w:numPr>
      </w:pPr>
      <w:r>
        <w:rPr>
          <w:b/>
          <w:bCs/>
        </w:rPr>
        <w:t xml:space="preserve">Different test sets.</w:t>
      </w:r>
      <w:r>
        <w:t xml:space="preserve"> </w:t>
      </w:r>
      <w:r>
        <w:t xml:space="preserve">DeepGlobe’s official test labels were never released, so every paper evaluates on its own split.</w:t>
      </w:r>
    </w:p>
    <w:p>
      <w:pPr>
        <w:pStyle w:val="Compact"/>
        <w:numPr>
          <w:ilvl w:val="0"/>
          <w:numId w:val="1026"/>
        </w:numPr>
      </w:pPr>
      <w:r>
        <w:rPr>
          <w:b/>
          <w:bCs/>
        </w:rPr>
        <w:t xml:space="preserve">Different protocols.</w:t>
      </w:r>
      <w:r>
        <w:t xml:space="preserve"> </w:t>
      </w:r>
      <w:r>
        <w:t xml:space="preserve">Papers differ in crop size, resizing (URoadNet resizes to 512²; we never resize), crop-level versus stitched full-image scoring, and whether</w:t>
      </w:r>
      <w:r>
        <w:t xml:space="preserve"> </w:t>
      </w:r>
      <w:r>
        <w:t xml:space="preserve">“IoU”</w:t>
      </w:r>
      <w:r>
        <w:t xml:space="preserve"> </w:t>
      </w:r>
      <w:r>
        <w:t xml:space="preserve">means road IoU or the mean with background.</w:t>
      </w:r>
    </w:p>
    <w:p>
      <w:pPr>
        <w:pStyle w:val="Compact"/>
        <w:numPr>
          <w:ilvl w:val="0"/>
          <w:numId w:val="1026"/>
        </w:numPr>
      </w:pPr>
      <w:r>
        <w:rPr>
          <w:b/>
          <w:bCs/>
        </w:rPr>
        <w:t xml:space="preserve">Protocol alone moves numbers by several points.</w:t>
      </w:r>
      <w:r>
        <w:t xml:space="preserve"> </w:t>
      </w:r>
      <w:r>
        <w:t xml:space="preserve">The same architecture, D-LinkNet, is reported at 0.6466 by its authors, 0.6599 by [26] and 0.5762 by [24]; our reproduction gives 0.6655.</w:t>
      </w:r>
    </w:p>
    <w:p>
      <w:pPr>
        <w:pStyle w:val="Compact"/>
        <w:numPr>
          <w:ilvl w:val="0"/>
          <w:numId w:val="1026"/>
        </w:numPr>
      </w:pPr>
      <w:r>
        <w:rPr>
          <w:b/>
          <w:bCs/>
        </w:rPr>
        <w:t xml:space="preserve">Our Massachusetts scores exclude no-data pixels</w:t>
      </w:r>
      <w:r>
        <w:t xml:space="preserve">, which published numbers include.</w:t>
      </w:r>
    </w:p>
    <w:p>
      <w:pPr>
        <w:pStyle w:val="Compact"/>
        <w:numPr>
          <w:ilvl w:val="0"/>
          <w:numId w:val="1026"/>
        </w:numPr>
      </w:pPr>
      <w:r>
        <w:rPr>
          <w:b/>
          <w:bCs/>
        </w:rPr>
        <w:t xml:space="preserve">Accuracy is dominated by the background</w:t>
      </w:r>
      <w:r>
        <w:t xml:space="preserve">, and depends on each split’s road fraction.</w:t>
      </w:r>
    </w:p>
    <w:p>
      <w:pPr>
        <w:pStyle w:val="Compact"/>
        <w:numPr>
          <w:ilvl w:val="0"/>
          <w:numId w:val="1026"/>
        </w:numPr>
      </w:pPr>
      <w:r>
        <w:rPr>
          <w:b/>
          <w:bCs/>
        </w:rPr>
        <w:t xml:space="preserve">Some published F1 values are computed differently.</w:t>
      </w:r>
      <w:r>
        <w:t xml:space="preserve"> </w:t>
      </w:r>
      <w:r>
        <w:t xml:space="preserve">For one class, IoU = F1 / (2 − F1). Seg-Road’s printed F1 (0.9143 with IoU 0.6720) does not satisfy this identity, so we do not compare against it.</w:t>
      </w:r>
    </w:p>
    <w:p>
      <w:pPr>
        <w:pStyle w:val="FirstParagraph"/>
      </w:pPr>
      <w:r>
        <w:t xml:space="preserve">The strongest evidence in this document is therefore the set of</w:t>
      </w:r>
      <w:r>
        <w:t xml:space="preserve"> </w:t>
      </w:r>
      <w:r>
        <w:rPr>
          <w:i/>
          <w:iCs/>
        </w:rPr>
        <w:t xml:space="preserve">controlled</w:t>
      </w:r>
      <w:r>
        <w:t xml:space="preserve"> </w:t>
      </w:r>
      <w:r>
        <w:t xml:space="preserve">comparisons of Section 10: same split, recipe and seeds, and pre-specified intervals.</w:t>
      </w:r>
    </w:p>
    <w:bookmarkEnd w:id="121"/>
    <w:bookmarkEnd w:id="122"/>
    <w:bookmarkStart w:id="123" w:name="discussion"/>
    <w:p>
      <w:pPr>
        <w:pStyle w:val="Heading1"/>
      </w:pPr>
      <w:r>
        <w:rPr>
          <w:rStyle w:val="SectionNumber"/>
        </w:rPr>
        <w:t xml:space="preserve">12</w:t>
      </w:r>
      <w:r>
        <w:tab/>
      </w:r>
      <w:r>
        <w:t xml:space="preserve">Discussion</w:t>
      </w:r>
    </w:p>
    <w:p>
      <w:pPr>
        <w:pStyle w:val="FirstParagraph"/>
      </w:pPr>
      <w:r>
        <w:rPr>
          <w:b/>
          <w:bCs/>
        </w:rPr>
        <w:t xml:space="preserve">A DWT front end is a re-parameterisation, not new information.</w:t>
      </w:r>
      <w:r>
        <w:t xml:space="preserve"> </w:t>
      </w:r>
      <w:r>
        <w:t xml:space="preserve">The Proposition of Section 6.2 shows that a stride-1 convolution over Haar sub-bands is a strided convolution with a larger footprint. Starting R1 exactly at R0 isolates the effect of this re-parameterisation, which turns out to be undetectable. Reported gains from DWT inputs may instead stem from changes that accompany them: the loss of pretrained features under a non-equivalent adaptation, extra parameters, or a different recipe. Our design removes each of these.</w:t>
      </w:r>
    </w:p>
    <w:p>
      <w:pPr>
        <w:pStyle w:val="BodyText"/>
      </w:pPr>
      <w:r>
        <w:rPr>
          <w:b/>
          <w:bCs/>
        </w:rPr>
        <w:t xml:space="preserve">Anti-aliasing is the more plausible wavelet benefit.</w:t>
      </w:r>
      <w:r>
        <w:t xml:space="preserve"> </w:t>
      </w:r>
      <w:r>
        <w:t xml:space="preserve">R2 replaces aliasing strided operations by learned, initially averaging filters, i.e. anti-aliased down-sampling [10, 11]. It was ahead of R0 on DeepGlobe on every metric but inconclusive at three seeds, and showed nothing on Massachusetts. Shift and corruption robustness would be the natural place to test it next, with the hypothesis specified before the runs.</w:t>
      </w:r>
    </w:p>
    <w:p>
      <w:pPr>
        <w:pStyle w:val="BodyText"/>
      </w:pPr>
      <w:r>
        <w:rPr>
          <w:b/>
          <w:bCs/>
        </w:rPr>
        <w:t xml:space="preserve">Geometric supervision helps on one dataset of three.</w:t>
      </w:r>
      <w:r>
        <w:t xml:space="preserve"> </w:t>
      </w:r>
      <w:r>
        <w:t xml:space="preserve">On DeepGlobe, GA’s gain is confirmed, survives a comparison with a published alternative target (DDT), needs both of its terms, and acts by suppressing false positives. Massachusetts and Ottawa show no detected effect with five seeds each. Three explanations are possible and cannot be separated with the present data:</w:t>
      </w:r>
    </w:p>
    <w:p>
      <w:pPr>
        <w:pStyle w:val="Compact"/>
        <w:numPr>
          <w:ilvl w:val="0"/>
          <w:numId w:val="1027"/>
        </w:numPr>
      </w:pPr>
      <w:r>
        <w:t xml:space="preserve">DeepGlobe’s large, varied training set (4358 tiles) gives the auxiliary task more to learn from than Massachusetts’ constant-width labels or Ottawa’s 12 scenes;</w:t>
      </w:r>
    </w:p>
    <w:p>
      <w:pPr>
        <w:pStyle w:val="Compact"/>
        <w:numPr>
          <w:ilvl w:val="0"/>
          <w:numId w:val="1027"/>
        </w:numPr>
      </w:pPr>
      <w:r>
        <w:t xml:space="preserve">the effect is smaller than the intervals on the other two datasets can resolve (Ottawa has only 6 test scenes);</w:t>
      </w:r>
    </w:p>
    <w:p>
      <w:pPr>
        <w:pStyle w:val="Compact"/>
        <w:numPr>
          <w:ilvl w:val="0"/>
          <w:numId w:val="1027"/>
        </w:numPr>
      </w:pPr>
      <w:r>
        <w:t xml:space="preserve">the DeepGlobe result is a chance finding despite the confirmatory design.</w:t>
      </w:r>
    </w:p>
    <w:p>
      <w:pPr>
        <w:pStyle w:val="FirstParagraph"/>
      </w:pPr>
      <w:r>
        <w:t xml:space="preserve">A paper built on GA must report it as a</w:t>
      </w:r>
      <w:r>
        <w:t xml:space="preserve"> </w:t>
      </w:r>
      <w:r>
        <w:rPr>
          <w:i/>
          <w:iCs/>
        </w:rPr>
        <w:t xml:space="preserve">dataset-specific</w:t>
      </w:r>
      <w:r>
        <w:t xml:space="preserve"> </w:t>
      </w:r>
      <w:r>
        <w:t xml:space="preserve">gain.</w:t>
      </w:r>
    </w:p>
    <w:p>
      <w:pPr>
        <w:pStyle w:val="BodyText"/>
      </w:pPr>
      <w:r>
        <w:rPr>
          <w:b/>
          <w:bCs/>
        </w:rPr>
        <w:t xml:space="preserve">Using geometry at inference did not add anything.</w:t>
      </w:r>
      <w:r>
        <w:t xml:space="preserve"> </w:t>
      </w:r>
      <w:r>
        <w:t xml:space="preserve">Both ways of using the geometry at test time, drawing the mask (GB) and feeding it back into the decoder (GFa), were no better than using it only as supervision (GA). This suggests the benefit, where present, comes from the training signal shaping the features.</w:t>
      </w:r>
    </w:p>
    <w:bookmarkEnd w:id="123"/>
    <w:bookmarkStart w:id="124" w:name="limitations"/>
    <w:p>
      <w:pPr>
        <w:pStyle w:val="Heading1"/>
      </w:pPr>
      <w:r>
        <w:rPr>
          <w:rStyle w:val="SectionNumber"/>
        </w:rPr>
        <w:t xml:space="preserve">13</w:t>
      </w:r>
      <w:r>
        <w:tab/>
      </w:r>
      <w:r>
        <w:t xml:space="preserve">Limitations</w:t>
      </w:r>
    </w:p>
    <w:p>
      <w:pPr>
        <w:pStyle w:val="Compact"/>
        <w:numPr>
          <w:ilvl w:val="0"/>
          <w:numId w:val="1028"/>
        </w:numPr>
      </w:pPr>
      <w:r>
        <w:rPr>
          <w:b/>
          <w:bCs/>
        </w:rPr>
        <w:t xml:space="preserve">Seeds.</w:t>
      </w:r>
      <w:r>
        <w:t xml:space="preserve"> </w:t>
      </w:r>
      <w:r>
        <w:t xml:space="preserve">Three seeds per model for most comparisons (five for the Massachusetts and Ottawa follow-ups). The bootstrap interval can be anti-conservative when seed variance dominates.</w:t>
      </w:r>
    </w:p>
    <w:p>
      <w:pPr>
        <w:pStyle w:val="Compact"/>
        <w:numPr>
          <w:ilvl w:val="0"/>
          <w:numId w:val="1028"/>
        </w:numPr>
      </w:pPr>
      <w:r>
        <w:rPr>
          <w:b/>
          <w:bCs/>
        </w:rPr>
        <w:t xml:space="preserve">Small test sets.</w:t>
      </w:r>
      <w:r>
        <w:t xml:space="preserve"> </w:t>
      </w:r>
      <w:r>
        <w:t xml:space="preserve">Ottawa has only 6 test scenes, and Massachusetts has 49 test and 14 validation images.</w:t>
      </w:r>
    </w:p>
    <w:p>
      <w:pPr>
        <w:pStyle w:val="Compact"/>
        <w:numPr>
          <w:ilvl w:val="0"/>
          <w:numId w:val="1028"/>
        </w:numPr>
      </w:pPr>
      <w:r>
        <w:rPr>
          <w:b/>
          <w:bCs/>
        </w:rPr>
        <w:t xml:space="preserve">Confounded wavelet rungs.</w:t>
      </w:r>
      <w:r>
        <w:t xml:space="preserve"> </w:t>
      </w:r>
      <w:r>
        <w:t xml:space="preserve">R2 and R3 change the encoder and decoder operators together.</w:t>
      </w:r>
    </w:p>
    <w:p>
      <w:pPr>
        <w:pStyle w:val="Compact"/>
        <w:numPr>
          <w:ilvl w:val="0"/>
          <w:numId w:val="1028"/>
        </w:numPr>
      </w:pPr>
      <w:r>
        <w:rPr>
          <w:b/>
          <w:bCs/>
        </w:rPr>
        <w:t xml:space="preserve">No tuning.</w:t>
      </w:r>
      <w:r>
        <w:t xml:space="preserve"> </w:t>
      </w:r>
      <w:r>
        <w:t xml:space="preserve">One untuned recipe for every model. The loss weights of the geometric targets (1, 1) and the radius bins were not tuned. Weight decay applies to all parameters, including BatchNorm.</w:t>
      </w:r>
    </w:p>
    <w:p>
      <w:pPr>
        <w:pStyle w:val="Compact"/>
        <w:numPr>
          <w:ilvl w:val="0"/>
          <w:numId w:val="1028"/>
        </w:numPr>
      </w:pPr>
      <w:r>
        <w:rPr>
          <w:b/>
          <w:bCs/>
        </w:rPr>
        <w:t xml:space="preserve">Target design and history.</w:t>
      </w:r>
      <w:r>
        <w:t xml:space="preserve"> </w:t>
      </w:r>
      <w:r>
        <w:t xml:space="preserve">The target design changed twice after inspecting</w:t>
      </w:r>
      <w:r>
        <w:t xml:space="preserve"> </w:t>
      </w:r>
      <w:r>
        <w:rPr>
          <w:i/>
          <w:iCs/>
        </w:rPr>
        <w:t xml:space="preserve">training</w:t>
      </w:r>
      <w:r>
        <w:t xml:space="preserve"> </w:t>
      </w:r>
      <w:r>
        <w:t xml:space="preserve">masks (never validation or test). GA − R0 on DeepGlobe was registered as confirmatory after the Massachusetts GA results had been seen, but before the DeepGlobe results were read.</w:t>
      </w:r>
    </w:p>
    <w:p>
      <w:pPr>
        <w:pStyle w:val="Compact"/>
        <w:numPr>
          <w:ilvl w:val="0"/>
          <w:numId w:val="1028"/>
        </w:numPr>
      </w:pPr>
      <w:r>
        <w:rPr>
          <w:b/>
          <w:bCs/>
        </w:rPr>
        <w:t xml:space="preserve">Dataset provenance.</w:t>
      </w:r>
      <w:r>
        <w:t xml:space="preserve"> </w:t>
      </w:r>
      <w:r>
        <w:t xml:space="preserve">The DeepGlobe split is our own random split by image (adjacent tiles may fall into different splits), from a mirror whose pixel identity with the original was not verified. Ottawa was down-sampled 2×, and one test scene keeps 1.45% black border pixels (the same pixels for every model).</w:t>
      </w:r>
    </w:p>
    <w:p>
      <w:pPr>
        <w:pStyle w:val="Compact"/>
        <w:numPr>
          <w:ilvl w:val="0"/>
          <w:numId w:val="1028"/>
        </w:numPr>
      </w:pPr>
      <w:r>
        <w:rPr>
          <w:b/>
          <w:bCs/>
        </w:rPr>
        <w:t xml:space="preserve">Reproducibility.</w:t>
      </w:r>
      <w:r>
        <w:t xml:space="preserve"> </w:t>
      </w:r>
      <w:r>
        <w:t xml:space="preserve">bfloat16 and non-deterministic GPU kernels make reruns statistically, not bitwise, reproducible.</w:t>
      </w:r>
    </w:p>
    <w:bookmarkEnd w:id="124"/>
    <w:bookmarkStart w:id="125" w:name="conclusion"/>
    <w:p>
      <w:pPr>
        <w:pStyle w:val="Heading1"/>
      </w:pPr>
      <w:r>
        <w:rPr>
          <w:rStyle w:val="SectionNumber"/>
        </w:rPr>
        <w:t xml:space="preserve">14</w:t>
      </w:r>
      <w:r>
        <w:tab/>
      </w:r>
      <w:r>
        <w:t xml:space="preserve">Conclusion</w:t>
      </w:r>
    </w:p>
    <w:p>
      <w:pPr>
        <w:pStyle w:val="FirstParagraph"/>
      </w:pPr>
      <w:r>
        <w:t xml:space="preserve">Under controlled, pre-registered conditions:</w:t>
      </w:r>
    </w:p>
    <w:p>
      <w:pPr>
        <w:pStyle w:val="Compact"/>
        <w:numPr>
          <w:ilvl w:val="0"/>
          <w:numId w:val="1029"/>
        </w:numPr>
      </w:pPr>
      <w:r>
        <w:t xml:space="preserve">A Haar DWT front end on a pretrained ResNeXt-50 U-Net, the draft paper’s proposal, makes no detectable difference to road segmentation. The exact initialisation given here shows why: the DWT re-parameterises the first convolution without adding information.</w:t>
      </w:r>
    </w:p>
    <w:p>
      <w:pPr>
        <w:pStyle w:val="Compact"/>
        <w:numPr>
          <w:ilvl w:val="0"/>
          <w:numId w:val="1029"/>
        </w:numPr>
      </w:pPr>
      <w:r>
        <w:t xml:space="preserve">Supervising the road’s centre-line and width with a lossless disc-cover encoding gives a confirmed improvement on DeepGlobe, to a road IoU of 0.6858. That is above most published results and level with the best one we compared against, and it beats a published alternative target.</w:t>
      </w:r>
    </w:p>
    <w:p>
      <w:pPr>
        <w:pStyle w:val="Compact"/>
        <w:numPr>
          <w:ilvl w:val="0"/>
          <w:numId w:val="1029"/>
        </w:numPr>
      </w:pPr>
      <w:r>
        <w:t xml:space="preserve">The geometric-supervision gain did not replicate on Massachusetts Roads or Ottawa.</w:t>
      </w:r>
    </w:p>
    <w:p>
      <w:pPr>
        <w:pStyle w:val="FirstParagraph"/>
      </w:pPr>
      <w:r>
        <w:t xml:space="preserve">The most defensible paper from this work reports both: the DWT result as an informative negative with its explanation, and geometric supervision as a dataset-dependent gain.</w:t>
      </w:r>
    </w:p>
    <w:bookmarkEnd w:id="125"/>
    <w:bookmarkStart w:id="127" w:name="reproducibility-and-code"/>
    <w:p>
      <w:pPr>
        <w:pStyle w:val="Heading1"/>
      </w:pPr>
      <w:r>
        <w:rPr>
          <w:rStyle w:val="SectionNumber"/>
        </w:rPr>
        <w:t xml:space="preserve">15</w:t>
      </w:r>
      <w:r>
        <w:tab/>
      </w:r>
      <w:r>
        <w:t xml:space="preserve">Reproducibility and code</w:t>
      </w:r>
    </w:p>
    <w:p>
      <w:pPr>
        <w:pStyle w:val="Compact"/>
        <w:numPr>
          <w:ilvl w:val="0"/>
          <w:numId w:val="1030"/>
        </w:numPr>
      </w:pPr>
      <w:r>
        <w:rPr>
          <w:b/>
          <w:bCs/>
        </w:rPr>
        <w:t xml:space="preserve">Code and documents:</w:t>
      </w:r>
      <w:r>
        <w:t xml:space="preserve"> </w:t>
      </w:r>
      <w:r>
        <w:t xml:space="preserve">private repository</w:t>
      </w:r>
      <w:r>
        <w:t xml:space="preserve"> </w:t>
      </w:r>
      <w:hyperlink r:id="rId126">
        <w:r>
          <w:rPr>
            <w:rStyle w:val="Hyperlink"/>
          </w:rPr>
          <w:t xml:space="preserve">https://github.com/HarshithKoriRaj/roadseg</w:t>
        </w:r>
      </w:hyperlink>
      <w:r>
        <w:t xml:space="preserve">.</w:t>
      </w:r>
    </w:p>
    <w:p>
      <w:pPr>
        <w:pStyle w:val="Compact"/>
        <w:numPr>
          <w:ilvl w:val="0"/>
          <w:numId w:val="1030"/>
        </w:numPr>
      </w:pPr>
      <w:r>
        <w:rPr>
          <w:b/>
          <w:bCs/>
        </w:rPr>
        <w:t xml:space="preserve">Run records:</w:t>
      </w:r>
      <w:r>
        <w:t xml:space="preserve"> </w:t>
      </w:r>
      <w:r>
        <w:t xml:space="preserve">every run directory records the resolved configuration, seed, code commit, library versions, pretrained-weight hashes, the DeepGlobe split fingerprint, the training history, the selected threshold and per-image test scores.</w:t>
      </w:r>
    </w:p>
    <w:p>
      <w:pPr>
        <w:pStyle w:val="Compact"/>
        <w:numPr>
          <w:ilvl w:val="0"/>
          <w:numId w:val="1030"/>
        </w:numPr>
      </w:pPr>
      <w:r>
        <w:rPr>
          <w:b/>
          <w:bCs/>
        </w:rPr>
        <w:t xml:space="preserve">Launches:</w:t>
      </w:r>
      <w:r>
        <w:t xml:space="preserve"> </w:t>
      </w:r>
      <w:r>
        <w:t xml:space="preserve">all campaigns were launched from frozen code snapshots after a CPU end-to-end rehearsal and a test suite of more than 500 tests.</w:t>
      </w:r>
    </w:p>
    <w:p>
      <w:pPr>
        <w:pStyle w:val="Compact"/>
        <w:numPr>
          <w:ilvl w:val="0"/>
          <w:numId w:val="1030"/>
        </w:numPr>
      </w:pPr>
      <w:r>
        <w:rPr>
          <w:b/>
          <w:bCs/>
        </w:rPr>
        <w:t xml:space="preserve">Key source files:</w:t>
      </w:r>
    </w:p>
    <w:p>
      <w:pPr>
        <w:pStyle w:val="Compact"/>
        <w:numPr>
          <w:ilvl w:val="1"/>
          <w:numId w:val="1031"/>
        </w:numPr>
      </w:pPr>
      <w:r>
        <w:rPr>
          <w:rStyle w:val="VerbatimChar"/>
        </w:rPr>
        <w:t xml:space="preserve">models/wavelet.py</w:t>
      </w:r>
      <w:r>
        <w:t xml:space="preserve"> </w:t>
      </w:r>
      <w:r>
        <w:t xml:space="preserve">— DWT, IDWT, WaveletPool, WaveletUnpool;</w:t>
      </w:r>
    </w:p>
    <w:p>
      <w:pPr>
        <w:pStyle w:val="Compact"/>
        <w:numPr>
          <w:ilvl w:val="1"/>
          <w:numId w:val="1031"/>
        </w:numPr>
      </w:pPr>
      <w:r>
        <w:rPr>
          <w:rStyle w:val="VerbatimChar"/>
        </w:rPr>
        <w:t xml:space="preserve">models/encoder.py</w:t>
      </w:r>
      <w:r>
        <w:t xml:space="preserve"> </w:t>
      </w:r>
      <w:r>
        <w:t xml:space="preserve">— the stems and the exact initialisation;</w:t>
      </w:r>
    </w:p>
    <w:p>
      <w:pPr>
        <w:pStyle w:val="Compact"/>
        <w:numPr>
          <w:ilvl w:val="1"/>
          <w:numId w:val="1031"/>
        </w:numPr>
      </w:pPr>
      <w:r>
        <w:rPr>
          <w:rStyle w:val="VerbatimChar"/>
        </w:rPr>
        <w:t xml:space="preserve">data/geometry.py</w:t>
      </w:r>
      <w:r>
        <w:t xml:space="preserve"> </w:t>
      </w:r>
      <w:r>
        <w:t xml:space="preserve">— geometric targets;</w:t>
      </w:r>
    </w:p>
    <w:p>
      <w:pPr>
        <w:pStyle w:val="Compact"/>
        <w:numPr>
          <w:ilvl w:val="1"/>
          <w:numId w:val="1031"/>
        </w:numPr>
      </w:pPr>
      <w:r>
        <w:rPr>
          <w:rStyle w:val="VerbatimChar"/>
        </w:rPr>
        <w:t xml:space="preserve">models/geo.py</w:t>
      </w:r>
      <w:r>
        <w:t xml:space="preserve"> </w:t>
      </w:r>
      <w:r>
        <w:t xml:space="preserve">— GA, GB and GF heads and Render;</w:t>
      </w:r>
    </w:p>
    <w:p>
      <w:pPr>
        <w:pStyle w:val="Compact"/>
        <w:numPr>
          <w:ilvl w:val="1"/>
          <w:numId w:val="1031"/>
        </w:numPr>
      </w:pPr>
      <w:r>
        <w:rPr>
          <w:rStyle w:val="VerbatimChar"/>
        </w:rPr>
        <w:t xml:space="preserve">stats.py</w:t>
      </w:r>
      <w:r>
        <w:t xml:space="preserve"> </w:t>
      </w:r>
      <w:r>
        <w:t xml:space="preserve">— the bootstrap,</w:t>
      </w:r>
      <w:r>
        <w:t xml:space="preserve"> </w:t>
      </w:r>
      <w:r>
        <w:rPr>
          <w:i/>
          <w:iCs/>
        </w:rPr>
        <w:t xml:space="preserve">t</w:t>
      </w:r>
      <w:r>
        <w:t xml:space="preserve"> </w:t>
      </w:r>
      <w:r>
        <w:t xml:space="preserve">interval and decision rule.</w:t>
      </w:r>
    </w:p>
    <w:p>
      <w:pPr>
        <w:pStyle w:val="Compact"/>
        <w:numPr>
          <w:ilvl w:val="0"/>
          <w:numId w:val="1030"/>
        </w:numPr>
      </w:pPr>
      <w:r>
        <w:rPr>
          <w:b/>
          <w:bCs/>
        </w:rPr>
        <w:t xml:space="preserve">Figures:</w:t>
      </w:r>
      <w:r>
        <w:t xml:space="preserve"> </w:t>
      </w:r>
      <w:r>
        <w:t xml:space="preserve">the figures in this document are generated from the saved data and outputs by</w:t>
      </w:r>
      <w:r>
        <w:t xml:space="preserve"> </w:t>
      </w:r>
      <w:r>
        <w:rPr>
          <w:rStyle w:val="VerbatimChar"/>
        </w:rPr>
        <w:t xml:space="preserve">docs/report/word/make_figures.py</w:t>
      </w:r>
      <w:r>
        <w:t xml:space="preserve">.</w:t>
      </w:r>
    </w:p>
    <w:bookmarkEnd w:id="127"/>
    <w:bookmarkStart w:id="128" w:name="glossary"/>
    <w:p>
      <w:pPr>
        <w:pStyle w:val="Heading1"/>
      </w:pPr>
      <w:r>
        <w:t xml:space="preserve">Glossary</w:t>
      </w:r>
    </w:p>
    <w:p>
      <w:pPr>
        <w:pStyle w:val="Compact"/>
        <w:numPr>
          <w:ilvl w:val="0"/>
          <w:numId w:val="1032"/>
        </w:numPr>
      </w:pPr>
      <w:r>
        <w:rPr>
          <w:b/>
          <w:bCs/>
        </w:rPr>
        <w:t xml:space="preserve">Ablation:</w:t>
      </w:r>
      <w:r>
        <w:t xml:space="preserve"> </w:t>
      </w:r>
      <w:r>
        <w:t xml:space="preserve">removing or changing one component to measure its effect.</w:t>
      </w:r>
    </w:p>
    <w:p>
      <w:pPr>
        <w:pStyle w:val="Compact"/>
        <w:numPr>
          <w:ilvl w:val="0"/>
          <w:numId w:val="1032"/>
        </w:numPr>
      </w:pPr>
      <w:r>
        <w:rPr>
          <w:b/>
          <w:bCs/>
        </w:rPr>
        <w:t xml:space="preserve">Augmentation:</w:t>
      </w:r>
      <w:r>
        <w:t xml:space="preserve"> </w:t>
      </w:r>
      <w:r>
        <w:t xml:space="preserve">random transformations of training images, used to increase their variety.</w:t>
      </w:r>
    </w:p>
    <w:p>
      <w:pPr>
        <w:pStyle w:val="Compact"/>
        <w:numPr>
          <w:ilvl w:val="0"/>
          <w:numId w:val="1032"/>
        </w:numPr>
      </w:pPr>
      <w:r>
        <w:rPr>
          <w:b/>
          <w:bCs/>
        </w:rPr>
        <w:t xml:space="preserve">Bootstrap:</w:t>
      </w:r>
      <w:r>
        <w:t xml:space="preserve"> </w:t>
      </w:r>
      <w:r>
        <w:t xml:space="preserve">estimating uncertainty by recomputing a statistic on data re-sampled with replacement.</w:t>
      </w:r>
    </w:p>
    <w:p>
      <w:pPr>
        <w:pStyle w:val="Compact"/>
        <w:numPr>
          <w:ilvl w:val="0"/>
          <w:numId w:val="1032"/>
        </w:numPr>
      </w:pPr>
      <w:r>
        <w:rPr>
          <w:b/>
          <w:bCs/>
        </w:rPr>
        <w:t xml:space="preserve">Confirmatory / primary:</w:t>
      </w:r>
      <w:r>
        <w:t xml:space="preserve"> </w:t>
      </w:r>
      <w:r>
        <w:t xml:space="preserve">a comparison fixed before the data were seen, whose result is a hypothesis test.</w:t>
      </w:r>
    </w:p>
    <w:p>
      <w:pPr>
        <w:pStyle w:val="Compact"/>
        <w:numPr>
          <w:ilvl w:val="0"/>
          <w:numId w:val="1032"/>
        </w:numPr>
      </w:pPr>
      <w:r>
        <w:rPr>
          <w:b/>
          <w:bCs/>
        </w:rPr>
        <w:t xml:space="preserve">DWT:</w:t>
      </w:r>
      <w:r>
        <w:t xml:space="preserve"> </w:t>
      </w:r>
      <w:r>
        <w:t xml:space="preserve">discrete wavelet transform; here the single-level 2-D Haar transform.</w:t>
      </w:r>
    </w:p>
    <w:p>
      <w:pPr>
        <w:pStyle w:val="Compact"/>
        <w:numPr>
          <w:ilvl w:val="0"/>
          <w:numId w:val="1032"/>
        </w:numPr>
      </w:pPr>
      <w:r>
        <w:rPr>
          <w:b/>
          <w:bCs/>
        </w:rPr>
        <w:t xml:space="preserve">Logit:</w:t>
      </w:r>
      <w:r>
        <w:t xml:space="preserve"> </w:t>
      </w:r>
      <w:r>
        <w:t xml:space="preserve">the network’s raw output before the sigmoid.</w:t>
      </w:r>
    </w:p>
    <w:p>
      <w:pPr>
        <w:pStyle w:val="Compact"/>
        <w:numPr>
          <w:ilvl w:val="0"/>
          <w:numId w:val="1032"/>
        </w:numPr>
      </w:pPr>
      <w:r>
        <w:rPr>
          <w:b/>
          <w:bCs/>
        </w:rPr>
        <w:t xml:space="preserve">Pooled vs per-image IoU:</w:t>
      </w:r>
      <w:r>
        <w:t xml:space="preserve"> </w:t>
      </w:r>
      <w:r>
        <w:t xml:space="preserve">pooled sums the TP/FP/FN counts over all images before dividing; per-image averages each image’s IoU.</w:t>
      </w:r>
    </w:p>
    <w:p>
      <w:pPr>
        <w:pStyle w:val="Compact"/>
        <w:numPr>
          <w:ilvl w:val="0"/>
          <w:numId w:val="1032"/>
        </w:numPr>
      </w:pPr>
      <w:r>
        <w:rPr>
          <w:b/>
          <w:bCs/>
        </w:rPr>
        <w:t xml:space="preserve">Seed:</w:t>
      </w:r>
      <w:r>
        <w:t xml:space="preserve"> </w:t>
      </w:r>
      <w:r>
        <w:t xml:space="preserve">the number that fixes all randomness of a training run.</w:t>
      </w:r>
    </w:p>
    <w:p>
      <w:pPr>
        <w:pStyle w:val="Compact"/>
        <w:numPr>
          <w:ilvl w:val="0"/>
          <w:numId w:val="1032"/>
        </w:numPr>
      </w:pPr>
      <w:r>
        <w:rPr>
          <w:b/>
          <w:bCs/>
        </w:rPr>
        <w:t xml:space="preserve">Skeleton:</w:t>
      </w:r>
      <w:r>
        <w:t xml:space="preserve"> </w:t>
      </w:r>
      <w:r>
        <w:t xml:space="preserve">the 1-pixel-wide centre-line of a shape.</w:t>
      </w:r>
    </w:p>
    <w:p>
      <w:pPr>
        <w:pStyle w:val="Compact"/>
        <w:numPr>
          <w:ilvl w:val="0"/>
          <w:numId w:val="1032"/>
        </w:numPr>
      </w:pPr>
      <w:r>
        <w:rPr>
          <w:b/>
          <w:bCs/>
        </w:rPr>
        <w:t xml:space="preserve">Stride:</w:t>
      </w:r>
      <w:r>
        <w:t xml:space="preserve"> </w:t>
      </w:r>
      <w:r>
        <w:t xml:space="preserve">the step of a convolution or pooling window; stride 2 halves the resolution.</w:t>
      </w:r>
    </w:p>
    <w:bookmarkEnd w:id="128"/>
    <w:bookmarkStart w:id="129" w:name="references"/>
    <w:p>
      <w:pPr>
        <w:pStyle w:val="Heading1"/>
      </w:pPr>
      <w:r>
        <w:t xml:space="preserve">References</w:t>
      </w:r>
    </w:p>
    <w:p>
      <w:pPr>
        <w:pStyle w:val="Compact"/>
        <w:numPr>
          <w:ilvl w:val="0"/>
          <w:numId w:val="1033"/>
        </w:numPr>
      </w:pPr>
      <w:r>
        <w:t xml:space="preserve">V. Mnih.</w:t>
      </w:r>
      <w:r>
        <w:t xml:space="preserve"> </w:t>
      </w:r>
      <w:r>
        <w:rPr>
          <w:i/>
          <w:iCs/>
        </w:rPr>
        <w:t xml:space="preserve">Machine Learning for Aerial Image Labeling</w:t>
      </w:r>
      <w:r>
        <w:t xml:space="preserve">. PhD thesis, University of Toronto, 2013.</w:t>
      </w:r>
    </w:p>
    <w:p>
      <w:pPr>
        <w:pStyle w:val="Compact"/>
        <w:numPr>
          <w:ilvl w:val="0"/>
          <w:numId w:val="1033"/>
        </w:numPr>
      </w:pPr>
      <w:r>
        <w:t xml:space="preserve">V. Mnih and G. E. Hinton. Learning to detect roads in high-resolution aerial images.</w:t>
      </w:r>
      <w:r>
        <w:t xml:space="preserve"> </w:t>
      </w:r>
      <w:r>
        <w:rPr>
          <w:i/>
          <w:iCs/>
        </w:rPr>
        <w:t xml:space="preserve">ECCV</w:t>
      </w:r>
      <w:r>
        <w:t xml:space="preserve">, 2010.</w:t>
      </w:r>
    </w:p>
    <w:p>
      <w:pPr>
        <w:pStyle w:val="Compact"/>
        <w:numPr>
          <w:ilvl w:val="0"/>
          <w:numId w:val="1033"/>
        </w:numPr>
      </w:pPr>
      <w:r>
        <w:t xml:space="preserve">I. Demir et al. DeepGlobe 2018: A challenge to parse the Earth through satellite images.</w:t>
      </w:r>
      <w:r>
        <w:t xml:space="preserve"> </w:t>
      </w:r>
      <w:r>
        <w:rPr>
          <w:i/>
          <w:iCs/>
        </w:rPr>
        <w:t xml:space="preserve">CVPR Workshops</w:t>
      </w:r>
      <w:r>
        <w:t xml:space="preserve">, 2018.</w:t>
      </w:r>
    </w:p>
    <w:p>
      <w:pPr>
        <w:pStyle w:val="Compact"/>
        <w:numPr>
          <w:ilvl w:val="0"/>
          <w:numId w:val="1033"/>
        </w:numPr>
      </w:pPr>
      <w:r>
        <w:t xml:space="preserve">S. Xie, R. Girshick, P. Dollár, Z. Tu and K. He. Aggregated residual transformations for deep neural networks.</w:t>
      </w:r>
      <w:r>
        <w:t xml:space="preserve"> </w:t>
      </w:r>
      <w:r>
        <w:rPr>
          <w:i/>
          <w:iCs/>
        </w:rPr>
        <w:t xml:space="preserve">CVPR</w:t>
      </w:r>
      <w:r>
        <w:t xml:space="preserve">, 2017.</w:t>
      </w:r>
    </w:p>
    <w:p>
      <w:pPr>
        <w:pStyle w:val="Compact"/>
        <w:numPr>
          <w:ilvl w:val="0"/>
          <w:numId w:val="1033"/>
        </w:numPr>
      </w:pPr>
      <w:r>
        <w:t xml:space="preserve">S. G. Mallat. A theory for multiresolution signal decomposition: the wavelet representation.</w:t>
      </w:r>
      <w:r>
        <w:t xml:space="preserve"> </w:t>
      </w:r>
      <w:r>
        <w:rPr>
          <w:i/>
          <w:iCs/>
        </w:rPr>
        <w:t xml:space="preserve">IEEE TPAMI</w:t>
      </w:r>
      <w:r>
        <w:t xml:space="preserve"> </w:t>
      </w:r>
      <w:r>
        <w:t xml:space="preserve">11(7), 1989.</w:t>
      </w:r>
    </w:p>
    <w:p>
      <w:pPr>
        <w:pStyle w:val="Compact"/>
        <w:numPr>
          <w:ilvl w:val="0"/>
          <w:numId w:val="1033"/>
        </w:numPr>
      </w:pPr>
      <w:r>
        <w:t xml:space="preserve">O. Ronneberger, P. Fischer and T. Brox. U-Net: Convolutional networks for biomedical image segmentation.</w:t>
      </w:r>
      <w:r>
        <w:t xml:space="preserve"> </w:t>
      </w:r>
      <w:r>
        <w:rPr>
          <w:i/>
          <w:iCs/>
        </w:rPr>
        <w:t xml:space="preserve">MICCAI</w:t>
      </w:r>
      <w:r>
        <w:t xml:space="preserve">, 2015.</w:t>
      </w:r>
    </w:p>
    <w:p>
      <w:pPr>
        <w:pStyle w:val="Compact"/>
        <w:numPr>
          <w:ilvl w:val="0"/>
          <w:numId w:val="1033"/>
        </w:numPr>
      </w:pPr>
      <w:r>
        <w:t xml:space="preserve">L. Zhou, C. Zhang and M. Wu. D-LinkNet: LinkNet with pretrained encoder and dilated convolution for high resolution satellite imagery road extraction.</w:t>
      </w:r>
      <w:r>
        <w:t xml:space="preserve"> </w:t>
      </w:r>
      <w:r>
        <w:rPr>
          <w:i/>
          <w:iCs/>
        </w:rPr>
        <w:t xml:space="preserve">CVPR Workshops</w:t>
      </w:r>
      <w:r>
        <w:t xml:space="preserve">, 2018.</w:t>
      </w:r>
    </w:p>
    <w:p>
      <w:pPr>
        <w:pStyle w:val="Compact"/>
        <w:numPr>
          <w:ilvl w:val="0"/>
          <w:numId w:val="1033"/>
        </w:numPr>
      </w:pPr>
      <w:r>
        <w:t xml:space="preserve">S. Shit et al. clDice — a novel topology-preserving loss function for tubular structure segmentation.</w:t>
      </w:r>
      <w:r>
        <w:t xml:space="preserve"> </w:t>
      </w:r>
      <w:r>
        <w:rPr>
          <w:i/>
          <w:iCs/>
        </w:rPr>
        <w:t xml:space="preserve">CVPR</w:t>
      </w:r>
      <w:r>
        <w:t xml:space="preserve">, 2021.</w:t>
      </w:r>
    </w:p>
    <w:p>
      <w:pPr>
        <w:pStyle w:val="Compact"/>
        <w:numPr>
          <w:ilvl w:val="0"/>
          <w:numId w:val="1033"/>
        </w:numPr>
      </w:pPr>
      <w:r>
        <w:t xml:space="preserve">A. Van Etten, D. Lindenbaum and T. M. Bacastow. SpaceNet: A remote sensing dataset and challenge series. arXiv:1807.01232, 2018.</w:t>
      </w:r>
    </w:p>
    <w:p>
      <w:pPr>
        <w:pStyle w:val="Compact"/>
        <w:numPr>
          <w:ilvl w:val="0"/>
          <w:numId w:val="1033"/>
        </w:numPr>
      </w:pPr>
      <w:r>
        <w:t xml:space="preserve">R. Zhang. Making convolutional networks shift-invariant again.</w:t>
      </w:r>
      <w:r>
        <w:t xml:space="preserve"> </w:t>
      </w:r>
      <w:r>
        <w:rPr>
          <w:i/>
          <w:iCs/>
        </w:rPr>
        <w:t xml:space="preserve">ICML</w:t>
      </w:r>
      <w:r>
        <w:t xml:space="preserve">, 2019.</w:t>
      </w:r>
    </w:p>
    <w:p>
      <w:pPr>
        <w:pStyle w:val="Compact"/>
        <w:numPr>
          <w:ilvl w:val="0"/>
          <w:numId w:val="1033"/>
        </w:numPr>
      </w:pPr>
      <w:r>
        <w:t xml:space="preserve">Q. Li, L. Shen, S. Guo and Z. Lai. WaveCNet: Wavelet integrated CNNs to suppress aliasing effect for noise-robust image classification.</w:t>
      </w:r>
      <w:r>
        <w:t xml:space="preserve"> </w:t>
      </w:r>
      <w:r>
        <w:rPr>
          <w:i/>
          <w:iCs/>
        </w:rPr>
        <w:t xml:space="preserve">IEEE TIP</w:t>
      </w:r>
      <w:r>
        <w:t xml:space="preserve"> </w:t>
      </w:r>
      <w:r>
        <w:t xml:space="preserve">30, 2021.</w:t>
      </w:r>
    </w:p>
    <w:p>
      <w:pPr>
        <w:pStyle w:val="Compact"/>
        <w:numPr>
          <w:ilvl w:val="0"/>
          <w:numId w:val="1033"/>
        </w:numPr>
      </w:pPr>
      <w:r>
        <w:t xml:space="preserve">P. Liu, H. Zhang, K. Zhang, L. Lin and W. Zuo. Multi-level wavelet-CNN for image restoration.</w:t>
      </w:r>
      <w:r>
        <w:t xml:space="preserve"> </w:t>
      </w:r>
      <w:r>
        <w:rPr>
          <w:i/>
          <w:iCs/>
        </w:rPr>
        <w:t xml:space="preserve">CVPR Workshops</w:t>
      </w:r>
      <w:r>
        <w:t xml:space="preserve">, 2018.</w:t>
      </w:r>
    </w:p>
    <w:p>
      <w:pPr>
        <w:pStyle w:val="Compact"/>
        <w:numPr>
          <w:ilvl w:val="0"/>
          <w:numId w:val="1033"/>
        </w:numPr>
      </w:pPr>
      <w:r>
        <w:t xml:space="preserve">J. Long, E. Shelhamer and T. Darrell. Fully convolutional networks for semantic segmentation.</w:t>
      </w:r>
      <w:r>
        <w:t xml:space="preserve"> </w:t>
      </w:r>
      <w:r>
        <w:rPr>
          <w:i/>
          <w:iCs/>
        </w:rPr>
        <w:t xml:space="preserve">CVPR</w:t>
      </w:r>
      <w:r>
        <w:t xml:space="preserve">, 2015.</w:t>
      </w:r>
    </w:p>
    <w:p>
      <w:pPr>
        <w:pStyle w:val="Compact"/>
        <w:numPr>
          <w:ilvl w:val="0"/>
          <w:numId w:val="1033"/>
        </w:numPr>
      </w:pPr>
      <w:r>
        <w:t xml:space="preserve">Z. Zhang, Q. Liu and Y. Wang. Road extraction by deep residual U-Net.</w:t>
      </w:r>
      <w:r>
        <w:t xml:space="preserve"> </w:t>
      </w:r>
      <w:r>
        <w:rPr>
          <w:i/>
          <w:iCs/>
        </w:rPr>
        <w:t xml:space="preserve">IEEE GRSL</w:t>
      </w:r>
      <w:r>
        <w:t xml:space="preserve"> </w:t>
      </w:r>
      <w:r>
        <w:t xml:space="preserve">15(5), 2018.</w:t>
      </w:r>
    </w:p>
    <w:p>
      <w:pPr>
        <w:pStyle w:val="Compact"/>
        <w:numPr>
          <w:ilvl w:val="0"/>
          <w:numId w:val="1033"/>
        </w:numPr>
      </w:pPr>
      <w:r>
        <w:t xml:space="preserve">Y. Wang, J. Seo and T. Jeon. NL-LinkNet: Toward lighter but more accurate road extraction with non-local operations. arXiv:1908.08223, 2019.</w:t>
      </w:r>
    </w:p>
    <w:p>
      <w:pPr>
        <w:pStyle w:val="Compact"/>
        <w:numPr>
          <w:ilvl w:val="0"/>
          <w:numId w:val="1033"/>
        </w:numPr>
      </w:pPr>
      <w:r>
        <w:t xml:space="preserve">G. Máttyus, W. Luo and R. Urtasun. DeepRoadMapper: Extracting road topology from aerial images.</w:t>
      </w:r>
      <w:r>
        <w:t xml:space="preserve"> </w:t>
      </w:r>
      <w:r>
        <w:rPr>
          <w:i/>
          <w:iCs/>
        </w:rPr>
        <w:t xml:space="preserve">ICCV</w:t>
      </w:r>
      <w:r>
        <w:t xml:space="preserve">, 2017.</w:t>
      </w:r>
    </w:p>
    <w:p>
      <w:pPr>
        <w:pStyle w:val="Compact"/>
        <w:numPr>
          <w:ilvl w:val="0"/>
          <w:numId w:val="1033"/>
        </w:numPr>
      </w:pPr>
      <w:r>
        <w:t xml:space="preserve">A. Mosinska, P. Márquez-Neila, M. Koziński and P. Fua. Beyond the pixel-wise loss for topology-aware delineation.</w:t>
      </w:r>
      <w:r>
        <w:t xml:space="preserve"> </w:t>
      </w:r>
      <w:r>
        <w:rPr>
          <w:i/>
          <w:iCs/>
        </w:rPr>
        <w:t xml:space="preserve">CVPR</w:t>
      </w:r>
      <w:r>
        <w:t xml:space="preserve">, 2018.</w:t>
      </w:r>
    </w:p>
    <w:p>
      <w:pPr>
        <w:pStyle w:val="Compact"/>
        <w:numPr>
          <w:ilvl w:val="0"/>
          <w:numId w:val="1033"/>
        </w:numPr>
      </w:pPr>
      <w:r>
        <w:t xml:space="preserve">A. Batra et al. Improved road connectivity by joint learning of orientation and segmentation.</w:t>
      </w:r>
      <w:r>
        <w:t xml:space="preserve"> </w:t>
      </w:r>
      <w:r>
        <w:rPr>
          <w:i/>
          <w:iCs/>
        </w:rPr>
        <w:t xml:space="preserve">CVPR</w:t>
      </w:r>
      <w:r>
        <w:t xml:space="preserve">, 2019.</w:t>
      </w:r>
    </w:p>
    <w:p>
      <w:pPr>
        <w:pStyle w:val="Compact"/>
        <w:numPr>
          <w:ilvl w:val="0"/>
          <w:numId w:val="1033"/>
        </w:numPr>
      </w:pPr>
      <w:r>
        <w:t xml:space="preserve">J. Mei, R.-J. Li, W. Gao and M.-M. Cheng. CoANet: Connectivity attention network for road extraction from satellite imagery.</w:t>
      </w:r>
      <w:r>
        <w:t xml:space="preserve"> </w:t>
      </w:r>
      <w:r>
        <w:rPr>
          <w:i/>
          <w:iCs/>
        </w:rPr>
        <w:t xml:space="preserve">IEEE TIP</w:t>
      </w:r>
      <w:r>
        <w:t xml:space="preserve"> </w:t>
      </w:r>
      <w:r>
        <w:t xml:space="preserve">30, 2021.</w:t>
      </w:r>
    </w:p>
    <w:p>
      <w:pPr>
        <w:pStyle w:val="Compact"/>
        <w:numPr>
          <w:ilvl w:val="0"/>
          <w:numId w:val="1033"/>
        </w:numPr>
      </w:pPr>
      <w:r>
        <w:t xml:space="preserve">F. Bastani et al. RoadTracer: Automatic extraction of road networks from aerial images.</w:t>
      </w:r>
      <w:r>
        <w:t xml:space="preserve"> </w:t>
      </w:r>
      <w:r>
        <w:rPr>
          <w:i/>
          <w:iCs/>
        </w:rPr>
        <w:t xml:space="preserve">CVPR</w:t>
      </w:r>
      <w:r>
        <w:t xml:space="preserve">, 2018.</w:t>
      </w:r>
    </w:p>
    <w:p>
      <w:pPr>
        <w:pStyle w:val="Compact"/>
        <w:numPr>
          <w:ilvl w:val="0"/>
          <w:numId w:val="1033"/>
        </w:numPr>
      </w:pPr>
      <w:r>
        <w:t xml:space="preserve">S. He et al. Sat2Graph: Road graph extraction through graph-tensor encoding.</w:t>
      </w:r>
      <w:r>
        <w:t xml:space="preserve"> </w:t>
      </w:r>
      <w:r>
        <w:rPr>
          <w:i/>
          <w:iCs/>
        </w:rPr>
        <w:t xml:space="preserve">ECCV</w:t>
      </w:r>
      <w:r>
        <w:t xml:space="preserve">, 2020.</w:t>
      </w:r>
    </w:p>
    <w:p>
      <w:pPr>
        <w:pStyle w:val="Compact"/>
        <w:numPr>
          <w:ilvl w:val="0"/>
          <w:numId w:val="1033"/>
        </w:numPr>
      </w:pPr>
      <w:r>
        <w:t xml:space="preserve">C. Hetang et al. Segment anything model for road network graph extraction.</w:t>
      </w:r>
      <w:r>
        <w:t xml:space="preserve"> </w:t>
      </w:r>
      <w:r>
        <w:rPr>
          <w:i/>
          <w:iCs/>
        </w:rPr>
        <w:t xml:space="preserve">CVPR Workshops</w:t>
      </w:r>
      <w:r>
        <w:t xml:space="preserve">, 2024.</w:t>
      </w:r>
    </w:p>
    <w:p>
      <w:pPr>
        <w:pStyle w:val="Compact"/>
        <w:numPr>
          <w:ilvl w:val="0"/>
          <w:numId w:val="1033"/>
        </w:numPr>
      </w:pPr>
      <w:r>
        <w:t xml:space="preserve">E. Xie et al. SegFormer: Simple and efficient design for semantic segmentation with transformers.</w:t>
      </w:r>
      <w:r>
        <w:t xml:space="preserve"> </w:t>
      </w:r>
      <w:r>
        <w:rPr>
          <w:i/>
          <w:iCs/>
        </w:rPr>
        <w:t xml:space="preserve">NeurIPS</w:t>
      </w:r>
      <w:r>
        <w:t xml:space="preserve">, 2021.</w:t>
      </w:r>
    </w:p>
    <w:p>
      <w:pPr>
        <w:pStyle w:val="Compact"/>
        <w:numPr>
          <w:ilvl w:val="0"/>
          <w:numId w:val="1033"/>
        </w:numPr>
      </w:pPr>
      <w:r>
        <w:t xml:space="preserve">J. Tao et al. Seg-Road: A segmentation network for road extraction based on transformer and CNN with connectivity structures.</w:t>
      </w:r>
      <w:r>
        <w:t xml:space="preserve"> </w:t>
      </w:r>
      <w:r>
        <w:rPr>
          <w:i/>
          <w:iCs/>
        </w:rPr>
        <w:t xml:space="preserve">Remote Sensing</w:t>
      </w:r>
      <w:r>
        <w:t xml:space="preserve"> </w:t>
      </w:r>
      <w:r>
        <w:t xml:space="preserve">15(6):1602, 2023.</w:t>
      </w:r>
    </w:p>
    <w:p>
      <w:pPr>
        <w:pStyle w:val="Compact"/>
        <w:numPr>
          <w:ilvl w:val="0"/>
          <w:numId w:val="1033"/>
        </w:numPr>
      </w:pPr>
      <w:r>
        <w:t xml:space="preserve">URoadNet: Dual sparse attentive U-Net for multiscale road network extraction. arXiv:2412.17573, 2024.</w:t>
      </w:r>
    </w:p>
    <w:p>
      <w:pPr>
        <w:pStyle w:val="Compact"/>
        <w:numPr>
          <w:ilvl w:val="0"/>
          <w:numId w:val="1033"/>
        </w:numPr>
      </w:pPr>
      <w:r>
        <w:t xml:space="preserve">Z. Zhang et al. DSFC-Net: A dual-encoder spatial and frequency co-awareness network for rural road extraction. arXiv:2602.01278, 2026.</w:t>
      </w:r>
    </w:p>
    <w:p>
      <w:pPr>
        <w:pStyle w:val="Compact"/>
        <w:numPr>
          <w:ilvl w:val="0"/>
          <w:numId w:val="1033"/>
        </w:numPr>
      </w:pPr>
      <w:r>
        <w:t xml:space="preserve">T. Williams and R. Li. Wavelet pooling for convolutional neural networks.</w:t>
      </w:r>
      <w:r>
        <w:t xml:space="preserve"> </w:t>
      </w:r>
      <w:r>
        <w:rPr>
          <w:i/>
          <w:iCs/>
        </w:rPr>
        <w:t xml:space="preserve">ICLR</w:t>
      </w:r>
      <w:r>
        <w:t xml:space="preserve">, 2018.</w:t>
      </w:r>
    </w:p>
    <w:p>
      <w:pPr>
        <w:pStyle w:val="Compact"/>
        <w:numPr>
          <w:ilvl w:val="0"/>
          <w:numId w:val="1033"/>
        </w:numPr>
      </w:pPr>
      <w:r>
        <w:t xml:space="preserve">Q. Li, L. Shen, S. Guo and Z. Lai. Wavelet integrated CNNs for noise-robust image classification.</w:t>
      </w:r>
      <w:r>
        <w:t xml:space="preserve"> </w:t>
      </w:r>
      <w:r>
        <w:rPr>
          <w:i/>
          <w:iCs/>
        </w:rPr>
        <w:t xml:space="preserve">CVPR</w:t>
      </w:r>
      <w:r>
        <w:t xml:space="preserve">, 2020.</w:t>
      </w:r>
    </w:p>
    <w:p>
      <w:pPr>
        <w:pStyle w:val="Compact"/>
        <w:numPr>
          <w:ilvl w:val="0"/>
          <w:numId w:val="1033"/>
        </w:numPr>
      </w:pPr>
      <w:r>
        <w:t xml:space="preserve">Q. Li and L. Shen. WaveSNet: Wavelet integrated deep networks for image segmentation. arXiv:2005.14461, 2020.</w:t>
      </w:r>
    </w:p>
    <w:p>
      <w:pPr>
        <w:pStyle w:val="Compact"/>
        <w:numPr>
          <w:ilvl w:val="0"/>
          <w:numId w:val="1033"/>
        </w:numPr>
      </w:pPr>
      <w:r>
        <w:t xml:space="preserve">G. Xu et al. Haar wavelet downsampling: A simple but effective downsampling module for semantic segmentation.</w:t>
      </w:r>
      <w:r>
        <w:t xml:space="preserve"> </w:t>
      </w:r>
      <w:r>
        <w:rPr>
          <w:i/>
          <w:iCs/>
        </w:rPr>
        <w:t xml:space="preserve">Pattern Recognition</w:t>
      </w:r>
      <w:r>
        <w:t xml:space="preserve"> </w:t>
      </w:r>
      <w:r>
        <w:t xml:space="preserve">143, 2023.</w:t>
      </w:r>
    </w:p>
    <w:p>
      <w:pPr>
        <w:pStyle w:val="Compact"/>
        <w:numPr>
          <w:ilvl w:val="0"/>
          <w:numId w:val="1033"/>
        </w:numPr>
      </w:pPr>
      <w:r>
        <w:t xml:space="preserve">J. Zong et al. PWFNet: frequency-aware road extraction with pyramidal wavelet convolution.</w:t>
      </w:r>
      <w:r>
        <w:t xml:space="preserve"> </w:t>
      </w:r>
      <w:r>
        <w:rPr>
          <w:i/>
          <w:iCs/>
        </w:rPr>
        <w:t xml:space="preserve">Remote Sensing</w:t>
      </w:r>
      <w:r>
        <w:t xml:space="preserve"> </w:t>
      </w:r>
      <w:r>
        <w:t xml:space="preserve">17(16):2895, 2025.</w:t>
      </w:r>
    </w:p>
    <w:p>
      <w:pPr>
        <w:pStyle w:val="Compact"/>
        <w:numPr>
          <w:ilvl w:val="0"/>
          <w:numId w:val="1033"/>
        </w:numPr>
      </w:pPr>
      <w:r>
        <w:t xml:space="preserve">Y. Wang et al. Deep distance transform for tubular structure segmentation in CT scans.</w:t>
      </w:r>
      <w:r>
        <w:t xml:space="preserve"> </w:t>
      </w:r>
      <w:r>
        <w:rPr>
          <w:i/>
          <w:iCs/>
        </w:rPr>
        <w:t xml:space="preserve">CVPR</w:t>
      </w:r>
      <w:r>
        <w:t xml:space="preserve">, 2020. arXiv:1912.03383.</w:t>
      </w:r>
    </w:p>
    <w:p>
      <w:pPr>
        <w:pStyle w:val="Compact"/>
        <w:numPr>
          <w:ilvl w:val="0"/>
          <w:numId w:val="1033"/>
        </w:numPr>
      </w:pPr>
      <w:r>
        <w:t xml:space="preserve">Y. Wei, K. Zhang and S. Ji. Road network extraction from satellite images using CNN based segmentation and tracing.</w:t>
      </w:r>
      <w:r>
        <w:t xml:space="preserve"> </w:t>
      </w:r>
      <w:r>
        <w:rPr>
          <w:i/>
          <w:iCs/>
        </w:rPr>
        <w:t xml:space="preserve">ISPRS Annals</w:t>
      </w:r>
      <w:r>
        <w:t xml:space="preserve">, 2020.</w:t>
      </w:r>
    </w:p>
    <w:p>
      <w:pPr>
        <w:pStyle w:val="Compact"/>
        <w:numPr>
          <w:ilvl w:val="0"/>
          <w:numId w:val="1033"/>
        </w:numPr>
      </w:pPr>
      <w:r>
        <w:t xml:space="preserve">Y. Liu, J. Yao, X. Lu, M. Xia, X. Wang and Y. Liu. RoadNet: Learning to comprehensively analyze road networks in complex urban scenes from high-resolution remotely sensed images.</w:t>
      </w:r>
      <w:r>
        <w:t xml:space="preserve"> </w:t>
      </w:r>
      <w:r>
        <w:rPr>
          <w:i/>
          <w:iCs/>
        </w:rPr>
        <w:t xml:space="preserve">IEEE TGRS</w:t>
      </w:r>
      <w:r>
        <w:t xml:space="preserve"> </w:t>
      </w:r>
      <w:r>
        <w:t xml:space="preserve">57(4), 2019.</w:t>
      </w:r>
    </w:p>
    <w:bookmarkEnd w:id="129"/>
    <w:sectPr>
      <w:pgSz w:h="15840" w:w="12240"/>
      <w:pgMar w:bottom="1152" w:footer="576" w:gutter="0" w:header="576" w:left="1152" w:right="1152" w:top="1152"/>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2"/>
        <w:szCs w:val="22"/>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CellMar>
        <w:left w:type="dxa" w:w="80"/>
        <w:right w:type="dxa" w:w="80"/>
      </w:tblCellMa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Explainer" w:type="paragraph">
    <w:name w:val="Explainer"/>
    <w:basedOn w:val="BodyText"/>
    <w:qFormat/>
    <w:pPr>
      <w:pBdr>
        <w:left w:color="5B9BD5" w:space="8" w:sz="18" w:val="single"/>
      </w:pBdr>
      <w:shd w:color="auto" w:fill="EAF2FB" w:val="clear"/>
      <w:spacing w:after="60" w:before="60"/>
      <w:ind w:left="240" w:right="120"/>
    </w:pPr>
    <w:rPr>
      <w:sz w:val="20"/>
      <w:szCs w:val="20"/>
    </w:rPr>
  </w:style>
  <w:style w:customStyle="1" w:styleId="TableText" w:type="paragraph">
    <w:name w:val="Table Text"/>
    <w:basedOn w:val="Compact"/>
    <w:pPr>
      <w:spacing w:after="20" w:before="20"/>
    </w:pPr>
    <w:rPr>
      <w:sz w:val="16"/>
      <w:szCs w:val="1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5" Target="media/rId95.png" /><Relationship Type="http://schemas.openxmlformats.org/officeDocument/2006/relationships/image" Id="rId33" Target="media/rId33.png" /><Relationship Type="http://schemas.openxmlformats.org/officeDocument/2006/relationships/image" Id="rId45" Target="media/rId45.png" /><Relationship Type="http://schemas.openxmlformats.org/officeDocument/2006/relationships/image" Id="rId19" Target="media/rId19.png" /><Relationship Type="http://schemas.openxmlformats.org/officeDocument/2006/relationships/image" Id="rId102" Target="media/rId102.png" /><Relationship Type="http://schemas.openxmlformats.org/officeDocument/2006/relationships/image" Id="rId78" Target="media/rId78.png" /><Relationship Type="http://schemas.openxmlformats.org/officeDocument/2006/relationships/image" Id="rId57" Target="media/rId57.png" /><Relationship Type="http://schemas.openxmlformats.org/officeDocument/2006/relationships/image" Id="rId41" Target="media/rId41.png" /><Relationship Type="http://schemas.openxmlformats.org/officeDocument/2006/relationships/image" Id="rId111" Target="media/rId111.png" /><Relationship Type="http://schemas.openxmlformats.org/officeDocument/2006/relationships/image" Id="rId23" Target="media/rId23.png" /><Relationship Type="http://schemas.openxmlformats.org/officeDocument/2006/relationships/image" Id="rId114" Target="media/rId114.png" /><Relationship Type="http://schemas.openxmlformats.org/officeDocument/2006/relationships/image" Id="rId50" Target="media/rId50.png" /><Relationship Type="http://schemas.openxmlformats.org/officeDocument/2006/relationships/image" Id="rId82" Target="media/rId82.png" /><Relationship Type="http://schemas.openxmlformats.org/officeDocument/2006/relationships/image" Id="rId62" Target="media/rId62.png" /><Relationship Type="http://schemas.openxmlformats.org/officeDocument/2006/relationships/image" Id="rId28" Target="media/rId28.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hyperlink" Id="rId15" Target="http://deepglobe.org/" TargetMode="External" /><Relationship Type="http://schemas.openxmlformats.org/officeDocument/2006/relationships/hyperlink" Id="rId126" Target="https://github.com/HarshithKoriRaj/roadseg" TargetMode="External" /><Relationship Type="http://schemas.openxmlformats.org/officeDocument/2006/relationships/hyperlink" Id="rId18" Target="https://github.com/yhlleo/RoadNet" TargetMode="External" /><Relationship Type="http://schemas.openxmlformats.org/officeDocument/2006/relationships/hyperlink" Id="rId17" Target="https://huggingface.co/datasets/lammtfkday/deepglobe-roads" TargetMode="External" /><Relationship Type="http://schemas.openxmlformats.org/officeDocument/2006/relationships/hyperlink" Id="rId13" Target="https://www.cs.toronto.edu/~vmnih/data/" TargetMode="External" /><Relationship Type="http://schemas.openxmlformats.org/officeDocument/2006/relationships/hyperlink" Id="rId16" Target="https://www.kaggle.com/datasets/balraj98/deepglobe-road-extraction-dataset" TargetMode="External" /><Relationship Type="http://schemas.openxmlformats.org/officeDocument/2006/relationships/hyperlink" Id="rId14" Target="https://www.kaggle.com/datasets/balraj98/massachusetts-roads-dataset" TargetMode="External" /></Relationships>
</file>

<file path=word/_rels/footnotes.xml.rels><?xml version="1.0" encoding="UTF-8"?><Relationships xmlns="http://schemas.openxmlformats.org/package/2006/relationships"><Relationship Type="http://schemas.openxmlformats.org/officeDocument/2006/relationships/hyperlink" Id="rId15" Target="http://deepglobe.org/" TargetMode="External" /><Relationship Type="http://schemas.openxmlformats.org/officeDocument/2006/relationships/hyperlink" Id="rId126" Target="https://github.com/HarshithKoriRaj/roadseg" TargetMode="External" /><Relationship Type="http://schemas.openxmlformats.org/officeDocument/2006/relationships/hyperlink" Id="rId18" Target="https://github.com/yhlleo/RoadNet" TargetMode="External" /><Relationship Type="http://schemas.openxmlformats.org/officeDocument/2006/relationships/hyperlink" Id="rId17" Target="https://huggingface.co/datasets/lammtfkday/deepglobe-roads" TargetMode="External" /><Relationship Type="http://schemas.openxmlformats.org/officeDocument/2006/relationships/hyperlink" Id="rId13" Target="https://www.cs.toronto.edu/~vmnih/data/" TargetMode="External" /><Relationship Type="http://schemas.openxmlformats.org/officeDocument/2006/relationships/hyperlink" Id="rId16" Target="https://www.kaggle.com/datasets/balraj98/deepglobe-road-extraction-dataset" TargetMode="External" /><Relationship Type="http://schemas.openxmlformats.org/officeDocument/2006/relationships/hyperlink" Id="rId14" Target="https://www.kaggle.com/datasets/balraj98/massachusetts-roads-data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Structure Priors for Road Segmentation: Wavelet Front-Ends and Centre-Line/Width Supervision</dc:title>
  <dc:creator/>
  <cp:keywords/>
  <dcterms:created xsi:type="dcterms:W3CDTF">2026-10-24T16:01:01Z</dcterms:created>
  <dcterms:modified xsi:type="dcterms:W3CDTF">2026-10-24T16:01:01Z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y fmtid="{D5CDD505-2E9C-101B-9397-08002B2CF9AE}" pid="3" name="subtitle">
    <vt:lpwstr>A controlled study on Massachusetts Roads, DeepGlobe and Ottawa — complete method, step-by-step explanation, results and comparison with published work</vt:lpwstr>
  </property>
</Properties>
</file>