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B9E60" w14:textId="77777777" w:rsidR="00142813" w:rsidRDefault="00142813" w:rsidP="00C2231F">
      <w:pPr>
        <w:pStyle w:val="Default"/>
        <w:spacing w:after="200" w:line="360" w:lineRule="auto"/>
        <w:jc w:val="center"/>
        <w:rPr>
          <w:iCs/>
          <w:sz w:val="32"/>
          <w:szCs w:val="32"/>
        </w:rPr>
      </w:pPr>
    </w:p>
    <w:p w14:paraId="57B3D9C2" w14:textId="1E9EC095" w:rsidR="00C2231F" w:rsidRPr="004273FB" w:rsidRDefault="00840D03" w:rsidP="00C2231F">
      <w:pPr>
        <w:pStyle w:val="Default"/>
        <w:spacing w:after="200" w:line="360" w:lineRule="auto"/>
        <w:jc w:val="center"/>
        <w:rPr>
          <w:iCs/>
          <w:sz w:val="40"/>
          <w:szCs w:val="40"/>
        </w:rPr>
      </w:pPr>
      <w:proofErr w:type="spellStart"/>
      <w:r w:rsidRPr="00840D03">
        <w:rPr>
          <w:iCs/>
          <w:sz w:val="40"/>
          <w:szCs w:val="40"/>
          <w:lang w:val="en-US"/>
        </w:rPr>
        <w:t>CrediRisk</w:t>
      </w:r>
      <w:proofErr w:type="spellEnd"/>
      <w:r>
        <w:rPr>
          <w:iCs/>
          <w:sz w:val="40"/>
          <w:szCs w:val="40"/>
          <w:lang w:val="en-US"/>
        </w:rPr>
        <w:t xml:space="preserve"> Intelligence: CIBL Score Risk Analyzer</w:t>
      </w:r>
    </w:p>
    <w:p w14:paraId="51A8E618" w14:textId="651CB3E2" w:rsidR="00525F2B" w:rsidRDefault="008B5E6E" w:rsidP="00F916E9">
      <w:pPr>
        <w:rPr>
          <w:rFonts w:eastAsia="Times New Roman"/>
          <w:i/>
          <w:iCs/>
          <w:color w:val="000000"/>
          <w:sz w:val="26"/>
          <w:szCs w:val="26"/>
          <w:lang w:val="en-IN" w:eastAsia="en-IN" w:bidi="hi-IN"/>
        </w:rPr>
      </w:pPr>
      <w:r>
        <w:rPr>
          <w:rFonts w:eastAsia="Times New Roman"/>
          <w:i/>
          <w:iCs/>
          <w:color w:val="000000"/>
          <w:sz w:val="26"/>
          <w:szCs w:val="26"/>
          <w:lang w:val="en-IN" w:eastAsia="en-IN" w:bidi="hi-IN"/>
        </w:rPr>
        <w:t xml:space="preserve"> </w:t>
      </w:r>
      <w:r w:rsidR="00F916E9" w:rsidRPr="00F916E9">
        <w:rPr>
          <w:rFonts w:eastAsia="Times New Roman"/>
          <w:i/>
          <w:iCs/>
          <w:color w:val="000000"/>
          <w:sz w:val="26"/>
          <w:szCs w:val="26"/>
          <w:lang w:val="en-IN" w:eastAsia="en-IN" w:bidi="hi-IN"/>
        </w:rPr>
        <w:t>A Project</w:t>
      </w:r>
      <w:r>
        <w:rPr>
          <w:rFonts w:eastAsia="Times New Roman"/>
          <w:i/>
          <w:iCs/>
          <w:color w:val="000000"/>
          <w:sz w:val="26"/>
          <w:szCs w:val="26"/>
          <w:lang w:val="en-IN" w:eastAsia="en-IN" w:bidi="hi-IN"/>
        </w:rPr>
        <w:t xml:space="preserve"> Based Learning</w:t>
      </w:r>
      <w:r w:rsidR="00F916E9" w:rsidRPr="00F916E9">
        <w:rPr>
          <w:rFonts w:eastAsia="Times New Roman"/>
          <w:i/>
          <w:iCs/>
          <w:color w:val="000000"/>
          <w:sz w:val="26"/>
          <w:szCs w:val="26"/>
          <w:lang w:val="en-IN" w:eastAsia="en-IN" w:bidi="hi-IN"/>
        </w:rPr>
        <w:t xml:space="preserve"> Report Submitted in partial </w:t>
      </w:r>
      <w:r w:rsidR="00F916E9" w:rsidRPr="00525F2B">
        <w:rPr>
          <w:rFonts w:eastAsia="Times New Roman"/>
          <w:i/>
          <w:iCs/>
          <w:color w:val="000000"/>
          <w:sz w:val="26"/>
          <w:szCs w:val="26"/>
          <w:lang w:val="en-IN" w:eastAsia="en-IN" w:bidi="hi-IN"/>
        </w:rPr>
        <w:t>fulfilment</w:t>
      </w:r>
      <w:r w:rsidR="00F916E9" w:rsidRPr="00F916E9">
        <w:rPr>
          <w:rFonts w:eastAsia="Times New Roman"/>
          <w:i/>
          <w:iCs/>
          <w:color w:val="000000"/>
          <w:sz w:val="26"/>
          <w:szCs w:val="26"/>
          <w:lang w:val="en-IN" w:eastAsia="en-IN" w:bidi="hi-IN"/>
        </w:rPr>
        <w:t xml:space="preserve"> of the requirements for the award of the degree </w:t>
      </w:r>
    </w:p>
    <w:p w14:paraId="4983AA5B" w14:textId="77777777" w:rsidR="00525F2B" w:rsidRDefault="00525F2B" w:rsidP="00F916E9">
      <w:pPr>
        <w:rPr>
          <w:rFonts w:eastAsia="Times New Roman"/>
          <w:i/>
          <w:iCs/>
          <w:color w:val="000000"/>
          <w:sz w:val="26"/>
          <w:szCs w:val="26"/>
          <w:lang w:val="en-IN" w:eastAsia="en-IN" w:bidi="hi-IN"/>
        </w:rPr>
      </w:pPr>
    </w:p>
    <w:p w14:paraId="2271648A" w14:textId="674D0006" w:rsidR="00F916E9" w:rsidRPr="00F916E9" w:rsidRDefault="00F916E9" w:rsidP="00F916E9">
      <w:pPr>
        <w:rPr>
          <w:rFonts w:eastAsia="Times New Roman"/>
          <w:color w:val="000000"/>
          <w:sz w:val="26"/>
          <w:szCs w:val="26"/>
          <w:lang w:val="en-IN" w:eastAsia="en-IN" w:bidi="hi-IN"/>
        </w:rPr>
      </w:pPr>
      <w:r w:rsidRPr="00F916E9">
        <w:rPr>
          <w:rFonts w:eastAsia="Times New Roman"/>
          <w:i/>
          <w:iCs/>
          <w:color w:val="000000"/>
          <w:sz w:val="26"/>
          <w:szCs w:val="26"/>
          <w:lang w:val="en-IN" w:eastAsia="en-IN" w:bidi="hi-IN"/>
        </w:rPr>
        <w:t>of</w:t>
      </w:r>
      <w:r w:rsidRPr="00F916E9">
        <w:rPr>
          <w:rFonts w:eastAsia="Times New Roman"/>
          <w:color w:val="000000"/>
          <w:sz w:val="26"/>
          <w:szCs w:val="26"/>
          <w:lang w:val="en-IN" w:eastAsia="en-IN" w:bidi="hi-IN"/>
        </w:rPr>
        <w:t xml:space="preserve"> </w:t>
      </w:r>
    </w:p>
    <w:p w14:paraId="5E24AF07" w14:textId="77777777" w:rsidR="00F916E9" w:rsidRPr="00F916E9" w:rsidRDefault="00F916E9" w:rsidP="00F916E9">
      <w:pPr>
        <w:rPr>
          <w:rFonts w:ascii="Calibri" w:eastAsia="Times New Roman" w:hAnsi="Calibri" w:cs="Calibri"/>
          <w:color w:val="000000"/>
          <w:sz w:val="28"/>
          <w:szCs w:val="28"/>
          <w:lang w:val="en-IN" w:eastAsia="en-IN" w:bidi="hi-IN"/>
        </w:rPr>
      </w:pPr>
    </w:p>
    <w:p w14:paraId="3B8CC032" w14:textId="3D4D94B9" w:rsidR="00C2231F" w:rsidRDefault="00525F2B" w:rsidP="00F916E9">
      <w:pPr>
        <w:pStyle w:val="Default"/>
        <w:spacing w:after="200" w:line="360" w:lineRule="auto"/>
        <w:jc w:val="center"/>
        <w:rPr>
          <w:rFonts w:eastAsia="Times New Roman"/>
          <w:b/>
          <w:bCs/>
          <w:sz w:val="28"/>
          <w:szCs w:val="28"/>
          <w:lang w:bidi="hi-IN"/>
        </w:rPr>
      </w:pPr>
      <w:r w:rsidRPr="00F916E9">
        <w:rPr>
          <w:rFonts w:eastAsia="Times New Roman"/>
          <w:b/>
          <w:bCs/>
          <w:sz w:val="28"/>
          <w:szCs w:val="28"/>
          <w:lang w:bidi="hi-IN"/>
        </w:rPr>
        <w:t xml:space="preserve">Bachelor </w:t>
      </w:r>
      <w:r>
        <w:rPr>
          <w:rFonts w:eastAsia="Times New Roman"/>
          <w:b/>
          <w:bCs/>
          <w:sz w:val="28"/>
          <w:szCs w:val="28"/>
          <w:lang w:bidi="hi-IN"/>
        </w:rPr>
        <w:t>o</w:t>
      </w:r>
      <w:r w:rsidRPr="00F916E9">
        <w:rPr>
          <w:rFonts w:eastAsia="Times New Roman"/>
          <w:b/>
          <w:bCs/>
          <w:sz w:val="28"/>
          <w:szCs w:val="28"/>
          <w:lang w:bidi="hi-IN"/>
        </w:rPr>
        <w:t>f Technology</w:t>
      </w:r>
    </w:p>
    <w:p w14:paraId="2E42833D" w14:textId="701CC6EB" w:rsidR="00F916E9" w:rsidRPr="00F916E9" w:rsidRDefault="00F916E9" w:rsidP="00F916E9">
      <w:pPr>
        <w:pStyle w:val="Default"/>
        <w:spacing w:after="200" w:line="360" w:lineRule="auto"/>
        <w:jc w:val="center"/>
        <w:rPr>
          <w:sz w:val="34"/>
          <w:szCs w:val="34"/>
        </w:rPr>
      </w:pPr>
      <w:r>
        <w:rPr>
          <w:rFonts w:eastAsia="Times New Roman"/>
          <w:b/>
          <w:bCs/>
          <w:sz w:val="28"/>
          <w:szCs w:val="28"/>
          <w:lang w:bidi="hi-IN"/>
        </w:rPr>
        <w:t>in</w:t>
      </w:r>
      <w:r w:rsidR="00525F2B">
        <w:rPr>
          <w:rFonts w:eastAsia="Times New Roman"/>
          <w:b/>
          <w:bCs/>
          <w:sz w:val="28"/>
          <w:szCs w:val="28"/>
          <w:lang w:bidi="hi-IN"/>
        </w:rPr>
        <w:t xml:space="preserve"> </w:t>
      </w:r>
      <w:r w:rsidR="008B5E6E">
        <w:rPr>
          <w:rFonts w:eastAsia="Times New Roman"/>
          <w:b/>
          <w:bCs/>
          <w:sz w:val="28"/>
          <w:szCs w:val="28"/>
          <w:lang w:bidi="hi-IN"/>
        </w:rPr>
        <w:t xml:space="preserve">The </w:t>
      </w:r>
      <w:r>
        <w:rPr>
          <w:rFonts w:eastAsia="Times New Roman"/>
          <w:b/>
          <w:bCs/>
          <w:sz w:val="28"/>
          <w:szCs w:val="28"/>
          <w:lang w:bidi="hi-IN"/>
        </w:rPr>
        <w:t xml:space="preserve">Department </w:t>
      </w:r>
      <w:r w:rsidR="008B5E6E">
        <w:rPr>
          <w:rFonts w:eastAsia="Times New Roman"/>
          <w:b/>
          <w:bCs/>
          <w:sz w:val="28"/>
          <w:szCs w:val="28"/>
          <w:lang w:bidi="hi-IN"/>
        </w:rPr>
        <w:t xml:space="preserve">of </w:t>
      </w:r>
      <w:r w:rsidR="004A5F3E">
        <w:rPr>
          <w:rFonts w:eastAsia="Times New Roman"/>
          <w:b/>
          <w:bCs/>
          <w:sz w:val="28"/>
          <w:szCs w:val="28"/>
          <w:lang w:bidi="hi-IN"/>
        </w:rPr>
        <w:t>CSE</w:t>
      </w:r>
    </w:p>
    <w:p w14:paraId="75056B71" w14:textId="5014E189" w:rsidR="003D51F0" w:rsidRPr="00190CA9" w:rsidRDefault="000F77B4" w:rsidP="00C2231F">
      <w:pPr>
        <w:pStyle w:val="Default"/>
        <w:spacing w:after="120" w:line="240" w:lineRule="exact"/>
        <w:jc w:val="center"/>
        <w:rPr>
          <w:b/>
          <w:bCs/>
          <w:color w:val="FF0000"/>
          <w:sz w:val="28"/>
          <w:szCs w:val="28"/>
        </w:rPr>
      </w:pPr>
      <w:r w:rsidRPr="000F77B4">
        <w:rPr>
          <w:b/>
          <w:bCs/>
          <w:color w:val="FF0000"/>
          <w:sz w:val="28"/>
          <w:szCs w:val="28"/>
        </w:rPr>
        <w:t>AI-DRIVEN DATA ENGINEERING</w:t>
      </w:r>
      <w:r w:rsidR="003D51F0" w:rsidRPr="00190CA9">
        <w:rPr>
          <w:b/>
          <w:bCs/>
          <w:color w:val="FF0000"/>
          <w:sz w:val="28"/>
          <w:szCs w:val="28"/>
        </w:rPr>
        <w:t xml:space="preserve"> </w:t>
      </w:r>
      <w:proofErr w:type="gramStart"/>
      <w:r w:rsidR="003D51F0" w:rsidRPr="00190CA9">
        <w:rPr>
          <w:b/>
          <w:bCs/>
          <w:color w:val="FF0000"/>
          <w:sz w:val="28"/>
          <w:szCs w:val="28"/>
        </w:rPr>
        <w:t xml:space="preserve">with </w:t>
      </w:r>
      <w:r w:rsidRPr="000F77B4">
        <w:rPr>
          <w:b/>
          <w:bCs/>
          <w:color w:val="FF0000"/>
          <w:sz w:val="28"/>
          <w:szCs w:val="28"/>
        </w:rPr>
        <w:t xml:space="preserve"> 23</w:t>
      </w:r>
      <w:proofErr w:type="gramEnd"/>
      <w:r w:rsidRPr="000F77B4">
        <w:rPr>
          <w:b/>
          <w:bCs/>
          <w:color w:val="FF0000"/>
          <w:sz w:val="28"/>
          <w:szCs w:val="28"/>
        </w:rPr>
        <w:t>SDAD11A</w:t>
      </w:r>
    </w:p>
    <w:p w14:paraId="26E5A287" w14:textId="77777777" w:rsidR="003D51F0" w:rsidRDefault="003D51F0" w:rsidP="00C2231F">
      <w:pPr>
        <w:pStyle w:val="Default"/>
        <w:spacing w:after="120" w:line="240" w:lineRule="exact"/>
        <w:jc w:val="center"/>
        <w:rPr>
          <w:sz w:val="28"/>
          <w:szCs w:val="28"/>
        </w:rPr>
      </w:pPr>
    </w:p>
    <w:p w14:paraId="66A3059B" w14:textId="28BCFB67" w:rsidR="00C2231F" w:rsidRDefault="00AD0A38" w:rsidP="00C2231F">
      <w:pPr>
        <w:pStyle w:val="Default"/>
        <w:spacing w:after="120" w:line="240" w:lineRule="exact"/>
        <w:jc w:val="center"/>
        <w:rPr>
          <w:sz w:val="28"/>
          <w:szCs w:val="28"/>
        </w:rPr>
      </w:pPr>
      <w:r>
        <w:rPr>
          <w:sz w:val="28"/>
          <w:szCs w:val="28"/>
        </w:rPr>
        <w:t>Submitted by</w:t>
      </w:r>
    </w:p>
    <w:p w14:paraId="3C5BECF8" w14:textId="7D25BA4D" w:rsidR="00AD0A38" w:rsidRPr="008B5E6E" w:rsidRDefault="004A5F3E" w:rsidP="00C2231F">
      <w:pPr>
        <w:pStyle w:val="Default"/>
        <w:spacing w:after="120" w:line="240" w:lineRule="exact"/>
        <w:jc w:val="center"/>
        <w:rPr>
          <w:b/>
          <w:bCs/>
          <w:sz w:val="28"/>
          <w:szCs w:val="28"/>
        </w:rPr>
      </w:pPr>
      <w:r>
        <w:rPr>
          <w:b/>
          <w:bCs/>
          <w:sz w:val="28"/>
          <w:szCs w:val="28"/>
        </w:rPr>
        <w:t>2310030063</w:t>
      </w:r>
      <w:r w:rsidR="00AD0A38" w:rsidRPr="008B5E6E">
        <w:rPr>
          <w:b/>
          <w:bCs/>
          <w:sz w:val="28"/>
          <w:szCs w:val="28"/>
        </w:rPr>
        <w:t xml:space="preserve">: </w:t>
      </w:r>
      <w:r>
        <w:rPr>
          <w:b/>
          <w:bCs/>
          <w:sz w:val="28"/>
          <w:szCs w:val="28"/>
        </w:rPr>
        <w:t>SAHITI MEKALA</w:t>
      </w:r>
    </w:p>
    <w:p w14:paraId="45DAFDB8" w14:textId="7993A1EA" w:rsidR="00AD0A38" w:rsidRPr="008B5E6E" w:rsidRDefault="004A5F3E" w:rsidP="00C2231F">
      <w:pPr>
        <w:pStyle w:val="Default"/>
        <w:spacing w:after="120" w:line="240" w:lineRule="exact"/>
        <w:jc w:val="center"/>
        <w:rPr>
          <w:b/>
          <w:bCs/>
          <w:sz w:val="28"/>
          <w:szCs w:val="28"/>
        </w:rPr>
      </w:pPr>
      <w:r>
        <w:rPr>
          <w:b/>
          <w:bCs/>
          <w:sz w:val="28"/>
          <w:szCs w:val="28"/>
        </w:rPr>
        <w:t>2310030064</w:t>
      </w:r>
      <w:r w:rsidR="00AD0A38" w:rsidRPr="008B5E6E">
        <w:rPr>
          <w:b/>
          <w:bCs/>
          <w:sz w:val="28"/>
          <w:szCs w:val="28"/>
        </w:rPr>
        <w:t xml:space="preserve">: </w:t>
      </w:r>
      <w:r>
        <w:rPr>
          <w:b/>
          <w:bCs/>
          <w:sz w:val="28"/>
          <w:szCs w:val="28"/>
        </w:rPr>
        <w:t>SRAVANTHI MEKALA</w:t>
      </w:r>
    </w:p>
    <w:p w14:paraId="6A848B25" w14:textId="76D2693D" w:rsidR="00365AA2" w:rsidRDefault="004A5F3E" w:rsidP="00C2231F">
      <w:pPr>
        <w:pStyle w:val="Default"/>
        <w:spacing w:after="120" w:line="240" w:lineRule="exact"/>
        <w:jc w:val="center"/>
        <w:rPr>
          <w:b/>
          <w:bCs/>
          <w:sz w:val="28"/>
          <w:szCs w:val="28"/>
        </w:rPr>
      </w:pPr>
      <w:r>
        <w:rPr>
          <w:b/>
          <w:bCs/>
          <w:sz w:val="28"/>
          <w:szCs w:val="28"/>
        </w:rPr>
        <w:t>2310030067</w:t>
      </w:r>
      <w:r w:rsidR="00365AA2" w:rsidRPr="008B5E6E">
        <w:rPr>
          <w:b/>
          <w:bCs/>
          <w:sz w:val="28"/>
          <w:szCs w:val="28"/>
        </w:rPr>
        <w:t xml:space="preserve">: </w:t>
      </w:r>
      <w:r>
        <w:rPr>
          <w:b/>
          <w:bCs/>
          <w:sz w:val="28"/>
          <w:szCs w:val="28"/>
        </w:rPr>
        <w:t>BOYIDI HARSHITHA</w:t>
      </w:r>
    </w:p>
    <w:p w14:paraId="54095CB2" w14:textId="5908FE1B" w:rsidR="004A5F3E" w:rsidRDefault="004A5F3E" w:rsidP="00C2231F">
      <w:pPr>
        <w:pStyle w:val="Default"/>
        <w:spacing w:after="120" w:line="240" w:lineRule="exact"/>
        <w:jc w:val="center"/>
        <w:rPr>
          <w:b/>
          <w:bCs/>
          <w:sz w:val="28"/>
          <w:szCs w:val="28"/>
        </w:rPr>
      </w:pPr>
      <w:r>
        <w:rPr>
          <w:b/>
          <w:bCs/>
          <w:sz w:val="28"/>
          <w:szCs w:val="28"/>
        </w:rPr>
        <w:t>2310030091: ALICE PETER</w:t>
      </w:r>
    </w:p>
    <w:p w14:paraId="040F609D" w14:textId="55830AF1" w:rsidR="004A5F3E" w:rsidRPr="008B5E6E" w:rsidRDefault="004A5F3E" w:rsidP="00C2231F">
      <w:pPr>
        <w:pStyle w:val="Default"/>
        <w:spacing w:after="120" w:line="240" w:lineRule="exact"/>
        <w:jc w:val="center"/>
        <w:rPr>
          <w:b/>
          <w:bCs/>
          <w:sz w:val="28"/>
          <w:szCs w:val="28"/>
        </w:rPr>
      </w:pPr>
      <w:r>
        <w:rPr>
          <w:b/>
          <w:bCs/>
          <w:sz w:val="28"/>
          <w:szCs w:val="28"/>
        </w:rPr>
        <w:t>2310030313: KOTHAPALLY SHIVANI</w:t>
      </w:r>
    </w:p>
    <w:p w14:paraId="064DA148" w14:textId="77777777" w:rsidR="00C2231F" w:rsidRDefault="00C2231F" w:rsidP="00C2231F">
      <w:pPr>
        <w:pStyle w:val="Default"/>
        <w:spacing w:after="120" w:line="240" w:lineRule="exact"/>
        <w:jc w:val="center"/>
        <w:rPr>
          <w:sz w:val="23"/>
          <w:szCs w:val="23"/>
        </w:rPr>
      </w:pPr>
    </w:p>
    <w:p w14:paraId="6B30FC47" w14:textId="77777777" w:rsidR="00C2231F" w:rsidRPr="004273FB" w:rsidRDefault="00C2231F" w:rsidP="00C2231F">
      <w:pPr>
        <w:pStyle w:val="Default"/>
        <w:spacing w:after="200" w:line="360" w:lineRule="auto"/>
        <w:jc w:val="center"/>
        <w:rPr>
          <w:sz w:val="23"/>
          <w:szCs w:val="23"/>
        </w:rPr>
      </w:pPr>
      <w:r w:rsidRPr="004273FB">
        <w:rPr>
          <w:sz w:val="23"/>
          <w:szCs w:val="23"/>
        </w:rPr>
        <w:t>Under the guidance of</w:t>
      </w:r>
    </w:p>
    <w:p w14:paraId="4B3E09AA" w14:textId="228B2F7F" w:rsidR="00C2231F" w:rsidRPr="00142813" w:rsidRDefault="004A5F3E" w:rsidP="00C2231F">
      <w:pPr>
        <w:pStyle w:val="Default"/>
        <w:spacing w:after="200" w:line="360" w:lineRule="auto"/>
        <w:jc w:val="center"/>
        <w:rPr>
          <w:b/>
          <w:bCs/>
        </w:rPr>
      </w:pPr>
      <w:r>
        <w:rPr>
          <w:b/>
          <w:bCs/>
        </w:rPr>
        <w:t xml:space="preserve">Dr. Shadab </w:t>
      </w:r>
      <w:r w:rsidR="00971570">
        <w:rPr>
          <w:b/>
          <w:bCs/>
        </w:rPr>
        <w:t xml:space="preserve">Siddiqui &amp; Dr. UmaRani </w:t>
      </w:r>
      <w:proofErr w:type="spellStart"/>
      <w:r w:rsidR="00971570">
        <w:rPr>
          <w:b/>
          <w:bCs/>
        </w:rPr>
        <w:t>Bodakunta</w:t>
      </w:r>
      <w:proofErr w:type="spellEnd"/>
    </w:p>
    <w:p w14:paraId="3D624626" w14:textId="77777777" w:rsidR="003D51F0" w:rsidRPr="004273FB" w:rsidRDefault="003D51F0" w:rsidP="00C2231F">
      <w:pPr>
        <w:pStyle w:val="Default"/>
        <w:spacing w:after="200" w:line="360" w:lineRule="auto"/>
        <w:jc w:val="center"/>
        <w:rPr>
          <w:b/>
          <w:bCs/>
          <w:sz w:val="23"/>
          <w:szCs w:val="23"/>
        </w:rPr>
      </w:pPr>
    </w:p>
    <w:p w14:paraId="2605953A" w14:textId="3DB104C7" w:rsidR="00C2231F" w:rsidRDefault="003D51F0" w:rsidP="00C2231F">
      <w:pPr>
        <w:pStyle w:val="Default"/>
        <w:spacing w:after="200" w:line="360" w:lineRule="auto"/>
        <w:jc w:val="center"/>
        <w:rPr>
          <w:b/>
          <w:bCs/>
          <w:sz w:val="23"/>
          <w:szCs w:val="23"/>
        </w:rPr>
      </w:pPr>
      <w:r>
        <w:rPr>
          <w:noProof/>
        </w:rPr>
        <w:drawing>
          <wp:inline distT="0" distB="0" distL="0" distR="0" wp14:anchorId="4B11260D" wp14:editId="743FC55C">
            <wp:extent cx="2606040" cy="956845"/>
            <wp:effectExtent l="0" t="0" r="3810" b="0"/>
            <wp:docPr id="1026" name="Picture 2">
              <a:extLst xmlns:a="http://schemas.openxmlformats.org/drawingml/2006/main">
                <a:ext uri="{FF2B5EF4-FFF2-40B4-BE49-F238E27FC236}">
                  <a16:creationId xmlns:a16="http://schemas.microsoft.com/office/drawing/2014/main" id="{9ACD8694-C544-8D7F-F981-577154B58A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9ACD8694-C544-8D7F-F981-577154B58A85}"/>
                        </a:ext>
                      </a:extLst>
                    </pic:cNvPr>
                    <pic:cNvPicPr>
                      <a:picLocks noChangeAspect="1" noChangeArrowheads="1"/>
                    </pic:cNvPicPr>
                  </pic:nvPicPr>
                  <pic:blipFill rotWithShape="1">
                    <a:blip r:embed="rId8">
                      <a:extLst>
                        <a:ext uri="{28A0092B-C50C-407E-A947-70E740481C1C}">
                          <a14:useLocalDpi xmlns:a14="http://schemas.microsoft.com/office/drawing/2010/main" val="0"/>
                        </a:ext>
                      </a:extLst>
                    </a:blip>
                    <a:srcRect t="38755" b="11848"/>
                    <a:stretch/>
                  </pic:blipFill>
                  <pic:spPr bwMode="auto">
                    <a:xfrm>
                      <a:off x="0" y="0"/>
                      <a:ext cx="2644080" cy="970812"/>
                    </a:xfrm>
                    <a:prstGeom prst="rect">
                      <a:avLst/>
                    </a:prstGeom>
                    <a:noFill/>
                  </pic:spPr>
                </pic:pic>
              </a:graphicData>
            </a:graphic>
          </wp:inline>
        </w:drawing>
      </w:r>
    </w:p>
    <w:p w14:paraId="21F3C445" w14:textId="77777777" w:rsidR="003D51F0" w:rsidRPr="004273FB" w:rsidRDefault="003D51F0" w:rsidP="00C2231F">
      <w:pPr>
        <w:pStyle w:val="Default"/>
        <w:spacing w:after="200" w:line="360" w:lineRule="auto"/>
        <w:jc w:val="center"/>
        <w:rPr>
          <w:b/>
          <w:bCs/>
          <w:sz w:val="23"/>
          <w:szCs w:val="23"/>
        </w:rPr>
      </w:pPr>
    </w:p>
    <w:p w14:paraId="3F3A9D13" w14:textId="2E40CA0E" w:rsidR="00C2231F" w:rsidRPr="004273FB" w:rsidRDefault="00C2231F" w:rsidP="00C2231F">
      <w:pPr>
        <w:pStyle w:val="Default"/>
        <w:spacing w:after="200" w:line="360" w:lineRule="auto"/>
        <w:jc w:val="center"/>
        <w:rPr>
          <w:sz w:val="23"/>
          <w:szCs w:val="23"/>
        </w:rPr>
      </w:pPr>
      <w:r w:rsidRPr="004273FB">
        <w:rPr>
          <w:sz w:val="23"/>
          <w:szCs w:val="23"/>
        </w:rPr>
        <w:t xml:space="preserve">Department of </w:t>
      </w:r>
      <w:r w:rsidR="003D51F0">
        <w:rPr>
          <w:sz w:val="23"/>
          <w:szCs w:val="23"/>
        </w:rPr>
        <w:t>Electronics and Communication Engineering</w:t>
      </w:r>
    </w:p>
    <w:p w14:paraId="46A8B4EC" w14:textId="061FA85C" w:rsidR="00C2231F" w:rsidRPr="004273FB" w:rsidRDefault="003D51F0" w:rsidP="00C2231F">
      <w:pPr>
        <w:pStyle w:val="Default"/>
        <w:spacing w:after="200" w:line="360" w:lineRule="auto"/>
        <w:jc w:val="center"/>
        <w:rPr>
          <w:sz w:val="23"/>
          <w:szCs w:val="23"/>
        </w:rPr>
      </w:pPr>
      <w:r w:rsidRPr="003D51F0">
        <w:rPr>
          <w:sz w:val="23"/>
          <w:szCs w:val="23"/>
        </w:rPr>
        <w:t>Koneru Lakshmaiah Education Foundation</w:t>
      </w:r>
      <w:r>
        <w:rPr>
          <w:sz w:val="23"/>
          <w:szCs w:val="23"/>
        </w:rPr>
        <w:t>, Aziz Nagar</w:t>
      </w:r>
    </w:p>
    <w:p w14:paraId="5131A577" w14:textId="2EC61D1C" w:rsidR="00C2231F" w:rsidRPr="004273FB" w:rsidRDefault="003D51F0" w:rsidP="00C2231F">
      <w:pPr>
        <w:pStyle w:val="Default"/>
        <w:spacing w:after="200" w:line="360" w:lineRule="auto"/>
        <w:jc w:val="center"/>
        <w:rPr>
          <w:sz w:val="23"/>
          <w:szCs w:val="23"/>
        </w:rPr>
      </w:pPr>
      <w:r>
        <w:rPr>
          <w:sz w:val="23"/>
          <w:szCs w:val="23"/>
        </w:rPr>
        <w:t>Aziz Nagar</w:t>
      </w:r>
      <w:r w:rsidR="00C2231F" w:rsidRPr="004273FB">
        <w:rPr>
          <w:sz w:val="23"/>
          <w:szCs w:val="23"/>
        </w:rPr>
        <w:t xml:space="preserve"> </w:t>
      </w:r>
      <w:r w:rsidR="00525F2B">
        <w:rPr>
          <w:sz w:val="23"/>
          <w:szCs w:val="23"/>
        </w:rPr>
        <w:t>–</w:t>
      </w:r>
      <w:r w:rsidR="00C2231F" w:rsidRPr="004273FB">
        <w:rPr>
          <w:sz w:val="23"/>
          <w:szCs w:val="23"/>
        </w:rPr>
        <w:t xml:space="preserve"> </w:t>
      </w:r>
      <w:r>
        <w:rPr>
          <w:sz w:val="23"/>
          <w:szCs w:val="23"/>
        </w:rPr>
        <w:t>500075</w:t>
      </w:r>
    </w:p>
    <w:p w14:paraId="12F3081D" w14:textId="6A50CD01" w:rsidR="008D3342" w:rsidRDefault="00D05559" w:rsidP="00C2231F">
      <w:pPr>
        <w:spacing w:line="360" w:lineRule="auto"/>
        <w:rPr>
          <w:sz w:val="23"/>
          <w:szCs w:val="23"/>
        </w:rPr>
        <w:sectPr w:rsidR="008D3342" w:rsidSect="00575EB3">
          <w:footerReference w:type="first" r:id="rId9"/>
          <w:type w:val="continuous"/>
          <w:pgSz w:w="11906" w:h="16838" w:code="9"/>
          <w:pgMar w:top="450" w:right="893" w:bottom="1440" w:left="893" w:header="720" w:footer="720" w:gutter="0"/>
          <w:cols w:space="720"/>
          <w:docGrid w:linePitch="360"/>
        </w:sectPr>
      </w:pPr>
      <w:r>
        <w:rPr>
          <w:sz w:val="23"/>
          <w:szCs w:val="23"/>
        </w:rPr>
        <w:t>FEB</w:t>
      </w:r>
      <w:r w:rsidR="00C2231F" w:rsidRPr="004273FB">
        <w:rPr>
          <w:sz w:val="23"/>
          <w:szCs w:val="23"/>
        </w:rPr>
        <w:t xml:space="preserve"> - 20</w:t>
      </w:r>
      <w:r w:rsidR="003D51F0">
        <w:rPr>
          <w:sz w:val="23"/>
          <w:szCs w:val="23"/>
        </w:rPr>
        <w:t>2</w:t>
      </w:r>
      <w:r>
        <w:rPr>
          <w:sz w:val="23"/>
          <w:szCs w:val="23"/>
        </w:rPr>
        <w:t>5</w:t>
      </w:r>
      <w:r w:rsidR="00C2231F" w:rsidRPr="004273FB">
        <w:rPr>
          <w:sz w:val="23"/>
          <w:szCs w:val="23"/>
        </w:rPr>
        <w:t>.</w:t>
      </w:r>
    </w:p>
    <w:p w14:paraId="5EA13363" w14:textId="4B03D9E2" w:rsidR="00161D38" w:rsidRDefault="00161D38" w:rsidP="008D3342">
      <w:pPr>
        <w:spacing w:line="360" w:lineRule="auto"/>
        <w:rPr>
          <w:b/>
          <w:bCs/>
          <w:kern w:val="48"/>
          <w:sz w:val="30"/>
          <w:szCs w:val="30"/>
        </w:rPr>
      </w:pPr>
      <w:r>
        <w:rPr>
          <w:b/>
          <w:bCs/>
          <w:kern w:val="48"/>
          <w:sz w:val="30"/>
          <w:szCs w:val="30"/>
        </w:rPr>
        <w:lastRenderedPageBreak/>
        <w:t xml:space="preserve">Introduction </w:t>
      </w:r>
    </w:p>
    <w:p w14:paraId="0CBF000C" w14:textId="371593EF" w:rsidR="00161D38" w:rsidRPr="00161D38" w:rsidRDefault="00161D38" w:rsidP="008D3342">
      <w:pPr>
        <w:spacing w:line="360" w:lineRule="auto"/>
        <w:rPr>
          <w:i/>
          <w:iCs/>
          <w:kern w:val="48"/>
          <w:sz w:val="22"/>
          <w:szCs w:val="22"/>
        </w:rPr>
      </w:pPr>
    </w:p>
    <w:p w14:paraId="1CE5B389" w14:textId="77777777" w:rsidR="00161D38" w:rsidRPr="004A5F3E" w:rsidRDefault="00161D38" w:rsidP="004A5F3E">
      <w:pPr>
        <w:spacing w:line="360" w:lineRule="auto"/>
        <w:jc w:val="left"/>
        <w:rPr>
          <w:kern w:val="48"/>
          <w:sz w:val="22"/>
          <w:szCs w:val="22"/>
        </w:rPr>
      </w:pPr>
    </w:p>
    <w:p w14:paraId="1E267876" w14:textId="77777777" w:rsidR="00840D03" w:rsidRPr="00840D03" w:rsidRDefault="00840D03" w:rsidP="00840D03">
      <w:pPr>
        <w:spacing w:line="360" w:lineRule="auto"/>
        <w:jc w:val="left"/>
        <w:rPr>
          <w:kern w:val="48"/>
          <w:sz w:val="22"/>
          <w:szCs w:val="22"/>
          <w:lang w:val="en-IN"/>
        </w:rPr>
      </w:pPr>
      <w:r w:rsidRPr="00840D03">
        <w:rPr>
          <w:kern w:val="48"/>
          <w:sz w:val="22"/>
          <w:szCs w:val="22"/>
          <w:lang w:val="en-IN"/>
        </w:rPr>
        <w:t xml:space="preserve">In recent years, the rapid expansion of the financial sector and digital lending platforms has significantly increased the need for reliable credit risk assessment systems. Financial institutions such as banks, non-banking financial companies (NBFCs), and fintech organizations rely heavily on credit evaluation mechanisms to determine the eligibility of loan applicants. One of the primary indicators used in India for assessing creditworthiness is the score generated by TransUnion CIBIL, which reflects an individual’s credit </w:t>
      </w:r>
      <w:proofErr w:type="spellStart"/>
      <w:r w:rsidRPr="00840D03">
        <w:rPr>
          <w:kern w:val="48"/>
          <w:sz w:val="22"/>
          <w:szCs w:val="22"/>
          <w:lang w:val="en-IN"/>
        </w:rPr>
        <w:t>behavior</w:t>
      </w:r>
      <w:proofErr w:type="spellEnd"/>
      <w:r w:rsidRPr="00840D03">
        <w:rPr>
          <w:kern w:val="48"/>
          <w:sz w:val="22"/>
          <w:szCs w:val="22"/>
          <w:lang w:val="en-IN"/>
        </w:rPr>
        <w:t xml:space="preserve"> and repayment capacity. However, while a credit score provides a summary of financial reliability, it alone may not fully capture the complexity of an applicant’s financial risk profile.</w:t>
      </w:r>
    </w:p>
    <w:p w14:paraId="44E80AC1" w14:textId="77777777" w:rsidR="00840D03" w:rsidRPr="00840D03" w:rsidRDefault="00840D03" w:rsidP="00840D03">
      <w:pPr>
        <w:spacing w:line="360" w:lineRule="auto"/>
        <w:jc w:val="left"/>
        <w:rPr>
          <w:kern w:val="48"/>
          <w:sz w:val="22"/>
          <w:szCs w:val="22"/>
          <w:lang w:val="en-IN"/>
        </w:rPr>
      </w:pPr>
      <w:r w:rsidRPr="00840D03">
        <w:rPr>
          <w:kern w:val="48"/>
          <w:sz w:val="22"/>
          <w:szCs w:val="22"/>
          <w:lang w:val="en-IN"/>
        </w:rPr>
        <w:t>Existing literature highlights that credit risk assessment models have evolved from traditional statistical approaches to advanced machine learning techniques. Earlier models such as logistic regression and decision trees were widely used to classify borrowers based on financial attributes. These models primarily focused on structured financial data including income, outstanding debts, repayment history, and credit utilization ratio. Over time, research has demonstrated that incorporating multiple financial indicators improves the predictive accuracy of loan default risk. Studies emphasize that factors such as payment consistency, debt-to-income ratio, length of credit history, and frequency of credit inquiries significantly influence default probability.</w:t>
      </w:r>
    </w:p>
    <w:p w14:paraId="14F15752" w14:textId="77777777" w:rsidR="00840D03" w:rsidRPr="00840D03" w:rsidRDefault="00840D03" w:rsidP="00840D03">
      <w:pPr>
        <w:spacing w:line="360" w:lineRule="auto"/>
        <w:jc w:val="left"/>
        <w:rPr>
          <w:kern w:val="48"/>
          <w:sz w:val="22"/>
          <w:szCs w:val="22"/>
          <w:lang w:val="en-IN"/>
        </w:rPr>
      </w:pPr>
      <w:r w:rsidRPr="00840D03">
        <w:rPr>
          <w:kern w:val="48"/>
          <w:sz w:val="22"/>
          <w:szCs w:val="22"/>
          <w:lang w:val="en-IN"/>
        </w:rPr>
        <w:t>With the advancement of data analytics and artificial intelligence, modern credit risk prediction systems employ supervised learning algorithms to classify applicants into predefined risk categories such as low, medium, or high risk. Machine learning models such as Random Forest, Support Vector Machines, and Neural Networks have shown improved performance in identifying patterns within large financial datasets. These approaches enhance decision-making by reducing human bias and increasing prediction accuracy. Additionally, automated risk classification systems support financial institutions in minimizing non-performing assets (NPAs) and optimizing lending strategies.</w:t>
      </w:r>
    </w:p>
    <w:p w14:paraId="09AFAA07" w14:textId="77777777" w:rsidR="00840D03" w:rsidRPr="00840D03" w:rsidRDefault="00840D03" w:rsidP="00840D03">
      <w:pPr>
        <w:spacing w:line="360" w:lineRule="auto"/>
        <w:jc w:val="left"/>
        <w:rPr>
          <w:kern w:val="48"/>
          <w:sz w:val="22"/>
          <w:szCs w:val="22"/>
          <w:lang w:val="en-IN"/>
        </w:rPr>
      </w:pPr>
      <w:r w:rsidRPr="00840D03">
        <w:rPr>
          <w:kern w:val="48"/>
          <w:sz w:val="22"/>
          <w:szCs w:val="22"/>
          <w:lang w:val="en-IN"/>
        </w:rPr>
        <w:t xml:space="preserve">The proposed CIBL Score Risk Analyzer system is aligned with these contemporary research developments. It evaluates an individual’s creditworthiness by </w:t>
      </w:r>
      <w:proofErr w:type="spellStart"/>
      <w:r w:rsidRPr="00840D03">
        <w:rPr>
          <w:kern w:val="48"/>
          <w:sz w:val="22"/>
          <w:szCs w:val="22"/>
          <w:lang w:val="en-IN"/>
        </w:rPr>
        <w:t>analyzing</w:t>
      </w:r>
      <w:proofErr w:type="spellEnd"/>
      <w:r w:rsidRPr="00840D03">
        <w:rPr>
          <w:kern w:val="48"/>
          <w:sz w:val="22"/>
          <w:szCs w:val="22"/>
          <w:lang w:val="en-IN"/>
        </w:rPr>
        <w:t xml:space="preserve"> multiple financial parameters including credit score, income level, existing debts, repayment </w:t>
      </w:r>
      <w:proofErr w:type="spellStart"/>
      <w:r w:rsidRPr="00840D03">
        <w:rPr>
          <w:kern w:val="48"/>
          <w:sz w:val="22"/>
          <w:szCs w:val="22"/>
          <w:lang w:val="en-IN"/>
        </w:rPr>
        <w:t>behavior</w:t>
      </w:r>
      <w:proofErr w:type="spellEnd"/>
      <w:r w:rsidRPr="00840D03">
        <w:rPr>
          <w:kern w:val="48"/>
          <w:sz w:val="22"/>
          <w:szCs w:val="22"/>
          <w:lang w:val="en-IN"/>
        </w:rPr>
        <w:t>, and credit utilization ratio. By integrating these variables into a structured risk assessment framework, the system categorizes loan applicants into low, medium, or high-risk groups. This classification assists financial institutions in making informed lending decisions while reducing potential financial losses caused by loan defaults.</w:t>
      </w:r>
    </w:p>
    <w:p w14:paraId="331A7BBA" w14:textId="77777777" w:rsidR="00840D03" w:rsidRPr="00840D03" w:rsidRDefault="00840D03" w:rsidP="00840D03">
      <w:pPr>
        <w:spacing w:line="360" w:lineRule="auto"/>
        <w:jc w:val="left"/>
        <w:rPr>
          <w:kern w:val="48"/>
          <w:sz w:val="22"/>
          <w:szCs w:val="22"/>
          <w:lang w:val="en-IN"/>
        </w:rPr>
      </w:pPr>
      <w:r w:rsidRPr="00840D03">
        <w:rPr>
          <w:kern w:val="48"/>
          <w:sz w:val="22"/>
          <w:szCs w:val="22"/>
          <w:lang w:val="en-IN"/>
        </w:rPr>
        <w:t xml:space="preserve">Overall, the literature suggests that multi-factor credit risk evaluation systems significantly enhance predictive reliability compared to single-score assessments. The development of a comprehensive risk </w:t>
      </w:r>
      <w:proofErr w:type="spellStart"/>
      <w:r w:rsidRPr="00840D03">
        <w:rPr>
          <w:kern w:val="48"/>
          <w:sz w:val="22"/>
          <w:szCs w:val="22"/>
          <w:lang w:val="en-IN"/>
        </w:rPr>
        <w:t>analyzer</w:t>
      </w:r>
      <w:proofErr w:type="spellEnd"/>
      <w:r w:rsidRPr="00840D03">
        <w:rPr>
          <w:kern w:val="48"/>
          <w:sz w:val="22"/>
          <w:szCs w:val="22"/>
          <w:lang w:val="en-IN"/>
        </w:rPr>
        <w:t xml:space="preserve"> contributes to this domain by combining traditional financial indicators with data-driven classification techniques. Such systems not only improve operational efficiency in lending processes but also strengthen the stability of financial institutions by proactively managing credit risk.</w:t>
      </w:r>
    </w:p>
    <w:p w14:paraId="468614D0" w14:textId="1372E822" w:rsidR="00161D38" w:rsidRPr="00840D03" w:rsidRDefault="004A5F3E" w:rsidP="00840D03">
      <w:pPr>
        <w:spacing w:line="360" w:lineRule="auto"/>
        <w:jc w:val="left"/>
        <w:rPr>
          <w:kern w:val="48"/>
          <w:sz w:val="22"/>
          <w:szCs w:val="22"/>
        </w:rPr>
      </w:pPr>
      <w:r w:rsidRPr="004A5F3E">
        <w:rPr>
          <w:kern w:val="48"/>
          <w:sz w:val="22"/>
          <w:szCs w:val="22"/>
        </w:rPr>
        <w:br/>
      </w:r>
    </w:p>
    <w:p w14:paraId="2209D916" w14:textId="1935F151" w:rsidR="008D3342" w:rsidRDefault="00161D38" w:rsidP="008D3342">
      <w:pPr>
        <w:spacing w:line="360" w:lineRule="auto"/>
        <w:rPr>
          <w:b/>
          <w:bCs/>
          <w:kern w:val="48"/>
          <w:sz w:val="30"/>
          <w:szCs w:val="30"/>
        </w:rPr>
      </w:pPr>
      <w:r>
        <w:rPr>
          <w:b/>
          <w:bCs/>
          <w:kern w:val="48"/>
          <w:sz w:val="30"/>
          <w:szCs w:val="30"/>
        </w:rPr>
        <w:lastRenderedPageBreak/>
        <w:t>Literature Review/</w:t>
      </w:r>
      <w:r w:rsidRPr="00161D38">
        <w:t xml:space="preserve"> </w:t>
      </w:r>
      <w:r w:rsidRPr="00161D38">
        <w:rPr>
          <w:b/>
          <w:bCs/>
          <w:kern w:val="48"/>
          <w:sz w:val="30"/>
          <w:szCs w:val="30"/>
        </w:rPr>
        <w:t>Application Survey</w:t>
      </w:r>
    </w:p>
    <w:p w14:paraId="2AB3350E" w14:textId="61CB1377" w:rsidR="00161D38" w:rsidRDefault="00161D38" w:rsidP="00161D38">
      <w:pPr>
        <w:spacing w:line="360" w:lineRule="auto"/>
        <w:rPr>
          <w:i/>
          <w:iCs/>
          <w:kern w:val="48"/>
          <w:sz w:val="22"/>
          <w:szCs w:val="22"/>
        </w:rPr>
      </w:pPr>
    </w:p>
    <w:p w14:paraId="787293C0" w14:textId="77777777" w:rsidR="00840D03" w:rsidRPr="00840D03" w:rsidRDefault="00840D03" w:rsidP="00840D03">
      <w:pPr>
        <w:spacing w:line="360" w:lineRule="auto"/>
        <w:jc w:val="left"/>
        <w:rPr>
          <w:kern w:val="48"/>
          <w:sz w:val="22"/>
          <w:szCs w:val="22"/>
          <w:lang w:val="en-IN"/>
        </w:rPr>
      </w:pPr>
      <w:r w:rsidRPr="00840D03">
        <w:rPr>
          <w:kern w:val="48"/>
          <w:sz w:val="22"/>
          <w:szCs w:val="22"/>
          <w:lang w:val="en-IN"/>
        </w:rPr>
        <w:t xml:space="preserve">Credit risk assessment has been a critical area of research in banking and financial services due to its direct impact on institutional profitability and economic stability. Traditional credit evaluation systems were primarily manual and rule-based, where lending decisions were made using fixed eligibility criteria such as income thresholds, employment stability, and past repayment </w:t>
      </w:r>
      <w:proofErr w:type="spellStart"/>
      <w:r w:rsidRPr="00840D03">
        <w:rPr>
          <w:kern w:val="48"/>
          <w:sz w:val="22"/>
          <w:szCs w:val="22"/>
          <w:lang w:val="en-IN"/>
        </w:rPr>
        <w:t>behavior</w:t>
      </w:r>
      <w:proofErr w:type="spellEnd"/>
      <w:r w:rsidRPr="00840D03">
        <w:rPr>
          <w:kern w:val="48"/>
          <w:sz w:val="22"/>
          <w:szCs w:val="22"/>
          <w:lang w:val="en-IN"/>
        </w:rPr>
        <w:t>. Over time, financial institutions began relying on credit bureau scores generated by organizations like TransUnion CIBIL to standardize borrower evaluation. While credit scores provide a quick numerical summary of creditworthiness, studies indicate that relying solely on a single score may not sufficiently capture an applicant’s overall financial risk.</w:t>
      </w:r>
    </w:p>
    <w:p w14:paraId="5E9B1B58" w14:textId="77777777" w:rsidR="00840D03" w:rsidRPr="00840D03" w:rsidRDefault="00840D03" w:rsidP="00840D03">
      <w:pPr>
        <w:spacing w:line="360" w:lineRule="auto"/>
        <w:jc w:val="left"/>
        <w:rPr>
          <w:kern w:val="48"/>
          <w:sz w:val="22"/>
          <w:szCs w:val="22"/>
          <w:lang w:val="en-IN"/>
        </w:rPr>
      </w:pPr>
      <w:r w:rsidRPr="00840D03">
        <w:rPr>
          <w:kern w:val="48"/>
          <w:sz w:val="22"/>
          <w:szCs w:val="22"/>
          <w:lang w:val="en-IN"/>
        </w:rPr>
        <w:t>Several research works have explored statistical models such as Logistic Regression, Naïve Bayes, and Decision Trees for predicting loan default probability. These models utilize financial indicators including credit score, debt-to-income ratio, loan amount, repayment history, and credit utilization ratio. Findings from prior studies suggest that repayment history and credit utilization are among the strongest predictors of default risk. Furthermore, comparative analyses demonstrate that combining multiple financial attributes significantly improves classification accuracy compared to using credit score alone.</w:t>
      </w:r>
    </w:p>
    <w:p w14:paraId="7F74DCB3" w14:textId="77777777" w:rsidR="00840D03" w:rsidRPr="00840D03" w:rsidRDefault="00840D03" w:rsidP="00840D03">
      <w:pPr>
        <w:spacing w:line="360" w:lineRule="auto"/>
        <w:jc w:val="left"/>
        <w:rPr>
          <w:kern w:val="48"/>
          <w:sz w:val="22"/>
          <w:szCs w:val="22"/>
          <w:lang w:val="en-IN"/>
        </w:rPr>
      </w:pPr>
      <w:r w:rsidRPr="00840D03">
        <w:rPr>
          <w:kern w:val="48"/>
          <w:sz w:val="22"/>
          <w:szCs w:val="22"/>
          <w:lang w:val="en-IN"/>
        </w:rPr>
        <w:t xml:space="preserve">In recent years, machine learning techniques have gained popularity in credit risk prediction. Algorithms such as Random Forest, Support Vector Machines (SVM), Gradient Boosting, and Artificial Neural Networks have shown improved predictive performance when applied to large-scale financial datasets. These techniques </w:t>
      </w:r>
      <w:proofErr w:type="gramStart"/>
      <w:r w:rsidRPr="00840D03">
        <w:rPr>
          <w:kern w:val="48"/>
          <w:sz w:val="22"/>
          <w:szCs w:val="22"/>
          <w:lang w:val="en-IN"/>
        </w:rPr>
        <w:t>are capable of identifying</w:t>
      </w:r>
      <w:proofErr w:type="gramEnd"/>
      <w:r w:rsidRPr="00840D03">
        <w:rPr>
          <w:kern w:val="48"/>
          <w:sz w:val="22"/>
          <w:szCs w:val="22"/>
          <w:lang w:val="en-IN"/>
        </w:rPr>
        <w:t xml:space="preserve"> hidden patterns and nonlinear relationships between variables, which traditional statistical models may overlook. Research also emphasizes the importance of data preprocessing, feature selection, and model validation to enhance prediction reliability and prevent overfitting.</w:t>
      </w:r>
    </w:p>
    <w:p w14:paraId="4143C825" w14:textId="77777777" w:rsidR="00840D03" w:rsidRPr="00840D03" w:rsidRDefault="00840D03" w:rsidP="00840D03">
      <w:pPr>
        <w:spacing w:line="360" w:lineRule="auto"/>
        <w:jc w:val="left"/>
        <w:rPr>
          <w:kern w:val="48"/>
          <w:sz w:val="22"/>
          <w:szCs w:val="22"/>
          <w:lang w:val="en-IN"/>
        </w:rPr>
      </w:pPr>
      <w:r w:rsidRPr="00840D03">
        <w:rPr>
          <w:kern w:val="48"/>
          <w:sz w:val="22"/>
          <w:szCs w:val="22"/>
          <w:lang w:val="en-IN"/>
        </w:rPr>
        <w:t>Application-wise, modern banking systems and fintech platforms have implemented automated credit risk evaluation systems to streamline loan approval processes. Digital lending platforms integrate applicant data in real time and classify borrowers into risk categories such as low, medium, or high risk. This automation reduces processing time, minimizes human bias, and improves decision consistency. Additionally, predictive risk classification helps financial institutions reduce non-performing assets (NPAs) and optimize portfolio management strategies.</w:t>
      </w:r>
    </w:p>
    <w:p w14:paraId="60621CDD" w14:textId="77777777" w:rsidR="00840D03" w:rsidRPr="00840D03" w:rsidRDefault="00840D03" w:rsidP="00840D03">
      <w:pPr>
        <w:spacing w:line="360" w:lineRule="auto"/>
        <w:jc w:val="left"/>
        <w:rPr>
          <w:kern w:val="48"/>
          <w:sz w:val="22"/>
          <w:szCs w:val="22"/>
          <w:lang w:val="en-IN"/>
        </w:rPr>
      </w:pPr>
      <w:r w:rsidRPr="00840D03">
        <w:rPr>
          <w:kern w:val="48"/>
          <w:sz w:val="22"/>
          <w:szCs w:val="22"/>
          <w:lang w:val="en-IN"/>
        </w:rPr>
        <w:t>The proposed CIBL Score Risk Analyzer aligns with these existing applications by incorporating multiple financial factors, including credit score, income, debts, repayment history, and credit utilization. Unlike traditional systems that depend solely on credit score thresholds, this system adopts a multi-factor evaluation approach to categorize applicants into risk levels. By integrating data-driven analysis with structured financial parameters, the system enhances decision-making accuracy and supports institutions in mitigating financial losses due to loan defaults.</w:t>
      </w:r>
    </w:p>
    <w:p w14:paraId="69CF5043" w14:textId="58F62E98" w:rsidR="004A5F3E" w:rsidRPr="00840D03" w:rsidRDefault="00840D03" w:rsidP="004A5F3E">
      <w:pPr>
        <w:spacing w:line="360" w:lineRule="auto"/>
        <w:jc w:val="left"/>
        <w:rPr>
          <w:kern w:val="48"/>
          <w:sz w:val="22"/>
          <w:szCs w:val="22"/>
          <w:lang w:val="en-IN"/>
        </w:rPr>
      </w:pPr>
      <w:r w:rsidRPr="00840D03">
        <w:rPr>
          <w:kern w:val="48"/>
          <w:sz w:val="22"/>
          <w:szCs w:val="22"/>
          <w:lang w:val="en-IN"/>
        </w:rPr>
        <w:t xml:space="preserve">Overall, the literature and application survey indicate a clear shift from manual and single-parameter credit assessment methods to automated, multi-attribute, and machine learning-based risk evaluation systems. The development of a comprehensive credit risk </w:t>
      </w:r>
      <w:proofErr w:type="spellStart"/>
      <w:r w:rsidRPr="00840D03">
        <w:rPr>
          <w:kern w:val="48"/>
          <w:sz w:val="22"/>
          <w:szCs w:val="22"/>
          <w:lang w:val="en-IN"/>
        </w:rPr>
        <w:t>analyzer</w:t>
      </w:r>
      <w:proofErr w:type="spellEnd"/>
      <w:r w:rsidRPr="00840D03">
        <w:rPr>
          <w:kern w:val="48"/>
          <w:sz w:val="22"/>
          <w:szCs w:val="22"/>
          <w:lang w:val="en-IN"/>
        </w:rPr>
        <w:t xml:space="preserve"> contributes to this evolving field by providing a structured and efficient framework for loan risk prediction in modern financial environments.</w:t>
      </w:r>
    </w:p>
    <w:p w14:paraId="2FE91722" w14:textId="77777777" w:rsidR="004A5F3E" w:rsidRDefault="004A5F3E" w:rsidP="004A5F3E">
      <w:pPr>
        <w:spacing w:line="360" w:lineRule="auto"/>
        <w:jc w:val="left"/>
        <w:rPr>
          <w:kern w:val="48"/>
          <w:sz w:val="22"/>
          <w:szCs w:val="22"/>
        </w:rPr>
      </w:pPr>
    </w:p>
    <w:p w14:paraId="2ED90095" w14:textId="7A0DE702" w:rsidR="00BB2D06" w:rsidRDefault="00BB2D06" w:rsidP="008D3342">
      <w:pPr>
        <w:spacing w:line="360" w:lineRule="auto"/>
        <w:rPr>
          <w:b/>
          <w:kern w:val="48"/>
          <w:sz w:val="30"/>
          <w:szCs w:val="30"/>
        </w:rPr>
      </w:pPr>
      <w:r w:rsidRPr="00BB2D06">
        <w:rPr>
          <w:b/>
          <w:kern w:val="48"/>
          <w:sz w:val="30"/>
          <w:szCs w:val="30"/>
        </w:rPr>
        <w:t>References</w:t>
      </w:r>
    </w:p>
    <w:p w14:paraId="33C65D90" w14:textId="77777777" w:rsidR="004A5F3E" w:rsidRDefault="004A5F3E" w:rsidP="008D3342">
      <w:pPr>
        <w:spacing w:line="360" w:lineRule="auto"/>
        <w:rPr>
          <w:b/>
          <w:kern w:val="48"/>
          <w:sz w:val="30"/>
          <w:szCs w:val="30"/>
        </w:rPr>
      </w:pPr>
    </w:p>
    <w:p w14:paraId="1102DAAC" w14:textId="77777777" w:rsidR="00840D03" w:rsidRDefault="00840D03" w:rsidP="00840D03">
      <w:pPr>
        <w:spacing w:line="360" w:lineRule="auto"/>
        <w:jc w:val="left"/>
        <w:rPr>
          <w:bCs/>
          <w:kern w:val="48"/>
          <w:sz w:val="22"/>
          <w:szCs w:val="22"/>
          <w:lang w:val="en-IN"/>
        </w:rPr>
      </w:pPr>
      <w:r w:rsidRPr="00840D03">
        <w:rPr>
          <w:bCs/>
          <w:kern w:val="48"/>
          <w:sz w:val="22"/>
          <w:szCs w:val="22"/>
          <w:lang w:val="en-IN"/>
        </w:rPr>
        <w:t xml:space="preserve">[1] T. Hastie, R. </w:t>
      </w:r>
      <w:proofErr w:type="spellStart"/>
      <w:r w:rsidRPr="00840D03">
        <w:rPr>
          <w:bCs/>
          <w:kern w:val="48"/>
          <w:sz w:val="22"/>
          <w:szCs w:val="22"/>
          <w:lang w:val="en-IN"/>
        </w:rPr>
        <w:t>Tibshirani</w:t>
      </w:r>
      <w:proofErr w:type="spellEnd"/>
      <w:r w:rsidRPr="00840D03">
        <w:rPr>
          <w:bCs/>
          <w:kern w:val="48"/>
          <w:sz w:val="22"/>
          <w:szCs w:val="22"/>
          <w:lang w:val="en-IN"/>
        </w:rPr>
        <w:t xml:space="preserve">, and J. Friedman, </w:t>
      </w:r>
      <w:r w:rsidRPr="00840D03">
        <w:rPr>
          <w:bCs/>
          <w:i/>
          <w:iCs/>
          <w:kern w:val="48"/>
          <w:sz w:val="22"/>
          <w:szCs w:val="22"/>
          <w:lang w:val="en-IN"/>
        </w:rPr>
        <w:t>The Elements of Statistical Learning: Data Mining, Inference, and Prediction</w:t>
      </w:r>
      <w:r w:rsidRPr="00840D03">
        <w:rPr>
          <w:bCs/>
          <w:kern w:val="48"/>
          <w:sz w:val="22"/>
          <w:szCs w:val="22"/>
          <w:lang w:val="en-IN"/>
        </w:rPr>
        <w:t>, 2nd ed., Springer, 2009.</w:t>
      </w:r>
    </w:p>
    <w:p w14:paraId="69FEB2BE" w14:textId="77777777" w:rsidR="00840D03" w:rsidRPr="00840D03" w:rsidRDefault="00840D03" w:rsidP="00840D03">
      <w:pPr>
        <w:spacing w:line="360" w:lineRule="auto"/>
        <w:jc w:val="left"/>
        <w:rPr>
          <w:bCs/>
          <w:kern w:val="48"/>
          <w:sz w:val="22"/>
          <w:szCs w:val="22"/>
          <w:lang w:val="en-IN"/>
        </w:rPr>
      </w:pPr>
    </w:p>
    <w:p w14:paraId="358BC151" w14:textId="77777777" w:rsidR="00840D03" w:rsidRDefault="00840D03" w:rsidP="00840D03">
      <w:pPr>
        <w:spacing w:line="360" w:lineRule="auto"/>
        <w:jc w:val="left"/>
        <w:rPr>
          <w:bCs/>
          <w:kern w:val="48"/>
          <w:sz w:val="22"/>
          <w:szCs w:val="22"/>
          <w:lang w:val="en-IN"/>
        </w:rPr>
      </w:pPr>
      <w:r w:rsidRPr="00840D03">
        <w:rPr>
          <w:bCs/>
          <w:kern w:val="48"/>
          <w:sz w:val="22"/>
          <w:szCs w:val="22"/>
          <w:lang w:val="en-IN"/>
        </w:rPr>
        <w:t xml:space="preserve">[2] L. C. Thomas, “A Survey of Credit and Behavioural Scoring: Forecasting Financial Risk of Lending to Consumers,” </w:t>
      </w:r>
      <w:r w:rsidRPr="00840D03">
        <w:rPr>
          <w:bCs/>
          <w:i/>
          <w:iCs/>
          <w:kern w:val="48"/>
          <w:sz w:val="22"/>
          <w:szCs w:val="22"/>
          <w:lang w:val="en-IN"/>
        </w:rPr>
        <w:t>International Journal of Forecasting</w:t>
      </w:r>
      <w:r w:rsidRPr="00840D03">
        <w:rPr>
          <w:bCs/>
          <w:kern w:val="48"/>
          <w:sz w:val="22"/>
          <w:szCs w:val="22"/>
          <w:lang w:val="en-IN"/>
        </w:rPr>
        <w:t>, vol. 16, no. 2, pp. 149–172, 2000.</w:t>
      </w:r>
    </w:p>
    <w:p w14:paraId="3060C6AD" w14:textId="77777777" w:rsidR="00840D03" w:rsidRPr="00840D03" w:rsidRDefault="00840D03" w:rsidP="00840D03">
      <w:pPr>
        <w:spacing w:line="360" w:lineRule="auto"/>
        <w:jc w:val="left"/>
        <w:rPr>
          <w:bCs/>
          <w:kern w:val="48"/>
          <w:sz w:val="22"/>
          <w:szCs w:val="22"/>
          <w:lang w:val="en-IN"/>
        </w:rPr>
      </w:pPr>
    </w:p>
    <w:p w14:paraId="4D84092E" w14:textId="77777777" w:rsidR="00840D03" w:rsidRDefault="00840D03" w:rsidP="00840D03">
      <w:pPr>
        <w:spacing w:line="360" w:lineRule="auto"/>
        <w:jc w:val="left"/>
        <w:rPr>
          <w:bCs/>
          <w:kern w:val="48"/>
          <w:sz w:val="22"/>
          <w:szCs w:val="22"/>
          <w:lang w:val="en-IN"/>
        </w:rPr>
      </w:pPr>
      <w:r w:rsidRPr="00840D03">
        <w:rPr>
          <w:bCs/>
          <w:kern w:val="48"/>
          <w:sz w:val="22"/>
          <w:szCs w:val="22"/>
          <w:lang w:val="en-IN"/>
        </w:rPr>
        <w:t xml:space="preserve">[3] D. Hand and W. Henley, “Statistical Classification Methods in Consumer Credit Scoring: A Review,” </w:t>
      </w:r>
      <w:r w:rsidRPr="00840D03">
        <w:rPr>
          <w:bCs/>
          <w:i/>
          <w:iCs/>
          <w:kern w:val="48"/>
          <w:sz w:val="22"/>
          <w:szCs w:val="22"/>
          <w:lang w:val="en-IN"/>
        </w:rPr>
        <w:t>Journal of the Royal Statistical Society: Series A</w:t>
      </w:r>
      <w:r w:rsidRPr="00840D03">
        <w:rPr>
          <w:bCs/>
          <w:kern w:val="48"/>
          <w:sz w:val="22"/>
          <w:szCs w:val="22"/>
          <w:lang w:val="en-IN"/>
        </w:rPr>
        <w:t>, vol. 160, no. 3, pp. 523–541, 1997.</w:t>
      </w:r>
    </w:p>
    <w:p w14:paraId="6043A732" w14:textId="77777777" w:rsidR="00840D03" w:rsidRPr="00840D03" w:rsidRDefault="00840D03" w:rsidP="00840D03">
      <w:pPr>
        <w:spacing w:line="360" w:lineRule="auto"/>
        <w:jc w:val="left"/>
        <w:rPr>
          <w:bCs/>
          <w:kern w:val="48"/>
          <w:sz w:val="22"/>
          <w:szCs w:val="22"/>
          <w:lang w:val="en-IN"/>
        </w:rPr>
      </w:pPr>
    </w:p>
    <w:p w14:paraId="5D6111DC" w14:textId="77777777" w:rsidR="00840D03" w:rsidRDefault="00840D03" w:rsidP="00840D03">
      <w:pPr>
        <w:spacing w:line="360" w:lineRule="auto"/>
        <w:jc w:val="left"/>
        <w:rPr>
          <w:bCs/>
          <w:kern w:val="48"/>
          <w:sz w:val="22"/>
          <w:szCs w:val="22"/>
          <w:lang w:val="en-IN"/>
        </w:rPr>
      </w:pPr>
      <w:r w:rsidRPr="00840D03">
        <w:rPr>
          <w:bCs/>
          <w:kern w:val="48"/>
          <w:sz w:val="22"/>
          <w:szCs w:val="22"/>
          <w:lang w:val="en-IN"/>
        </w:rPr>
        <w:t xml:space="preserve">[4] E. I. Altman, “Financial Ratios, Discriminant Analysis and the Prediction of Corporate Bankruptcy,” </w:t>
      </w:r>
      <w:r w:rsidRPr="00840D03">
        <w:rPr>
          <w:bCs/>
          <w:i/>
          <w:iCs/>
          <w:kern w:val="48"/>
          <w:sz w:val="22"/>
          <w:szCs w:val="22"/>
          <w:lang w:val="en-IN"/>
        </w:rPr>
        <w:t>The Journal of Finance</w:t>
      </w:r>
      <w:r w:rsidRPr="00840D03">
        <w:rPr>
          <w:bCs/>
          <w:kern w:val="48"/>
          <w:sz w:val="22"/>
          <w:szCs w:val="22"/>
          <w:lang w:val="en-IN"/>
        </w:rPr>
        <w:t>, vol. 23, no. 4, pp. 589–609, 1968.</w:t>
      </w:r>
    </w:p>
    <w:p w14:paraId="4E6CC28F" w14:textId="77777777" w:rsidR="00840D03" w:rsidRPr="00840D03" w:rsidRDefault="00840D03" w:rsidP="00840D03">
      <w:pPr>
        <w:spacing w:line="360" w:lineRule="auto"/>
        <w:jc w:val="left"/>
        <w:rPr>
          <w:bCs/>
          <w:kern w:val="48"/>
          <w:sz w:val="22"/>
          <w:szCs w:val="22"/>
          <w:lang w:val="en-IN"/>
        </w:rPr>
      </w:pPr>
    </w:p>
    <w:p w14:paraId="6FF71131" w14:textId="77777777" w:rsidR="00840D03" w:rsidRDefault="00840D03" w:rsidP="00840D03">
      <w:pPr>
        <w:spacing w:line="360" w:lineRule="auto"/>
        <w:jc w:val="left"/>
        <w:rPr>
          <w:bCs/>
          <w:kern w:val="48"/>
          <w:sz w:val="22"/>
          <w:szCs w:val="22"/>
          <w:lang w:val="en-IN"/>
        </w:rPr>
      </w:pPr>
      <w:r w:rsidRPr="00840D03">
        <w:rPr>
          <w:bCs/>
          <w:kern w:val="48"/>
          <w:sz w:val="22"/>
          <w:szCs w:val="22"/>
          <w:lang w:val="en-IN"/>
        </w:rPr>
        <w:t xml:space="preserve">[5] A. Lessmann, B. </w:t>
      </w:r>
      <w:proofErr w:type="spellStart"/>
      <w:r w:rsidRPr="00840D03">
        <w:rPr>
          <w:bCs/>
          <w:kern w:val="48"/>
          <w:sz w:val="22"/>
          <w:szCs w:val="22"/>
          <w:lang w:val="en-IN"/>
        </w:rPr>
        <w:t>Baesens</w:t>
      </w:r>
      <w:proofErr w:type="spellEnd"/>
      <w:r w:rsidRPr="00840D03">
        <w:rPr>
          <w:bCs/>
          <w:kern w:val="48"/>
          <w:sz w:val="22"/>
          <w:szCs w:val="22"/>
          <w:lang w:val="en-IN"/>
        </w:rPr>
        <w:t xml:space="preserve">, H. V. Seow, and L. C. Thomas, “Benchmarking State-of-the-Art Classification Algorithms for Credit Scoring: An Update of Research,” </w:t>
      </w:r>
      <w:r w:rsidRPr="00840D03">
        <w:rPr>
          <w:bCs/>
          <w:i/>
          <w:iCs/>
          <w:kern w:val="48"/>
          <w:sz w:val="22"/>
          <w:szCs w:val="22"/>
          <w:lang w:val="en-IN"/>
        </w:rPr>
        <w:t>European Journal of Operational Research</w:t>
      </w:r>
      <w:r w:rsidRPr="00840D03">
        <w:rPr>
          <w:bCs/>
          <w:kern w:val="48"/>
          <w:sz w:val="22"/>
          <w:szCs w:val="22"/>
          <w:lang w:val="en-IN"/>
        </w:rPr>
        <w:t>, vol. 247, no. 1, pp. 124–136, 2015.</w:t>
      </w:r>
    </w:p>
    <w:p w14:paraId="29E6D2A2" w14:textId="77777777" w:rsidR="00840D03" w:rsidRPr="00840D03" w:rsidRDefault="00840D03" w:rsidP="00840D03">
      <w:pPr>
        <w:spacing w:line="360" w:lineRule="auto"/>
        <w:jc w:val="left"/>
        <w:rPr>
          <w:bCs/>
          <w:kern w:val="48"/>
          <w:sz w:val="22"/>
          <w:szCs w:val="22"/>
          <w:lang w:val="en-IN"/>
        </w:rPr>
      </w:pPr>
    </w:p>
    <w:p w14:paraId="745B70B2" w14:textId="77777777" w:rsidR="00840D03" w:rsidRDefault="00840D03" w:rsidP="00840D03">
      <w:pPr>
        <w:spacing w:line="360" w:lineRule="auto"/>
        <w:jc w:val="left"/>
        <w:rPr>
          <w:bCs/>
          <w:kern w:val="48"/>
          <w:sz w:val="22"/>
          <w:szCs w:val="22"/>
          <w:lang w:val="en-IN"/>
        </w:rPr>
      </w:pPr>
      <w:r w:rsidRPr="00840D03">
        <w:rPr>
          <w:bCs/>
          <w:kern w:val="48"/>
          <w:sz w:val="22"/>
          <w:szCs w:val="22"/>
          <w:lang w:val="en-IN"/>
        </w:rPr>
        <w:t xml:space="preserve">[6] B. </w:t>
      </w:r>
      <w:proofErr w:type="spellStart"/>
      <w:r w:rsidRPr="00840D03">
        <w:rPr>
          <w:bCs/>
          <w:kern w:val="48"/>
          <w:sz w:val="22"/>
          <w:szCs w:val="22"/>
          <w:lang w:val="en-IN"/>
        </w:rPr>
        <w:t>Baesens</w:t>
      </w:r>
      <w:proofErr w:type="spellEnd"/>
      <w:r w:rsidRPr="00840D03">
        <w:rPr>
          <w:bCs/>
          <w:kern w:val="48"/>
          <w:sz w:val="22"/>
          <w:szCs w:val="22"/>
          <w:lang w:val="en-IN"/>
        </w:rPr>
        <w:t xml:space="preserve">, D. Van Gestel, S. Viaene, M. Stepanova, J. Suykens, and J. </w:t>
      </w:r>
      <w:proofErr w:type="spellStart"/>
      <w:r w:rsidRPr="00840D03">
        <w:rPr>
          <w:bCs/>
          <w:kern w:val="48"/>
          <w:sz w:val="22"/>
          <w:szCs w:val="22"/>
          <w:lang w:val="en-IN"/>
        </w:rPr>
        <w:t>Vanthienen</w:t>
      </w:r>
      <w:proofErr w:type="spellEnd"/>
      <w:r w:rsidRPr="00840D03">
        <w:rPr>
          <w:bCs/>
          <w:kern w:val="48"/>
          <w:sz w:val="22"/>
          <w:szCs w:val="22"/>
          <w:lang w:val="en-IN"/>
        </w:rPr>
        <w:t xml:space="preserve">, “Benchmarking State-of-the-Art Classification Algorithms for Credit Scoring,” </w:t>
      </w:r>
      <w:r w:rsidRPr="00840D03">
        <w:rPr>
          <w:bCs/>
          <w:i/>
          <w:iCs/>
          <w:kern w:val="48"/>
          <w:sz w:val="22"/>
          <w:szCs w:val="22"/>
          <w:lang w:val="en-IN"/>
        </w:rPr>
        <w:t>Journal of the Operational Research Society</w:t>
      </w:r>
      <w:r w:rsidRPr="00840D03">
        <w:rPr>
          <w:bCs/>
          <w:kern w:val="48"/>
          <w:sz w:val="22"/>
          <w:szCs w:val="22"/>
          <w:lang w:val="en-IN"/>
        </w:rPr>
        <w:t>, vol. 54, no. 6, pp. 627–635, 2003.</w:t>
      </w:r>
    </w:p>
    <w:p w14:paraId="768C46C6" w14:textId="77777777" w:rsidR="00840D03" w:rsidRPr="00840D03" w:rsidRDefault="00840D03" w:rsidP="00840D03">
      <w:pPr>
        <w:spacing w:line="360" w:lineRule="auto"/>
        <w:jc w:val="left"/>
        <w:rPr>
          <w:bCs/>
          <w:kern w:val="48"/>
          <w:sz w:val="22"/>
          <w:szCs w:val="22"/>
          <w:lang w:val="en-IN"/>
        </w:rPr>
      </w:pPr>
    </w:p>
    <w:p w14:paraId="72FF4C14" w14:textId="77777777" w:rsidR="00840D03" w:rsidRDefault="00840D03" w:rsidP="00840D03">
      <w:pPr>
        <w:spacing w:line="360" w:lineRule="auto"/>
        <w:jc w:val="left"/>
        <w:rPr>
          <w:bCs/>
          <w:kern w:val="48"/>
          <w:sz w:val="22"/>
          <w:szCs w:val="22"/>
          <w:lang w:val="en-IN"/>
        </w:rPr>
      </w:pPr>
      <w:r w:rsidRPr="00840D03">
        <w:rPr>
          <w:bCs/>
          <w:kern w:val="48"/>
          <w:sz w:val="22"/>
          <w:szCs w:val="22"/>
          <w:lang w:val="en-IN"/>
        </w:rPr>
        <w:t>[7] TransUnion CIBIL, “Understanding Your CIBIL Score,” TransUnion CIBIL Limited, Mumbai, India, 2023.</w:t>
      </w:r>
    </w:p>
    <w:p w14:paraId="2AC09523" w14:textId="77777777" w:rsidR="00840D03" w:rsidRPr="00840D03" w:rsidRDefault="00840D03" w:rsidP="00840D03">
      <w:pPr>
        <w:spacing w:line="360" w:lineRule="auto"/>
        <w:jc w:val="left"/>
        <w:rPr>
          <w:bCs/>
          <w:kern w:val="48"/>
          <w:sz w:val="22"/>
          <w:szCs w:val="22"/>
          <w:lang w:val="en-IN"/>
        </w:rPr>
      </w:pPr>
    </w:p>
    <w:p w14:paraId="0B17D578" w14:textId="51DEDECE" w:rsidR="004A5F3E" w:rsidRPr="00840D03" w:rsidRDefault="00840D03" w:rsidP="00840D03">
      <w:pPr>
        <w:spacing w:line="360" w:lineRule="auto"/>
        <w:jc w:val="left"/>
        <w:rPr>
          <w:bCs/>
          <w:kern w:val="48"/>
          <w:sz w:val="22"/>
          <w:szCs w:val="22"/>
          <w:lang w:val="en-IN"/>
        </w:rPr>
      </w:pPr>
      <w:r w:rsidRPr="00840D03">
        <w:rPr>
          <w:bCs/>
          <w:kern w:val="48"/>
          <w:sz w:val="22"/>
          <w:szCs w:val="22"/>
          <w:lang w:val="en-IN"/>
        </w:rPr>
        <w:t xml:space="preserve">[8] S. Finlay, </w:t>
      </w:r>
      <w:r w:rsidRPr="00840D03">
        <w:rPr>
          <w:bCs/>
          <w:i/>
          <w:iCs/>
          <w:kern w:val="48"/>
          <w:sz w:val="22"/>
          <w:szCs w:val="22"/>
          <w:lang w:val="en-IN"/>
        </w:rPr>
        <w:t xml:space="preserve">Credit Scoring, Response </w:t>
      </w:r>
      <w:proofErr w:type="spellStart"/>
      <w:r w:rsidRPr="00840D03">
        <w:rPr>
          <w:bCs/>
          <w:i/>
          <w:iCs/>
          <w:kern w:val="48"/>
          <w:sz w:val="22"/>
          <w:szCs w:val="22"/>
          <w:lang w:val="en-IN"/>
        </w:rPr>
        <w:t>Modeling</w:t>
      </w:r>
      <w:proofErr w:type="spellEnd"/>
      <w:r w:rsidRPr="00840D03">
        <w:rPr>
          <w:bCs/>
          <w:i/>
          <w:iCs/>
          <w:kern w:val="48"/>
          <w:sz w:val="22"/>
          <w:szCs w:val="22"/>
          <w:lang w:val="en-IN"/>
        </w:rPr>
        <w:t xml:space="preserve"> and Insurance Rating: A Practical Guide to Forecasting Consumer Behaviour</w:t>
      </w:r>
      <w:r w:rsidRPr="00840D03">
        <w:rPr>
          <w:bCs/>
          <w:kern w:val="48"/>
          <w:sz w:val="22"/>
          <w:szCs w:val="22"/>
          <w:lang w:val="en-IN"/>
        </w:rPr>
        <w:t>, Palgrave Macmillan, 2012.</w:t>
      </w:r>
    </w:p>
    <w:sectPr w:rsidR="004A5F3E" w:rsidRPr="00840D03" w:rsidSect="008D3342">
      <w:pgSz w:w="11906" w:h="16838" w:code="9"/>
      <w:pgMar w:top="1080" w:right="907" w:bottom="1440" w:left="907" w:header="720" w:footer="720"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ADFEA" w14:textId="77777777" w:rsidR="000200C4" w:rsidRDefault="000200C4" w:rsidP="001A3B3D">
      <w:r>
        <w:separator/>
      </w:r>
    </w:p>
  </w:endnote>
  <w:endnote w:type="continuationSeparator" w:id="0">
    <w:p w14:paraId="66E924E6" w14:textId="77777777" w:rsidR="000200C4" w:rsidRDefault="000200C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CC5F4"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B5423" w14:textId="77777777" w:rsidR="000200C4" w:rsidRDefault="000200C4" w:rsidP="001A3B3D">
      <w:r>
        <w:separator/>
      </w:r>
    </w:p>
  </w:footnote>
  <w:footnote w:type="continuationSeparator" w:id="0">
    <w:p w14:paraId="36E86E30" w14:textId="77777777" w:rsidR="000200C4" w:rsidRDefault="000200C4"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2A93F04"/>
    <w:multiLevelType w:val="hybridMultilevel"/>
    <w:tmpl w:val="50D8F900"/>
    <w:lvl w:ilvl="0" w:tplc="A85A2A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9AF5B35"/>
    <w:multiLevelType w:val="hybridMultilevel"/>
    <w:tmpl w:val="931E8DE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10943894">
    <w:abstractNumId w:val="16"/>
  </w:num>
  <w:num w:numId="2" w16cid:durableId="1051880130">
    <w:abstractNumId w:val="21"/>
  </w:num>
  <w:num w:numId="3" w16cid:durableId="886338572">
    <w:abstractNumId w:val="14"/>
  </w:num>
  <w:num w:numId="4" w16cid:durableId="1947694551">
    <w:abstractNumId w:val="18"/>
  </w:num>
  <w:num w:numId="5" w16cid:durableId="1931501023">
    <w:abstractNumId w:val="18"/>
  </w:num>
  <w:num w:numId="6" w16cid:durableId="1512063118">
    <w:abstractNumId w:val="18"/>
  </w:num>
  <w:num w:numId="7" w16cid:durableId="1745907457">
    <w:abstractNumId w:val="18"/>
  </w:num>
  <w:num w:numId="8" w16cid:durableId="368839293">
    <w:abstractNumId w:val="20"/>
  </w:num>
  <w:num w:numId="9" w16cid:durableId="1662543340">
    <w:abstractNumId w:val="22"/>
  </w:num>
  <w:num w:numId="10" w16cid:durableId="1468474534">
    <w:abstractNumId w:val="17"/>
  </w:num>
  <w:num w:numId="11" w16cid:durableId="1211191445">
    <w:abstractNumId w:val="13"/>
  </w:num>
  <w:num w:numId="12" w16cid:durableId="23093021">
    <w:abstractNumId w:val="12"/>
  </w:num>
  <w:num w:numId="13" w16cid:durableId="570963992">
    <w:abstractNumId w:val="0"/>
  </w:num>
  <w:num w:numId="14" w16cid:durableId="1824200661">
    <w:abstractNumId w:val="10"/>
  </w:num>
  <w:num w:numId="15" w16cid:durableId="872159012">
    <w:abstractNumId w:val="8"/>
  </w:num>
  <w:num w:numId="16" w16cid:durableId="591938455">
    <w:abstractNumId w:val="7"/>
  </w:num>
  <w:num w:numId="17" w16cid:durableId="177736280">
    <w:abstractNumId w:val="6"/>
  </w:num>
  <w:num w:numId="18" w16cid:durableId="681979255">
    <w:abstractNumId w:val="5"/>
  </w:num>
  <w:num w:numId="19" w16cid:durableId="2095082382">
    <w:abstractNumId w:val="9"/>
  </w:num>
  <w:num w:numId="20" w16cid:durableId="1840655278">
    <w:abstractNumId w:val="4"/>
  </w:num>
  <w:num w:numId="21" w16cid:durableId="861163843">
    <w:abstractNumId w:val="3"/>
  </w:num>
  <w:num w:numId="22" w16cid:durableId="613755581">
    <w:abstractNumId w:val="2"/>
  </w:num>
  <w:num w:numId="23" w16cid:durableId="1491867106">
    <w:abstractNumId w:val="1"/>
  </w:num>
  <w:num w:numId="24" w16cid:durableId="220142289">
    <w:abstractNumId w:val="19"/>
  </w:num>
  <w:num w:numId="25" w16cid:durableId="808589549">
    <w:abstractNumId w:val="11"/>
  </w:num>
  <w:num w:numId="26" w16cid:durableId="12558465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00C4"/>
    <w:rsid w:val="0004781E"/>
    <w:rsid w:val="0008684B"/>
    <w:rsid w:val="0008758A"/>
    <w:rsid w:val="000C1E68"/>
    <w:rsid w:val="000F77B4"/>
    <w:rsid w:val="00142813"/>
    <w:rsid w:val="00161D38"/>
    <w:rsid w:val="00190CA9"/>
    <w:rsid w:val="001A2EFD"/>
    <w:rsid w:val="001A3B3D"/>
    <w:rsid w:val="001B67DC"/>
    <w:rsid w:val="002254A9"/>
    <w:rsid w:val="00233D97"/>
    <w:rsid w:val="002347A2"/>
    <w:rsid w:val="00257172"/>
    <w:rsid w:val="002850E3"/>
    <w:rsid w:val="002F5594"/>
    <w:rsid w:val="0035407B"/>
    <w:rsid w:val="00354FCF"/>
    <w:rsid w:val="00365AA2"/>
    <w:rsid w:val="00384480"/>
    <w:rsid w:val="003A19E2"/>
    <w:rsid w:val="003B2B40"/>
    <w:rsid w:val="003B4E04"/>
    <w:rsid w:val="003D51F0"/>
    <w:rsid w:val="003F5A08"/>
    <w:rsid w:val="00420716"/>
    <w:rsid w:val="004325FB"/>
    <w:rsid w:val="004432BA"/>
    <w:rsid w:val="0044407E"/>
    <w:rsid w:val="00447BB9"/>
    <w:rsid w:val="0046031D"/>
    <w:rsid w:val="00473AC9"/>
    <w:rsid w:val="004A5F3E"/>
    <w:rsid w:val="004C77CF"/>
    <w:rsid w:val="004D72B5"/>
    <w:rsid w:val="00525F2B"/>
    <w:rsid w:val="00551B7F"/>
    <w:rsid w:val="0056610F"/>
    <w:rsid w:val="00575BCA"/>
    <w:rsid w:val="00575EB3"/>
    <w:rsid w:val="005B0344"/>
    <w:rsid w:val="005B520E"/>
    <w:rsid w:val="005E2800"/>
    <w:rsid w:val="00605825"/>
    <w:rsid w:val="00643663"/>
    <w:rsid w:val="00645D22"/>
    <w:rsid w:val="00651A08"/>
    <w:rsid w:val="00654204"/>
    <w:rsid w:val="00670434"/>
    <w:rsid w:val="006B6B66"/>
    <w:rsid w:val="006C275C"/>
    <w:rsid w:val="006F6D3D"/>
    <w:rsid w:val="00715BEA"/>
    <w:rsid w:val="00740EEA"/>
    <w:rsid w:val="00794804"/>
    <w:rsid w:val="007B33F1"/>
    <w:rsid w:val="007B6DDA"/>
    <w:rsid w:val="007C0308"/>
    <w:rsid w:val="007C2FF2"/>
    <w:rsid w:val="007D6232"/>
    <w:rsid w:val="007F1F99"/>
    <w:rsid w:val="007F768F"/>
    <w:rsid w:val="008044EF"/>
    <w:rsid w:val="0080791D"/>
    <w:rsid w:val="00836367"/>
    <w:rsid w:val="00840D03"/>
    <w:rsid w:val="00843623"/>
    <w:rsid w:val="00873603"/>
    <w:rsid w:val="008A2C7D"/>
    <w:rsid w:val="008B5E6E"/>
    <w:rsid w:val="008B6524"/>
    <w:rsid w:val="008C4B23"/>
    <w:rsid w:val="008D3342"/>
    <w:rsid w:val="008F6E2C"/>
    <w:rsid w:val="009303D9"/>
    <w:rsid w:val="00933C64"/>
    <w:rsid w:val="00971570"/>
    <w:rsid w:val="00972203"/>
    <w:rsid w:val="009F1D79"/>
    <w:rsid w:val="00A059B3"/>
    <w:rsid w:val="00AA245F"/>
    <w:rsid w:val="00AD0A38"/>
    <w:rsid w:val="00AE0427"/>
    <w:rsid w:val="00AE3409"/>
    <w:rsid w:val="00B11A60"/>
    <w:rsid w:val="00B22613"/>
    <w:rsid w:val="00B44A76"/>
    <w:rsid w:val="00B768D1"/>
    <w:rsid w:val="00BA1025"/>
    <w:rsid w:val="00BB2D06"/>
    <w:rsid w:val="00BC3420"/>
    <w:rsid w:val="00BD670B"/>
    <w:rsid w:val="00BE46FD"/>
    <w:rsid w:val="00BE7D3C"/>
    <w:rsid w:val="00BF5FF6"/>
    <w:rsid w:val="00C0207F"/>
    <w:rsid w:val="00C16117"/>
    <w:rsid w:val="00C2231F"/>
    <w:rsid w:val="00C3075A"/>
    <w:rsid w:val="00C563D0"/>
    <w:rsid w:val="00C919A4"/>
    <w:rsid w:val="00CA4392"/>
    <w:rsid w:val="00CC393F"/>
    <w:rsid w:val="00D05559"/>
    <w:rsid w:val="00D2176E"/>
    <w:rsid w:val="00D632BE"/>
    <w:rsid w:val="00D72D06"/>
    <w:rsid w:val="00D7522C"/>
    <w:rsid w:val="00D7536F"/>
    <w:rsid w:val="00D76668"/>
    <w:rsid w:val="00E07383"/>
    <w:rsid w:val="00E165BC"/>
    <w:rsid w:val="00E35596"/>
    <w:rsid w:val="00E61E12"/>
    <w:rsid w:val="00E7596C"/>
    <w:rsid w:val="00E878F2"/>
    <w:rsid w:val="00EA2765"/>
    <w:rsid w:val="00ED0149"/>
    <w:rsid w:val="00EF7DE3"/>
    <w:rsid w:val="00F03103"/>
    <w:rsid w:val="00F27068"/>
    <w:rsid w:val="00F271DE"/>
    <w:rsid w:val="00F627DA"/>
    <w:rsid w:val="00F7288F"/>
    <w:rsid w:val="00F847A6"/>
    <w:rsid w:val="00F916E9"/>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34E557"/>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paragraph" w:customStyle="1" w:styleId="Default">
    <w:name w:val="Default"/>
    <w:rsid w:val="00C2231F"/>
    <w:pPr>
      <w:autoSpaceDE w:val="0"/>
      <w:autoSpaceDN w:val="0"/>
      <w:adjustRightInd w:val="0"/>
    </w:pPr>
    <w:rPr>
      <w:rFonts w:eastAsia="Calibri"/>
      <w:color w:val="000000"/>
      <w:sz w:val="24"/>
      <w:szCs w:val="24"/>
      <w:lang w:val="en-IN" w:eastAsia="en-IN"/>
    </w:rPr>
  </w:style>
  <w:style w:type="character" w:customStyle="1" w:styleId="fontstyle01">
    <w:name w:val="fontstyle01"/>
    <w:basedOn w:val="DefaultParagraphFont"/>
    <w:rsid w:val="00F916E9"/>
    <w:rPr>
      <w:rFonts w:ascii="Calibri" w:hAnsi="Calibri" w:cs="Calibri" w:hint="default"/>
      <w:b w:val="0"/>
      <w:bCs w:val="0"/>
      <w:i w:val="0"/>
      <w:iCs w:val="0"/>
      <w:color w:val="000000"/>
      <w:sz w:val="28"/>
      <w:szCs w:val="28"/>
    </w:rPr>
  </w:style>
  <w:style w:type="character" w:customStyle="1" w:styleId="fontstyle21">
    <w:name w:val="fontstyle21"/>
    <w:basedOn w:val="DefaultParagraphFont"/>
    <w:rsid w:val="00F916E9"/>
    <w:rPr>
      <w:rFonts w:ascii="Calibri-Bold" w:hAnsi="Calibri-Bold" w:hint="default"/>
      <w:b/>
      <w:bCs/>
      <w:i w:val="0"/>
      <w:iC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403332">
      <w:bodyDiv w:val="1"/>
      <w:marLeft w:val="0"/>
      <w:marRight w:val="0"/>
      <w:marTop w:val="0"/>
      <w:marBottom w:val="0"/>
      <w:divBdr>
        <w:top w:val="none" w:sz="0" w:space="0" w:color="auto"/>
        <w:left w:val="none" w:sz="0" w:space="0" w:color="auto"/>
        <w:bottom w:val="none" w:sz="0" w:space="0" w:color="auto"/>
        <w:right w:val="none" w:sz="0" w:space="0" w:color="auto"/>
      </w:divBdr>
    </w:div>
    <w:div w:id="213543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0F7701-2FBE-47C5-959A-09BD27823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1333</Words>
  <Characters>7602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8918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MEKALA SRAVANTHI .</cp:lastModifiedBy>
  <cp:revision>2</cp:revision>
  <dcterms:created xsi:type="dcterms:W3CDTF">2026-02-25T05:06:00Z</dcterms:created>
  <dcterms:modified xsi:type="dcterms:W3CDTF">2026-02-25T05:06:00Z</dcterms:modified>
</cp:coreProperties>
</file>