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096F7C" w:rsidRDefault="00096F7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[1] P.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Saeedi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I.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Petersohn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P.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Salpea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B.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Malanda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S.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Karuranga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N.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Unwin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S.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Colagiuri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L.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Guariguata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A. A.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Motala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K.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Ogurtsova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J. E. Shaw, D. Bright, and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R.Williams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“Global and regional diabetes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prevalence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estimates for 2019 and projections for 2030 and 2045: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>Results from the international diabetes federation diabetes atlas,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9th edition,”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Diabetes Research and Clinical Practice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vol. 157, p.</w:t>
      </w:r>
      <w:proofErr w:type="gramEnd"/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107843, 2019.</w:t>
      </w:r>
      <w:proofErr w:type="gramEnd"/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[2] A. Mir and S. N.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Dhage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“Diabetes disease prediction using machine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i/>
          <w:iCs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learning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on big data of healthcare,” in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2018 Fourth International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i/>
          <w:iCs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Conference on Computing Communication Control and Automation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(ICCUBEA)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2018, pp. 1–6.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[3] D.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Sisodia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and D. S.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Sisodia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“Prediction of diabetes using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classification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algorithms,” </w:t>
      </w:r>
      <w:proofErr w:type="spellStart"/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Procedia</w:t>
      </w:r>
      <w:proofErr w:type="spellEnd"/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 xml:space="preserve"> Computer Science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vol.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>132, pp. 1578 – 1585, 2018, international Conference on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Computational Intelligence and Data Science.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[Online].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Available: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>http://www.sciencedirect.com/science/article/pii/S1877050918308548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[4] J. Smith, J. Everhart, W. Dickson, W.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Knowler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and R. Johannes,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“Using the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adap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learning algorithm to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forcast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the onset of diabetes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i/>
          <w:iCs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mellitus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,”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Proceedings - Annual Symposium on Computer Applications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in</w:t>
      </w:r>
      <w:proofErr w:type="gramEnd"/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 xml:space="preserve"> Medical Care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vol. 10, 11 1988.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[5] P. S.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Kohli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and S.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Arora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“Application of machine learning in disease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i/>
          <w:iCs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prediction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,” in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2018 4th International Conference on Computing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Communication and Automation (ICCCA)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2018, pp. 1–4.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>[6] Wes McKinney, “Data Structures for Statistical Computing in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Python,” in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Proceedings of the 9th Python in Science Conference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spellStart"/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St´efan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van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der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Walt and Jarrod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Millman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Eds., 2010, pp. 56 – 61.</w:t>
      </w:r>
      <w:proofErr w:type="gramEnd"/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[7] C. R. Harris, K. J.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Millman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S. J. van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der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Walt, R.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Gommers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P. Virtanen, D.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Cournapeau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E.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Wieser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J. Taylor, S. Berg, N. J.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Smith, R. Kern, M.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Picus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S. Hoyer, M. H. van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Kerkwijk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M. Brett, A. Haldane, J. F. del </w:t>
      </w:r>
      <w:proofErr w:type="spellStart"/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R’ıo</w:t>
      </w:r>
      <w:proofErr w:type="spellEnd"/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M.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Wiebe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P. Peterson,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P.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G’erard-Marchant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K. Sheppard, T. Reddy, W.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Weckesser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H.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Abbasi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C.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Gohlke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and T. E. Oliphant, “Array programming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with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NumPy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,” </w:t>
      </w: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Nature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vol. 585, no. 7825, pp. 357–362, Sep. 2020.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proofErr w:type="gramStart"/>
      <w:r w:rsidRPr="00096F7C">
        <w:rPr>
          <w:rFonts w:ascii="Times New Roman" w:eastAsia="NimbusRomNo9L-Regu" w:hAnsi="Times New Roman" w:cs="Times New Roman"/>
          <w:sz w:val="28"/>
          <w:szCs w:val="28"/>
        </w:rPr>
        <w:t>[Online].</w:t>
      </w:r>
      <w:proofErr w:type="gram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Available: https://doi.org/10.1038/s41586-020-2649-2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[8] F.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Pedregosa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G.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Varoquaux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A.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Gramfort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V. Michel, B.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Thirion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O.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Grisel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M.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Blondel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P.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Prettenhofer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R. Weiss, V.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Dubourg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J.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Vanderplas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A.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Passos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D.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Cournapeau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, M.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Brucher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M. Perrot, and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lastRenderedPageBreak/>
        <w:t xml:space="preserve">´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Edouard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Duchesnay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, “</w:t>
      </w:r>
      <w:proofErr w:type="spellStart"/>
      <w:r w:rsidRPr="00096F7C">
        <w:rPr>
          <w:rFonts w:ascii="Times New Roman" w:eastAsia="NimbusRomNo9L-Regu" w:hAnsi="Times New Roman" w:cs="Times New Roman"/>
          <w:sz w:val="28"/>
          <w:szCs w:val="28"/>
        </w:rPr>
        <w:t>Scikit</w:t>
      </w:r>
      <w:proofErr w:type="spellEnd"/>
      <w:r w:rsidRPr="00096F7C">
        <w:rPr>
          <w:rFonts w:ascii="Times New Roman" w:eastAsia="NimbusRomNo9L-Regu" w:hAnsi="Times New Roman" w:cs="Times New Roman"/>
          <w:sz w:val="28"/>
          <w:szCs w:val="28"/>
        </w:rPr>
        <w:t>-learn: Machine Learning in Python,”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i/>
          <w:iCs/>
          <w:sz w:val="28"/>
          <w:szCs w:val="28"/>
        </w:rPr>
        <w:t>Journal of Machine Learning Research</w:t>
      </w:r>
      <w:r w:rsidRPr="00096F7C">
        <w:rPr>
          <w:rFonts w:ascii="Times New Roman" w:eastAsia="NimbusRomNo9L-Regu" w:hAnsi="Times New Roman" w:cs="Times New Roman"/>
          <w:sz w:val="28"/>
          <w:szCs w:val="28"/>
        </w:rPr>
        <w:t>, vol. 12, no. 85, p. 28252830,</w:t>
      </w:r>
    </w:p>
    <w:p w:rsidR="00096F7C" w:rsidRPr="00096F7C" w:rsidRDefault="00096F7C" w:rsidP="00096F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F7C">
        <w:rPr>
          <w:rFonts w:ascii="Times New Roman" w:eastAsia="NimbusRomNo9L-Regu" w:hAnsi="Times New Roman" w:cs="Times New Roman"/>
          <w:sz w:val="28"/>
          <w:szCs w:val="28"/>
        </w:rPr>
        <w:t>2011.</w:t>
      </w:r>
    </w:p>
    <w:sectPr w:rsidR="00096F7C" w:rsidRPr="00096F7C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96F7C"/>
    <w:rsid w:val="003168EA"/>
    <w:rsid w:val="00346AFC"/>
    <w:rsid w:val="004110D5"/>
    <w:rsid w:val="00464335"/>
    <w:rsid w:val="004D35B6"/>
    <w:rsid w:val="004E0A02"/>
    <w:rsid w:val="00643315"/>
    <w:rsid w:val="00B17AD3"/>
    <w:rsid w:val="00BF6ABE"/>
    <w:rsid w:val="00C04853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2022-01-03T09:23:00Z</dcterms:modified>
</cp:coreProperties>
</file>