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3B5A" w:rsidRDefault="00F43B5A" w:rsidP="00F43B5A">
      <w:pPr>
        <w:spacing w:before="100" w:beforeAutospacing="1" w:after="100" w:afterAutospacing="1"/>
        <w:jc w:val="center"/>
        <w:rPr>
          <w:rFonts w:ascii="Times New Roman" w:eastAsia="Times New Roman" w:hAnsi="Times New Roman" w:cs="Times New Roman"/>
          <w:b/>
          <w:bCs/>
          <w:kern w:val="0"/>
          <w:sz w:val="28"/>
          <w:szCs w:val="28"/>
          <w14:ligatures w14:val="none"/>
        </w:rPr>
      </w:pPr>
      <w:r w:rsidRPr="00F43B5A">
        <w:rPr>
          <w:rFonts w:ascii="Times New Roman" w:eastAsia="Times New Roman" w:hAnsi="Times New Roman" w:cs="Times New Roman"/>
          <w:b/>
          <w:bCs/>
          <w:kern w:val="0"/>
          <w:sz w:val="28"/>
          <w:szCs w:val="28"/>
          <w14:ligatures w14:val="none"/>
        </w:rPr>
        <w:t>Sustainability Meets Strategy: Portfolio Optimization with ESG Insights</w:t>
      </w:r>
    </w:p>
    <w:p w:rsidR="00B059FE" w:rsidRPr="00F43B5A" w:rsidRDefault="00B059FE" w:rsidP="00F43B5A">
      <w:pPr>
        <w:spacing w:before="100" w:beforeAutospacing="1" w:after="100" w:afterAutospacing="1"/>
        <w:jc w:val="center"/>
        <w:rPr>
          <w:rFonts w:ascii="Times New Roman" w:eastAsia="Times New Roman" w:hAnsi="Times New Roman" w:cs="Times New Roman"/>
          <w:b/>
          <w:bCs/>
          <w:i/>
          <w:iCs/>
          <w:kern w:val="0"/>
          <w:sz w:val="21"/>
          <w:szCs w:val="21"/>
          <w14:ligatures w14:val="none"/>
        </w:rPr>
      </w:pPr>
      <w:r>
        <w:rPr>
          <w:rFonts w:ascii="Times New Roman" w:eastAsia="Times New Roman" w:hAnsi="Times New Roman" w:cs="Times New Roman"/>
          <w:b/>
          <w:bCs/>
          <w:i/>
          <w:iCs/>
          <w:kern w:val="0"/>
          <w:sz w:val="21"/>
          <w:szCs w:val="21"/>
          <w14:ligatures w14:val="none"/>
        </w:rPr>
        <w:t>Harshitha Suresh</w:t>
      </w:r>
    </w:p>
    <w:p w:rsidR="00F43B5A" w:rsidRPr="00F43B5A" w:rsidRDefault="00F43B5A" w:rsidP="00F43B5A">
      <w:pPr>
        <w:jc w:val="center"/>
        <w:outlineLvl w:val="2"/>
        <w:rPr>
          <w:rFonts w:ascii="Times New Roman" w:eastAsia="Times New Roman" w:hAnsi="Times New Roman" w:cs="Times New Roman"/>
          <w:b/>
          <w:bCs/>
          <w:i/>
          <w:iCs/>
          <w:kern w:val="0"/>
          <w:sz w:val="27"/>
          <w:szCs w:val="27"/>
          <w14:ligatures w14:val="none"/>
        </w:rPr>
      </w:pPr>
      <w:r w:rsidRPr="00F43B5A">
        <w:rPr>
          <w:rFonts w:ascii="Times New Roman" w:eastAsia="Times New Roman" w:hAnsi="Times New Roman" w:cs="Times New Roman"/>
          <w:b/>
          <w:bCs/>
          <w:i/>
          <w:iCs/>
          <w:kern w:val="0"/>
          <w:sz w:val="27"/>
          <w:szCs w:val="27"/>
          <w14:ligatures w14:val="none"/>
        </w:rPr>
        <w:t>Introduction</w:t>
      </w:r>
    </w:p>
    <w:p w:rsidR="00F43B5A" w:rsidRDefault="00F43B5A" w:rsidP="00F43B5A">
      <w:pPr>
        <w:jc w:val="both"/>
        <w:rPr>
          <w:rFonts w:ascii="Times New Roman" w:eastAsia="Times New Roman" w:hAnsi="Times New Roman" w:cs="Times New Roman"/>
          <w:kern w:val="0"/>
          <w14:ligatures w14:val="none"/>
        </w:rPr>
      </w:pPr>
      <w:r w:rsidRPr="00F43B5A">
        <w:rPr>
          <w:rFonts w:ascii="Times New Roman" w:eastAsia="Times New Roman" w:hAnsi="Times New Roman" w:cs="Times New Roman"/>
          <w:kern w:val="0"/>
          <w14:ligatures w14:val="none"/>
        </w:rPr>
        <w:t xml:space="preserve">Environmental, Social, and Governance (ESG) scores have become critical for evaluating corporate responsibility and ethical practices. This analysis leverages ESG scores to optimize portfolio performance while balancing financial returns with sustainable practices. Combining data-driven insights and advanced </w:t>
      </w:r>
      <w:r w:rsidR="008C660D">
        <w:rPr>
          <w:rFonts w:ascii="Times New Roman" w:eastAsia="Times New Roman" w:hAnsi="Times New Roman" w:cs="Times New Roman"/>
          <w:kern w:val="0"/>
          <w14:ligatures w14:val="none"/>
        </w:rPr>
        <w:t>economic</w:t>
      </w:r>
      <w:r w:rsidRPr="00F43B5A">
        <w:rPr>
          <w:rFonts w:ascii="Times New Roman" w:eastAsia="Times New Roman" w:hAnsi="Times New Roman" w:cs="Times New Roman"/>
          <w:kern w:val="0"/>
          <w14:ligatures w14:val="none"/>
        </w:rPr>
        <w:t xml:space="preserve"> modeling, this study provides actionable recommendations for creating efficient ESG-focused investment strategies.</w:t>
      </w:r>
    </w:p>
    <w:p w:rsidR="00F43B5A" w:rsidRPr="00F43B5A" w:rsidRDefault="00F43B5A" w:rsidP="00F43B5A">
      <w:pPr>
        <w:jc w:val="both"/>
        <w:rPr>
          <w:rFonts w:ascii="Times New Roman" w:eastAsia="Times New Roman" w:hAnsi="Times New Roman" w:cs="Times New Roman"/>
          <w:kern w:val="0"/>
          <w14:ligatures w14:val="none"/>
        </w:rPr>
      </w:pPr>
    </w:p>
    <w:p w:rsidR="00F43B5A" w:rsidRPr="00F43B5A" w:rsidRDefault="00F43B5A" w:rsidP="00F43B5A">
      <w:pPr>
        <w:jc w:val="center"/>
        <w:outlineLvl w:val="2"/>
        <w:rPr>
          <w:rFonts w:ascii="Times New Roman" w:eastAsia="Times New Roman" w:hAnsi="Times New Roman" w:cs="Times New Roman"/>
          <w:b/>
          <w:bCs/>
          <w:i/>
          <w:iCs/>
          <w:kern w:val="0"/>
          <w:sz w:val="27"/>
          <w:szCs w:val="27"/>
          <w14:ligatures w14:val="none"/>
        </w:rPr>
      </w:pPr>
      <w:r w:rsidRPr="00F43B5A">
        <w:rPr>
          <w:rFonts w:ascii="Times New Roman" w:eastAsia="Times New Roman" w:hAnsi="Times New Roman" w:cs="Times New Roman"/>
          <w:b/>
          <w:bCs/>
          <w:i/>
          <w:iCs/>
          <w:kern w:val="0"/>
          <w:sz w:val="27"/>
          <w:szCs w:val="27"/>
          <w14:ligatures w14:val="none"/>
        </w:rPr>
        <w:t>Data Sources</w:t>
      </w:r>
    </w:p>
    <w:p w:rsidR="00F43B5A" w:rsidRDefault="00F43B5A" w:rsidP="00F43B5A">
      <w:pPr>
        <w:rPr>
          <w:rFonts w:ascii="Times New Roman" w:eastAsia="Times New Roman" w:hAnsi="Times New Roman" w:cs="Times New Roman"/>
          <w:kern w:val="0"/>
          <w14:ligatures w14:val="none"/>
        </w:rPr>
      </w:pPr>
      <w:r w:rsidRPr="00F43B5A">
        <w:rPr>
          <w:rFonts w:ascii="Times New Roman" w:eastAsia="Times New Roman" w:hAnsi="Times New Roman" w:cs="Times New Roman"/>
          <w:kern w:val="0"/>
          <w14:ligatures w14:val="none"/>
        </w:rPr>
        <w:t xml:space="preserve">The data for this analysis was sourced from two primary repositories. Yahoo Finance provided detailed financial information, including stock prices, sectors, and ESG scores, while </w:t>
      </w:r>
      <w:proofErr w:type="spellStart"/>
      <w:r w:rsidRPr="00F43B5A">
        <w:rPr>
          <w:rFonts w:ascii="Times New Roman" w:eastAsia="Times New Roman" w:hAnsi="Times New Roman" w:cs="Times New Roman"/>
          <w:kern w:val="0"/>
          <w14:ligatures w14:val="none"/>
        </w:rPr>
        <w:t>DataHub</w:t>
      </w:r>
      <w:proofErr w:type="spellEnd"/>
      <w:r w:rsidRPr="00F43B5A">
        <w:rPr>
          <w:rFonts w:ascii="Times New Roman" w:eastAsia="Times New Roman" w:hAnsi="Times New Roman" w:cs="Times New Roman"/>
          <w:kern w:val="0"/>
          <w14:ligatures w14:val="none"/>
        </w:rPr>
        <w:t xml:space="preserve"> supplied a comprehensive list of securities constituting the S&amp;P 500 index. These resources formed the backbone of the dataset, ensuring </w:t>
      </w:r>
      <w:r>
        <w:rPr>
          <w:rFonts w:ascii="Times New Roman" w:eastAsia="Times New Roman" w:hAnsi="Times New Roman" w:cs="Times New Roman"/>
          <w:kern w:val="0"/>
          <w14:ligatures w14:val="none"/>
        </w:rPr>
        <w:t>thorough</w:t>
      </w:r>
      <w:r w:rsidRPr="00F43B5A">
        <w:rPr>
          <w:rFonts w:ascii="Times New Roman" w:eastAsia="Times New Roman" w:hAnsi="Times New Roman" w:cs="Times New Roman"/>
          <w:kern w:val="0"/>
          <w14:ligatures w14:val="none"/>
        </w:rPr>
        <w:t xml:space="preserve"> coverage of financial and sustainability metrics.</w:t>
      </w:r>
    </w:p>
    <w:p w:rsidR="00F43B5A" w:rsidRPr="00F43B5A" w:rsidRDefault="00F43B5A" w:rsidP="00F43B5A">
      <w:pPr>
        <w:shd w:val="clear" w:color="auto" w:fill="FFFFFF"/>
        <w:spacing w:before="100" w:beforeAutospacing="1" w:after="100" w:afterAutospacing="1"/>
        <w:rPr>
          <w:rFonts w:ascii="Segoe UI" w:eastAsia="Times New Roman" w:hAnsi="Segoe UI" w:cs="Segoe UI"/>
          <w:kern w:val="0"/>
          <w:sz w:val="21"/>
          <w:szCs w:val="21"/>
          <w14:ligatures w14:val="none"/>
        </w:rPr>
      </w:pPr>
      <w:r>
        <w:rPr>
          <w:rFonts w:ascii="Segoe UI" w:eastAsia="Times New Roman" w:hAnsi="Segoe UI" w:cs="Segoe UI"/>
          <w:color w:val="0000FF"/>
          <w:kern w:val="0"/>
          <w:sz w:val="21"/>
          <w:szCs w:val="21"/>
          <w:u w:val="single"/>
          <w14:ligatures w14:val="none"/>
        </w:rPr>
        <w:fldChar w:fldCharType="begin"/>
      </w:r>
      <w:r>
        <w:rPr>
          <w:rFonts w:ascii="Segoe UI" w:eastAsia="Times New Roman" w:hAnsi="Segoe UI" w:cs="Segoe UI"/>
          <w:color w:val="0000FF"/>
          <w:kern w:val="0"/>
          <w:sz w:val="21"/>
          <w:szCs w:val="21"/>
          <w:u w:val="single"/>
          <w14:ligatures w14:val="none"/>
        </w:rPr>
        <w:instrText>HYPERLINK "</w:instrText>
      </w:r>
      <w:r w:rsidRPr="00F43B5A">
        <w:rPr>
          <w:rFonts w:ascii="Segoe UI" w:eastAsia="Times New Roman" w:hAnsi="Segoe UI" w:cs="Segoe UI"/>
          <w:color w:val="0000FF"/>
          <w:kern w:val="0"/>
          <w:sz w:val="21"/>
          <w:szCs w:val="21"/>
          <w:u w:val="single"/>
          <w14:ligatures w14:val="none"/>
        </w:rPr>
        <w:instrText>https://datahub.io/core/s-and-p-500-companies#resource-constituents</w:instrText>
      </w:r>
      <w:r>
        <w:rPr>
          <w:rFonts w:ascii="Segoe UI" w:eastAsia="Times New Roman" w:hAnsi="Segoe UI" w:cs="Segoe UI"/>
          <w:color w:val="0000FF"/>
          <w:kern w:val="0"/>
          <w:sz w:val="21"/>
          <w:szCs w:val="21"/>
          <w:u w:val="single"/>
          <w14:ligatures w14:val="none"/>
        </w:rPr>
        <w:instrText>"</w:instrText>
      </w:r>
      <w:r>
        <w:rPr>
          <w:rFonts w:ascii="Segoe UI" w:eastAsia="Times New Roman" w:hAnsi="Segoe UI" w:cs="Segoe UI"/>
          <w:color w:val="0000FF"/>
          <w:kern w:val="0"/>
          <w:sz w:val="21"/>
          <w:szCs w:val="21"/>
          <w:u w:val="single"/>
          <w14:ligatures w14:val="none"/>
        </w:rPr>
        <w:fldChar w:fldCharType="separate"/>
      </w:r>
      <w:r w:rsidRPr="00F43B5A">
        <w:rPr>
          <w:rStyle w:val="Hyperlink"/>
          <w:rFonts w:ascii="Segoe UI" w:eastAsia="Times New Roman" w:hAnsi="Segoe UI" w:cs="Segoe UI"/>
          <w:kern w:val="0"/>
          <w:sz w:val="21"/>
          <w:szCs w:val="21"/>
          <w14:ligatures w14:val="none"/>
        </w:rPr>
        <w:t>https://datahub.io/core/s-and-p-500-companies#resource-constituents</w:t>
      </w:r>
      <w:r>
        <w:rPr>
          <w:rFonts w:ascii="Segoe UI" w:eastAsia="Times New Roman" w:hAnsi="Segoe UI" w:cs="Segoe UI"/>
          <w:color w:val="0000FF"/>
          <w:kern w:val="0"/>
          <w:sz w:val="21"/>
          <w:szCs w:val="21"/>
          <w:u w:val="single"/>
          <w14:ligatures w14:val="none"/>
        </w:rPr>
        <w:fldChar w:fldCharType="end"/>
      </w:r>
    </w:p>
    <w:p w:rsidR="00F43B5A" w:rsidRPr="00F43B5A" w:rsidRDefault="00F43B5A" w:rsidP="00F43B5A">
      <w:pPr>
        <w:rPr>
          <w:rFonts w:ascii="Times New Roman" w:eastAsia="Times New Roman" w:hAnsi="Times New Roman" w:cs="Times New Roman"/>
          <w:i/>
          <w:iCs/>
          <w:kern w:val="0"/>
          <w14:ligatures w14:val="none"/>
        </w:rPr>
      </w:pPr>
    </w:p>
    <w:p w:rsidR="00F43B5A" w:rsidRDefault="00F43B5A" w:rsidP="00F43B5A">
      <w:pPr>
        <w:jc w:val="center"/>
        <w:outlineLvl w:val="2"/>
        <w:rPr>
          <w:rFonts w:ascii="Times New Roman" w:eastAsia="Times New Roman" w:hAnsi="Times New Roman" w:cs="Times New Roman"/>
          <w:b/>
          <w:bCs/>
          <w:i/>
          <w:iCs/>
          <w:kern w:val="0"/>
          <w:sz w:val="27"/>
          <w:szCs w:val="27"/>
          <w14:ligatures w14:val="none"/>
        </w:rPr>
      </w:pPr>
      <w:r w:rsidRPr="00F43B5A">
        <w:rPr>
          <w:rFonts w:ascii="Times New Roman" w:eastAsia="Times New Roman" w:hAnsi="Times New Roman" w:cs="Times New Roman"/>
          <w:b/>
          <w:bCs/>
          <w:i/>
          <w:iCs/>
          <w:kern w:val="0"/>
          <w:sz w:val="27"/>
          <w:szCs w:val="27"/>
          <w14:ligatures w14:val="none"/>
        </w:rPr>
        <w:t>Data Formation Process</w:t>
      </w:r>
    </w:p>
    <w:p w:rsidR="00F43B5A" w:rsidRPr="00F43B5A" w:rsidRDefault="00F43B5A" w:rsidP="00F43B5A">
      <w:pPr>
        <w:outlineLvl w:val="2"/>
        <w:rPr>
          <w:rFonts w:ascii="Times New Roman" w:eastAsia="Times New Roman" w:hAnsi="Times New Roman" w:cs="Times New Roman"/>
          <w:b/>
          <w:bCs/>
          <w:i/>
          <w:iCs/>
          <w:kern w:val="0"/>
          <w:sz w:val="27"/>
          <w:szCs w:val="27"/>
          <w14:ligatures w14:val="none"/>
        </w:rPr>
      </w:pPr>
    </w:p>
    <w:p w:rsidR="00F43B5A" w:rsidRPr="00F43B5A" w:rsidRDefault="00F43B5A" w:rsidP="00F43B5A">
      <w:pPr>
        <w:outlineLvl w:val="3"/>
        <w:rPr>
          <w:rFonts w:ascii="Times New Roman" w:eastAsia="Times New Roman" w:hAnsi="Times New Roman" w:cs="Times New Roman"/>
          <w:b/>
          <w:bCs/>
          <w:i/>
          <w:iCs/>
          <w:kern w:val="0"/>
          <w14:ligatures w14:val="none"/>
        </w:rPr>
      </w:pPr>
      <w:r w:rsidRPr="00F43B5A">
        <w:rPr>
          <w:rFonts w:ascii="Times New Roman" w:eastAsia="Times New Roman" w:hAnsi="Times New Roman" w:cs="Times New Roman"/>
          <w:b/>
          <w:bCs/>
          <w:i/>
          <w:iCs/>
          <w:kern w:val="0"/>
          <w14:ligatures w14:val="none"/>
        </w:rPr>
        <w:t>Integration and Cleaning</w:t>
      </w:r>
    </w:p>
    <w:p w:rsidR="00F43B5A" w:rsidRDefault="00F43B5A" w:rsidP="00F43B5A">
      <w:pPr>
        <w:rPr>
          <w:rFonts w:ascii="Times New Roman" w:eastAsia="Times New Roman" w:hAnsi="Times New Roman" w:cs="Times New Roman"/>
          <w:kern w:val="0"/>
          <w14:ligatures w14:val="none"/>
        </w:rPr>
      </w:pPr>
      <w:r w:rsidRPr="00F43B5A">
        <w:rPr>
          <w:rFonts w:ascii="Times New Roman" w:eastAsia="Times New Roman" w:hAnsi="Times New Roman" w:cs="Times New Roman"/>
          <w:kern w:val="0"/>
          <w14:ligatures w14:val="none"/>
        </w:rPr>
        <w:t xml:space="preserve">The initial stage involved consolidating datasets from multiple sources, including </w:t>
      </w:r>
      <w:proofErr w:type="spellStart"/>
      <w:r w:rsidRPr="00F43B5A">
        <w:rPr>
          <w:rFonts w:ascii="Courier New" w:eastAsia="Times New Roman" w:hAnsi="Courier New" w:cs="Courier New"/>
          <w:kern w:val="0"/>
          <w:sz w:val="20"/>
          <w:szCs w:val="20"/>
          <w14:ligatures w14:val="none"/>
        </w:rPr>
        <w:t>risk_data</w:t>
      </w:r>
      <w:proofErr w:type="spellEnd"/>
      <w:r w:rsidRPr="00F43B5A">
        <w:rPr>
          <w:rFonts w:ascii="Times New Roman" w:eastAsia="Times New Roman" w:hAnsi="Times New Roman" w:cs="Times New Roman"/>
          <w:kern w:val="0"/>
          <w14:ligatures w14:val="none"/>
        </w:rPr>
        <w:t xml:space="preserve">, </w:t>
      </w:r>
      <w:proofErr w:type="spellStart"/>
      <w:r w:rsidRPr="00F43B5A">
        <w:rPr>
          <w:rFonts w:ascii="Courier New" w:eastAsia="Times New Roman" w:hAnsi="Courier New" w:cs="Courier New"/>
          <w:kern w:val="0"/>
          <w:sz w:val="20"/>
          <w:szCs w:val="20"/>
          <w14:ligatures w14:val="none"/>
        </w:rPr>
        <w:t>esg_data</w:t>
      </w:r>
      <w:proofErr w:type="spellEnd"/>
      <w:r w:rsidRPr="00F43B5A">
        <w:rPr>
          <w:rFonts w:ascii="Times New Roman" w:eastAsia="Times New Roman" w:hAnsi="Times New Roman" w:cs="Times New Roman"/>
          <w:kern w:val="0"/>
          <w14:ligatures w14:val="none"/>
        </w:rPr>
        <w:t xml:space="preserve">, </w:t>
      </w:r>
      <w:proofErr w:type="spellStart"/>
      <w:r w:rsidRPr="00F43B5A">
        <w:rPr>
          <w:rFonts w:ascii="Courier New" w:eastAsia="Times New Roman" w:hAnsi="Courier New" w:cs="Courier New"/>
          <w:kern w:val="0"/>
          <w:sz w:val="20"/>
          <w:szCs w:val="20"/>
          <w14:ligatures w14:val="none"/>
        </w:rPr>
        <w:t>security_data</w:t>
      </w:r>
      <w:proofErr w:type="spellEnd"/>
      <w:r w:rsidRPr="00F43B5A">
        <w:rPr>
          <w:rFonts w:ascii="Times New Roman" w:eastAsia="Times New Roman" w:hAnsi="Times New Roman" w:cs="Times New Roman"/>
          <w:kern w:val="0"/>
          <w14:ligatures w14:val="none"/>
        </w:rPr>
        <w:t xml:space="preserve">, and </w:t>
      </w:r>
      <w:proofErr w:type="spellStart"/>
      <w:r w:rsidRPr="00F43B5A">
        <w:rPr>
          <w:rFonts w:ascii="Courier New" w:eastAsia="Times New Roman" w:hAnsi="Courier New" w:cs="Courier New"/>
          <w:kern w:val="0"/>
          <w:sz w:val="20"/>
          <w:szCs w:val="20"/>
          <w14:ligatures w14:val="none"/>
        </w:rPr>
        <w:t>snp</w:t>
      </w:r>
      <w:proofErr w:type="spellEnd"/>
      <w:r w:rsidRPr="00F43B5A">
        <w:rPr>
          <w:rFonts w:ascii="Times New Roman" w:eastAsia="Times New Roman" w:hAnsi="Times New Roman" w:cs="Times New Roman"/>
          <w:kern w:val="0"/>
          <w14:ligatures w14:val="none"/>
        </w:rPr>
        <w:t xml:space="preserve">. Using an inner join approach, only securities common across all datasets were retained, ensuring consistency and alignment in subsequent analyses. To maintain data integrity, rows with missing values in key metrics, such as </w:t>
      </w:r>
      <w:proofErr w:type="spellStart"/>
      <w:r w:rsidRPr="00F43B5A">
        <w:rPr>
          <w:rFonts w:ascii="Courier New" w:eastAsia="Times New Roman" w:hAnsi="Courier New" w:cs="Courier New"/>
          <w:kern w:val="0"/>
          <w:sz w:val="20"/>
          <w:szCs w:val="20"/>
          <w14:ligatures w14:val="none"/>
        </w:rPr>
        <w:t>totalEsg</w:t>
      </w:r>
      <w:proofErr w:type="spellEnd"/>
      <w:r w:rsidRPr="00F43B5A">
        <w:rPr>
          <w:rFonts w:ascii="Times New Roman" w:eastAsia="Times New Roman" w:hAnsi="Times New Roman" w:cs="Times New Roman"/>
          <w:kern w:val="0"/>
          <w14:ligatures w14:val="none"/>
        </w:rPr>
        <w:t>, were removed. This cleaning step ensured that the analysis was conducted on a complete and reliable dataset.</w:t>
      </w:r>
    </w:p>
    <w:p w:rsidR="00F43B5A" w:rsidRPr="00F43B5A" w:rsidRDefault="00F43B5A" w:rsidP="00F43B5A">
      <w:pPr>
        <w:rPr>
          <w:rFonts w:ascii="Times New Roman" w:eastAsia="Times New Roman" w:hAnsi="Times New Roman" w:cs="Times New Roman"/>
          <w:kern w:val="0"/>
          <w14:ligatures w14:val="none"/>
        </w:rPr>
      </w:pPr>
    </w:p>
    <w:p w:rsidR="00F43B5A" w:rsidRPr="00F43B5A" w:rsidRDefault="00F43B5A" w:rsidP="00F43B5A">
      <w:pPr>
        <w:outlineLvl w:val="3"/>
        <w:rPr>
          <w:rFonts w:ascii="Times New Roman" w:eastAsia="Times New Roman" w:hAnsi="Times New Roman" w:cs="Times New Roman"/>
          <w:b/>
          <w:bCs/>
          <w:i/>
          <w:iCs/>
          <w:kern w:val="0"/>
          <w14:ligatures w14:val="none"/>
        </w:rPr>
      </w:pPr>
      <w:r w:rsidRPr="00F43B5A">
        <w:rPr>
          <w:rFonts w:ascii="Times New Roman" w:eastAsia="Times New Roman" w:hAnsi="Times New Roman" w:cs="Times New Roman"/>
          <w:b/>
          <w:bCs/>
          <w:i/>
          <w:iCs/>
          <w:kern w:val="0"/>
          <w14:ligatures w14:val="none"/>
        </w:rPr>
        <w:t>Categorization and Grouping</w:t>
      </w:r>
    </w:p>
    <w:p w:rsidR="00F43B5A" w:rsidRDefault="00F43B5A" w:rsidP="00F43B5A">
      <w:pPr>
        <w:rPr>
          <w:rFonts w:ascii="Times New Roman" w:eastAsia="Times New Roman" w:hAnsi="Times New Roman" w:cs="Times New Roman"/>
          <w:kern w:val="0"/>
          <w14:ligatures w14:val="none"/>
        </w:rPr>
      </w:pPr>
      <w:r w:rsidRPr="00F43B5A">
        <w:rPr>
          <w:rFonts w:ascii="Times New Roman" w:eastAsia="Times New Roman" w:hAnsi="Times New Roman" w:cs="Times New Roman"/>
          <w:kern w:val="0"/>
          <w14:ligatures w14:val="none"/>
        </w:rPr>
        <w:t>The dataset was further enhanced by categorizing companies into meaningful groups. Market capitalization was segmented into small, medium, and large categories based on percentile distributions. Similarly, peer groups were streamlined by consolidating less frequent groups under the label "Others," while retaining the most prominent ones. ESG scores were classified into five distinct risk levels—Severe Risk, High Risk, Medium Risk, Low Risk, and No Risk—using quantile-based thresholds, enabling a granular understanding of ESG performance across the dataset.</w:t>
      </w:r>
    </w:p>
    <w:p w:rsidR="00F43B5A" w:rsidRPr="00F43B5A" w:rsidRDefault="00F43B5A" w:rsidP="00F43B5A">
      <w:pPr>
        <w:rPr>
          <w:rFonts w:ascii="Times New Roman" w:eastAsia="Times New Roman" w:hAnsi="Times New Roman" w:cs="Times New Roman"/>
          <w:kern w:val="0"/>
          <w14:ligatures w14:val="none"/>
        </w:rPr>
      </w:pPr>
    </w:p>
    <w:p w:rsidR="00F43B5A" w:rsidRPr="00F43B5A" w:rsidRDefault="00F43B5A" w:rsidP="00F43B5A">
      <w:pPr>
        <w:outlineLvl w:val="3"/>
        <w:rPr>
          <w:rFonts w:ascii="Times New Roman" w:eastAsia="Times New Roman" w:hAnsi="Times New Roman" w:cs="Times New Roman"/>
          <w:b/>
          <w:bCs/>
          <w:i/>
          <w:iCs/>
          <w:kern w:val="0"/>
          <w14:ligatures w14:val="none"/>
        </w:rPr>
      </w:pPr>
      <w:r w:rsidRPr="00F43B5A">
        <w:rPr>
          <w:rFonts w:ascii="Times New Roman" w:eastAsia="Times New Roman" w:hAnsi="Times New Roman" w:cs="Times New Roman"/>
          <w:b/>
          <w:bCs/>
          <w:i/>
          <w:iCs/>
          <w:kern w:val="0"/>
          <w14:ligatures w14:val="none"/>
        </w:rPr>
        <w:t>Final Dataset Overview</w:t>
      </w:r>
    </w:p>
    <w:p w:rsidR="00F43B5A" w:rsidRDefault="00F43B5A" w:rsidP="00F43B5A">
      <w:pPr>
        <w:rPr>
          <w:rFonts w:ascii="Times New Roman" w:eastAsia="Times New Roman" w:hAnsi="Times New Roman" w:cs="Times New Roman"/>
          <w:kern w:val="0"/>
          <w14:ligatures w14:val="none"/>
        </w:rPr>
      </w:pPr>
      <w:r w:rsidRPr="00F43B5A">
        <w:rPr>
          <w:rFonts w:ascii="Times New Roman" w:eastAsia="Times New Roman" w:hAnsi="Times New Roman" w:cs="Times New Roman"/>
          <w:kern w:val="0"/>
          <w14:ligatures w14:val="none"/>
        </w:rPr>
        <w:t>The resulting dataset contained 465 rows and 25 columns, encapsulating key metrics such as social, environmental, governance, and total ESG scores. Additional fields included market capitalization categories and peer group classifications, providing a robust foundation for portfolio construction and analysis.</w:t>
      </w:r>
    </w:p>
    <w:p w:rsidR="00F43B5A" w:rsidRPr="00F43B5A" w:rsidRDefault="00F43B5A" w:rsidP="00F43B5A">
      <w:pPr>
        <w:rPr>
          <w:rFonts w:ascii="Times New Roman" w:eastAsia="Times New Roman" w:hAnsi="Times New Roman" w:cs="Times New Roman"/>
          <w:kern w:val="0"/>
          <w14:ligatures w14:val="none"/>
        </w:rPr>
      </w:pPr>
    </w:p>
    <w:p w:rsidR="00F43B5A" w:rsidRDefault="00F43B5A" w:rsidP="00F43B5A">
      <w:pPr>
        <w:jc w:val="center"/>
        <w:outlineLvl w:val="2"/>
        <w:rPr>
          <w:rFonts w:ascii="Times New Roman" w:eastAsia="Times New Roman" w:hAnsi="Times New Roman" w:cs="Times New Roman"/>
          <w:b/>
          <w:bCs/>
          <w:i/>
          <w:iCs/>
          <w:kern w:val="0"/>
          <w:sz w:val="27"/>
          <w:szCs w:val="27"/>
          <w14:ligatures w14:val="none"/>
        </w:rPr>
      </w:pPr>
      <w:r w:rsidRPr="00F43B5A">
        <w:rPr>
          <w:rFonts w:ascii="Times New Roman" w:eastAsia="Times New Roman" w:hAnsi="Times New Roman" w:cs="Times New Roman"/>
          <w:b/>
          <w:bCs/>
          <w:i/>
          <w:iCs/>
          <w:kern w:val="0"/>
          <w:sz w:val="27"/>
          <w:szCs w:val="27"/>
          <w14:ligatures w14:val="none"/>
        </w:rPr>
        <w:lastRenderedPageBreak/>
        <w:t>Portfolio Analysis</w:t>
      </w:r>
    </w:p>
    <w:p w:rsidR="00F43B5A" w:rsidRPr="00F43B5A" w:rsidRDefault="00F43B5A" w:rsidP="00F43B5A">
      <w:pPr>
        <w:outlineLvl w:val="2"/>
        <w:rPr>
          <w:rFonts w:ascii="Times New Roman" w:eastAsia="Times New Roman" w:hAnsi="Times New Roman" w:cs="Times New Roman"/>
          <w:b/>
          <w:bCs/>
          <w:i/>
          <w:iCs/>
          <w:kern w:val="0"/>
          <w:sz w:val="27"/>
          <w:szCs w:val="27"/>
          <w14:ligatures w14:val="none"/>
        </w:rPr>
      </w:pPr>
    </w:p>
    <w:p w:rsidR="00F43B5A" w:rsidRPr="00F43B5A" w:rsidRDefault="00F43B5A" w:rsidP="00F43B5A">
      <w:pPr>
        <w:outlineLvl w:val="3"/>
        <w:rPr>
          <w:rFonts w:ascii="Times New Roman" w:eastAsia="Times New Roman" w:hAnsi="Times New Roman" w:cs="Times New Roman"/>
          <w:b/>
          <w:bCs/>
          <w:i/>
          <w:iCs/>
          <w:kern w:val="0"/>
          <w14:ligatures w14:val="none"/>
        </w:rPr>
      </w:pPr>
      <w:r w:rsidRPr="00F43B5A">
        <w:rPr>
          <w:rFonts w:ascii="Times New Roman" w:eastAsia="Times New Roman" w:hAnsi="Times New Roman" w:cs="Times New Roman"/>
          <w:b/>
          <w:bCs/>
          <w:i/>
          <w:iCs/>
          <w:kern w:val="0"/>
          <w14:ligatures w14:val="none"/>
        </w:rPr>
        <w:t>Methodology</w:t>
      </w:r>
    </w:p>
    <w:p w:rsidR="00F43B5A" w:rsidRDefault="00F43B5A" w:rsidP="00F43B5A">
      <w:pPr>
        <w:rPr>
          <w:rFonts w:ascii="Times New Roman" w:eastAsia="Times New Roman" w:hAnsi="Times New Roman" w:cs="Times New Roman"/>
          <w:kern w:val="0"/>
          <w14:ligatures w14:val="none"/>
        </w:rPr>
      </w:pPr>
      <w:r w:rsidRPr="00F43B5A">
        <w:rPr>
          <w:rFonts w:ascii="Times New Roman" w:eastAsia="Times New Roman" w:hAnsi="Times New Roman" w:cs="Times New Roman"/>
          <w:kern w:val="0"/>
          <w14:ligatures w14:val="none"/>
        </w:rPr>
        <w:t>The analysis involved constructing portfolios based on different ESG score dimensions, each comprising 20 securities to maintain uniformity. An equally weighted portfolio spanning all industries served as the benchmark. Four ESG-driven portfolios were analyzed, focusing respectively on social, governance, environmental, and total ESG scores. The methodology ensured comparability across portfolios and highlighted the influence of ESG criteria on financial performance.</w:t>
      </w:r>
    </w:p>
    <w:p w:rsidR="008C660D" w:rsidRDefault="008C660D" w:rsidP="00F43B5A">
      <w:pPr>
        <w:rPr>
          <w:rFonts w:ascii="Times New Roman" w:eastAsia="Times New Roman" w:hAnsi="Times New Roman" w:cs="Times New Roman"/>
          <w:kern w:val="0"/>
          <w14:ligatures w14:val="none"/>
        </w:rPr>
      </w:pPr>
    </w:p>
    <w:p w:rsidR="00B059FE" w:rsidRDefault="00B059FE" w:rsidP="00F43B5A">
      <w:pPr>
        <w:rPr>
          <w:rFonts w:ascii="Times New Roman" w:eastAsia="Times New Roman" w:hAnsi="Times New Roman" w:cs="Times New Roman"/>
          <w:kern w:val="0"/>
          <w14:ligatures w14:val="none"/>
        </w:rPr>
      </w:pPr>
      <w:r>
        <w:rPr>
          <w:noProof/>
        </w:rPr>
        <w:drawing>
          <wp:inline distT="0" distB="0" distL="0" distR="0">
            <wp:extent cx="5887720" cy="4668520"/>
            <wp:effectExtent l="0" t="0" r="5080" b="5080"/>
            <wp:docPr id="1717432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7720" cy="4668520"/>
                    </a:xfrm>
                    <a:prstGeom prst="rect">
                      <a:avLst/>
                    </a:prstGeom>
                    <a:noFill/>
                    <a:ln>
                      <a:noFill/>
                    </a:ln>
                  </pic:spPr>
                </pic:pic>
              </a:graphicData>
            </a:graphic>
          </wp:inline>
        </w:drawing>
      </w:r>
    </w:p>
    <w:p w:rsidR="00F43B5A" w:rsidRPr="00F43B5A" w:rsidRDefault="00F43B5A" w:rsidP="00F43B5A">
      <w:pPr>
        <w:rPr>
          <w:rFonts w:ascii="Times New Roman" w:eastAsia="Times New Roman" w:hAnsi="Times New Roman" w:cs="Times New Roman"/>
          <w:kern w:val="0"/>
          <w14:ligatures w14:val="none"/>
        </w:rPr>
      </w:pPr>
    </w:p>
    <w:p w:rsidR="008C660D" w:rsidRDefault="008C660D" w:rsidP="00F43B5A">
      <w:pPr>
        <w:jc w:val="center"/>
        <w:outlineLvl w:val="2"/>
        <w:rPr>
          <w:rFonts w:ascii="Times New Roman" w:eastAsia="Times New Roman" w:hAnsi="Times New Roman" w:cs="Times New Roman"/>
          <w:b/>
          <w:bCs/>
          <w:i/>
          <w:iCs/>
          <w:kern w:val="0"/>
          <w:sz w:val="27"/>
          <w:szCs w:val="27"/>
          <w14:ligatures w14:val="none"/>
        </w:rPr>
      </w:pPr>
    </w:p>
    <w:p w:rsidR="008C660D" w:rsidRDefault="008C660D" w:rsidP="00F43B5A">
      <w:pPr>
        <w:jc w:val="center"/>
        <w:outlineLvl w:val="2"/>
        <w:rPr>
          <w:rFonts w:ascii="Times New Roman" w:eastAsia="Times New Roman" w:hAnsi="Times New Roman" w:cs="Times New Roman"/>
          <w:b/>
          <w:bCs/>
          <w:i/>
          <w:iCs/>
          <w:kern w:val="0"/>
          <w:sz w:val="27"/>
          <w:szCs w:val="27"/>
          <w14:ligatures w14:val="none"/>
        </w:rPr>
      </w:pPr>
    </w:p>
    <w:p w:rsidR="008C660D" w:rsidRDefault="008C660D" w:rsidP="00F43B5A">
      <w:pPr>
        <w:jc w:val="center"/>
        <w:outlineLvl w:val="2"/>
        <w:rPr>
          <w:rFonts w:ascii="Times New Roman" w:eastAsia="Times New Roman" w:hAnsi="Times New Roman" w:cs="Times New Roman"/>
          <w:b/>
          <w:bCs/>
          <w:i/>
          <w:iCs/>
          <w:kern w:val="0"/>
          <w:sz w:val="27"/>
          <w:szCs w:val="27"/>
          <w14:ligatures w14:val="none"/>
        </w:rPr>
      </w:pPr>
    </w:p>
    <w:p w:rsidR="008C660D" w:rsidRDefault="008C660D" w:rsidP="00F43B5A">
      <w:pPr>
        <w:jc w:val="center"/>
        <w:outlineLvl w:val="2"/>
        <w:rPr>
          <w:rFonts w:ascii="Times New Roman" w:eastAsia="Times New Roman" w:hAnsi="Times New Roman" w:cs="Times New Roman"/>
          <w:b/>
          <w:bCs/>
          <w:i/>
          <w:iCs/>
          <w:kern w:val="0"/>
          <w:sz w:val="27"/>
          <w:szCs w:val="27"/>
          <w14:ligatures w14:val="none"/>
        </w:rPr>
      </w:pPr>
    </w:p>
    <w:p w:rsidR="008C660D" w:rsidRDefault="008C660D" w:rsidP="00F43B5A">
      <w:pPr>
        <w:jc w:val="center"/>
        <w:outlineLvl w:val="2"/>
        <w:rPr>
          <w:rFonts w:ascii="Times New Roman" w:eastAsia="Times New Roman" w:hAnsi="Times New Roman" w:cs="Times New Roman"/>
          <w:b/>
          <w:bCs/>
          <w:i/>
          <w:iCs/>
          <w:kern w:val="0"/>
          <w:sz w:val="27"/>
          <w:szCs w:val="27"/>
          <w14:ligatures w14:val="none"/>
        </w:rPr>
      </w:pPr>
    </w:p>
    <w:p w:rsidR="008C660D" w:rsidRDefault="008C660D" w:rsidP="00F43B5A">
      <w:pPr>
        <w:jc w:val="center"/>
        <w:outlineLvl w:val="2"/>
        <w:rPr>
          <w:rFonts w:ascii="Times New Roman" w:eastAsia="Times New Roman" w:hAnsi="Times New Roman" w:cs="Times New Roman"/>
          <w:b/>
          <w:bCs/>
          <w:i/>
          <w:iCs/>
          <w:kern w:val="0"/>
          <w:sz w:val="27"/>
          <w:szCs w:val="27"/>
          <w14:ligatures w14:val="none"/>
        </w:rPr>
      </w:pPr>
    </w:p>
    <w:p w:rsidR="008C660D" w:rsidRDefault="008C660D" w:rsidP="00F43B5A">
      <w:pPr>
        <w:jc w:val="center"/>
        <w:outlineLvl w:val="2"/>
        <w:rPr>
          <w:rFonts w:ascii="Times New Roman" w:eastAsia="Times New Roman" w:hAnsi="Times New Roman" w:cs="Times New Roman"/>
          <w:b/>
          <w:bCs/>
          <w:i/>
          <w:iCs/>
          <w:kern w:val="0"/>
          <w:sz w:val="27"/>
          <w:szCs w:val="27"/>
          <w14:ligatures w14:val="none"/>
        </w:rPr>
      </w:pPr>
    </w:p>
    <w:p w:rsidR="008C660D" w:rsidRDefault="008C660D" w:rsidP="00F43B5A">
      <w:pPr>
        <w:jc w:val="center"/>
        <w:outlineLvl w:val="2"/>
        <w:rPr>
          <w:rFonts w:ascii="Times New Roman" w:eastAsia="Times New Roman" w:hAnsi="Times New Roman" w:cs="Times New Roman"/>
          <w:b/>
          <w:bCs/>
          <w:i/>
          <w:iCs/>
          <w:kern w:val="0"/>
          <w:sz w:val="27"/>
          <w:szCs w:val="27"/>
          <w14:ligatures w14:val="none"/>
        </w:rPr>
      </w:pPr>
    </w:p>
    <w:p w:rsidR="00F43B5A" w:rsidRDefault="00F43B5A" w:rsidP="00F43B5A">
      <w:pPr>
        <w:jc w:val="center"/>
        <w:outlineLvl w:val="2"/>
        <w:rPr>
          <w:rFonts w:ascii="Times New Roman" w:eastAsia="Times New Roman" w:hAnsi="Times New Roman" w:cs="Times New Roman"/>
          <w:b/>
          <w:bCs/>
          <w:i/>
          <w:iCs/>
          <w:kern w:val="0"/>
          <w:sz w:val="27"/>
          <w:szCs w:val="27"/>
          <w14:ligatures w14:val="none"/>
        </w:rPr>
      </w:pPr>
      <w:r w:rsidRPr="00F43B5A">
        <w:rPr>
          <w:rFonts w:ascii="Times New Roman" w:eastAsia="Times New Roman" w:hAnsi="Times New Roman" w:cs="Times New Roman"/>
          <w:b/>
          <w:bCs/>
          <w:i/>
          <w:iCs/>
          <w:kern w:val="0"/>
          <w:sz w:val="27"/>
          <w:szCs w:val="27"/>
          <w14:ligatures w14:val="none"/>
        </w:rPr>
        <w:lastRenderedPageBreak/>
        <w:t>Stock Selection Strategies</w:t>
      </w:r>
    </w:p>
    <w:p w:rsidR="00F43B5A" w:rsidRPr="00F43B5A" w:rsidRDefault="00F43B5A" w:rsidP="00F43B5A">
      <w:pPr>
        <w:jc w:val="center"/>
        <w:outlineLvl w:val="2"/>
        <w:rPr>
          <w:rFonts w:ascii="Times New Roman" w:eastAsia="Times New Roman" w:hAnsi="Times New Roman" w:cs="Times New Roman"/>
          <w:b/>
          <w:bCs/>
          <w:i/>
          <w:iCs/>
          <w:kern w:val="0"/>
          <w:sz w:val="27"/>
          <w:szCs w:val="27"/>
          <w14:ligatures w14:val="none"/>
        </w:rPr>
      </w:pPr>
    </w:p>
    <w:p w:rsidR="00F43B5A" w:rsidRPr="00F43B5A" w:rsidRDefault="00F43B5A" w:rsidP="00F43B5A">
      <w:pPr>
        <w:outlineLvl w:val="3"/>
        <w:rPr>
          <w:rFonts w:ascii="Times New Roman" w:eastAsia="Times New Roman" w:hAnsi="Times New Roman" w:cs="Times New Roman"/>
          <w:b/>
          <w:bCs/>
          <w:i/>
          <w:iCs/>
          <w:kern w:val="0"/>
          <w14:ligatures w14:val="none"/>
        </w:rPr>
      </w:pPr>
      <w:r w:rsidRPr="00F43B5A">
        <w:rPr>
          <w:rFonts w:ascii="Times New Roman" w:eastAsia="Times New Roman" w:hAnsi="Times New Roman" w:cs="Times New Roman"/>
          <w:b/>
          <w:bCs/>
          <w:i/>
          <w:iCs/>
          <w:kern w:val="0"/>
          <w14:ligatures w14:val="none"/>
        </w:rPr>
        <w:t>1. Broad Market Selection</w:t>
      </w:r>
    </w:p>
    <w:p w:rsidR="00F43B5A" w:rsidRDefault="00F43B5A" w:rsidP="00F43B5A">
      <w:pPr>
        <w:rPr>
          <w:rFonts w:ascii="Times New Roman" w:eastAsia="Times New Roman" w:hAnsi="Times New Roman" w:cs="Times New Roman"/>
          <w:kern w:val="0"/>
          <w14:ligatures w14:val="none"/>
        </w:rPr>
      </w:pPr>
      <w:r w:rsidRPr="00F43B5A">
        <w:rPr>
          <w:rFonts w:ascii="Times New Roman" w:eastAsia="Times New Roman" w:hAnsi="Times New Roman" w:cs="Times New Roman"/>
          <w:kern w:val="0"/>
          <w14:ligatures w14:val="none"/>
        </w:rPr>
        <w:t xml:space="preserve">This approach evaluated performance across all industries without sector-specific focus. Securities were selected based on their rankings in the top 30 for each ESG category. The cumulative performance revealed that the </w:t>
      </w:r>
      <w:proofErr w:type="spellStart"/>
      <w:r w:rsidRPr="00F43B5A">
        <w:rPr>
          <w:rFonts w:ascii="Courier New" w:eastAsia="Times New Roman" w:hAnsi="Courier New" w:cs="Courier New"/>
          <w:kern w:val="0"/>
          <w:sz w:val="20"/>
          <w:szCs w:val="20"/>
          <w14:ligatures w14:val="none"/>
        </w:rPr>
        <w:t>socialScore</w:t>
      </w:r>
      <w:proofErr w:type="spellEnd"/>
      <w:r w:rsidRPr="00F43B5A">
        <w:rPr>
          <w:rFonts w:ascii="Times New Roman" w:eastAsia="Times New Roman" w:hAnsi="Times New Roman" w:cs="Times New Roman"/>
          <w:kern w:val="0"/>
          <w14:ligatures w14:val="none"/>
        </w:rPr>
        <w:t xml:space="preserve"> portfolio slightly outperformed the benchmark over time, maintaining a Sharpe ratio of 0.8519. While the </w:t>
      </w:r>
      <w:proofErr w:type="spellStart"/>
      <w:r w:rsidRPr="00F43B5A">
        <w:rPr>
          <w:rFonts w:ascii="Courier New" w:eastAsia="Times New Roman" w:hAnsi="Courier New" w:cs="Courier New"/>
          <w:kern w:val="0"/>
          <w:sz w:val="20"/>
          <w:szCs w:val="20"/>
          <w14:ligatures w14:val="none"/>
        </w:rPr>
        <w:t>environmentScore</w:t>
      </w:r>
      <w:proofErr w:type="spellEnd"/>
      <w:r w:rsidRPr="00F43B5A">
        <w:rPr>
          <w:rFonts w:ascii="Times New Roman" w:eastAsia="Times New Roman" w:hAnsi="Times New Roman" w:cs="Times New Roman"/>
          <w:kern w:val="0"/>
          <w14:ligatures w14:val="none"/>
        </w:rPr>
        <w:t xml:space="preserve"> portfolio exhibited higher volatility, the </w:t>
      </w:r>
      <w:proofErr w:type="spellStart"/>
      <w:r w:rsidRPr="00F43B5A">
        <w:rPr>
          <w:rFonts w:ascii="Courier New" w:eastAsia="Times New Roman" w:hAnsi="Courier New" w:cs="Courier New"/>
          <w:kern w:val="0"/>
          <w:sz w:val="20"/>
          <w:szCs w:val="20"/>
          <w14:ligatures w14:val="none"/>
        </w:rPr>
        <w:t>socialScore</w:t>
      </w:r>
      <w:proofErr w:type="spellEnd"/>
      <w:r w:rsidRPr="00F43B5A">
        <w:rPr>
          <w:rFonts w:ascii="Times New Roman" w:eastAsia="Times New Roman" w:hAnsi="Times New Roman" w:cs="Times New Roman"/>
          <w:kern w:val="0"/>
          <w14:ligatures w14:val="none"/>
        </w:rPr>
        <w:t xml:space="preserve"> portfolio offered the best risk-adjusted returns.</w:t>
      </w:r>
    </w:p>
    <w:p w:rsidR="00B059FE" w:rsidRDefault="00B059FE" w:rsidP="00F43B5A">
      <w:pPr>
        <w:rPr>
          <w:rFonts w:ascii="Times New Roman" w:eastAsia="Times New Roman" w:hAnsi="Times New Roman" w:cs="Times New Roman"/>
          <w:kern w:val="0"/>
          <w14:ligatures w14:val="none"/>
        </w:rPr>
      </w:pPr>
      <w:r>
        <w:rPr>
          <w:noProof/>
        </w:rPr>
        <w:drawing>
          <wp:inline distT="0" distB="0" distL="0" distR="0">
            <wp:extent cx="5943600" cy="1188720"/>
            <wp:effectExtent l="0" t="0" r="0" b="5080"/>
            <wp:docPr id="15232408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inline>
        </w:drawing>
      </w:r>
    </w:p>
    <w:p w:rsidR="00B059FE" w:rsidRDefault="00B059FE" w:rsidP="00F43B5A">
      <w:pPr>
        <w:rPr>
          <w:rFonts w:ascii="Times New Roman" w:eastAsia="Times New Roman" w:hAnsi="Times New Roman" w:cs="Times New Roman"/>
          <w:kern w:val="0"/>
          <w14:ligatures w14:val="none"/>
        </w:rPr>
      </w:pPr>
      <w:r>
        <w:rPr>
          <w:noProof/>
        </w:rPr>
        <w:drawing>
          <wp:inline distT="0" distB="0" distL="0" distR="0">
            <wp:extent cx="5943600" cy="1188720"/>
            <wp:effectExtent l="0" t="0" r="0" b="5080"/>
            <wp:docPr id="2364548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inline>
        </w:drawing>
      </w:r>
    </w:p>
    <w:p w:rsidR="00B059FE" w:rsidRDefault="00B059FE" w:rsidP="00F43B5A">
      <w:pPr>
        <w:rPr>
          <w:rFonts w:ascii="Times New Roman" w:eastAsia="Times New Roman" w:hAnsi="Times New Roman" w:cs="Times New Roman"/>
          <w:kern w:val="0"/>
          <w14:ligatures w14:val="none"/>
        </w:rPr>
      </w:pPr>
      <w:r>
        <w:rPr>
          <w:noProof/>
        </w:rPr>
        <w:drawing>
          <wp:inline distT="0" distB="0" distL="0" distR="0">
            <wp:extent cx="5943600" cy="1188720"/>
            <wp:effectExtent l="0" t="0" r="0" b="5080"/>
            <wp:docPr id="16654223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inline>
        </w:drawing>
      </w:r>
    </w:p>
    <w:p w:rsidR="00B059FE" w:rsidRDefault="00B059FE" w:rsidP="00F43B5A">
      <w:pPr>
        <w:rPr>
          <w:rFonts w:ascii="Times New Roman" w:eastAsia="Times New Roman" w:hAnsi="Times New Roman" w:cs="Times New Roman"/>
          <w:kern w:val="0"/>
          <w14:ligatures w14:val="none"/>
        </w:rPr>
      </w:pPr>
      <w:r>
        <w:rPr>
          <w:noProof/>
        </w:rPr>
        <w:drawing>
          <wp:inline distT="0" distB="0" distL="0" distR="0">
            <wp:extent cx="5943600" cy="1188720"/>
            <wp:effectExtent l="0" t="0" r="0" b="5080"/>
            <wp:docPr id="8988001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inline>
        </w:drawing>
      </w:r>
    </w:p>
    <w:p w:rsidR="00B059FE" w:rsidRDefault="00B059FE" w:rsidP="00F43B5A">
      <w:pPr>
        <w:rPr>
          <w:rFonts w:ascii="Times New Roman" w:eastAsia="Times New Roman" w:hAnsi="Times New Roman" w:cs="Times New Roman"/>
          <w:kern w:val="0"/>
          <w14:ligatures w14:val="none"/>
        </w:rPr>
      </w:pPr>
    </w:p>
    <w:p w:rsidR="00F43B5A" w:rsidRPr="00F43B5A" w:rsidRDefault="00F43B5A" w:rsidP="00F43B5A">
      <w:pPr>
        <w:rPr>
          <w:rFonts w:ascii="Times New Roman" w:eastAsia="Times New Roman" w:hAnsi="Times New Roman" w:cs="Times New Roman"/>
          <w:kern w:val="0"/>
          <w14:ligatures w14:val="none"/>
        </w:rPr>
      </w:pPr>
    </w:p>
    <w:p w:rsidR="00F43B5A" w:rsidRPr="00F43B5A" w:rsidRDefault="00F43B5A" w:rsidP="00F43B5A">
      <w:pPr>
        <w:outlineLvl w:val="3"/>
        <w:rPr>
          <w:rFonts w:ascii="Times New Roman" w:eastAsia="Times New Roman" w:hAnsi="Times New Roman" w:cs="Times New Roman"/>
          <w:b/>
          <w:bCs/>
          <w:i/>
          <w:iCs/>
          <w:kern w:val="0"/>
          <w14:ligatures w14:val="none"/>
        </w:rPr>
      </w:pPr>
      <w:r w:rsidRPr="00F43B5A">
        <w:rPr>
          <w:rFonts w:ascii="Times New Roman" w:eastAsia="Times New Roman" w:hAnsi="Times New Roman" w:cs="Times New Roman"/>
          <w:b/>
          <w:bCs/>
          <w:i/>
          <w:iCs/>
          <w:kern w:val="0"/>
          <w14:ligatures w14:val="none"/>
        </w:rPr>
        <w:t>2. Outperforming Sectors</w:t>
      </w:r>
    </w:p>
    <w:p w:rsidR="00F43B5A" w:rsidRDefault="00F43B5A" w:rsidP="00F43B5A">
      <w:pPr>
        <w:rPr>
          <w:rFonts w:ascii="Times New Roman" w:eastAsia="Times New Roman" w:hAnsi="Times New Roman" w:cs="Times New Roman"/>
          <w:kern w:val="0"/>
          <w14:ligatures w14:val="none"/>
        </w:rPr>
      </w:pPr>
      <w:r w:rsidRPr="00F43B5A">
        <w:rPr>
          <w:rFonts w:ascii="Times New Roman" w:eastAsia="Times New Roman" w:hAnsi="Times New Roman" w:cs="Times New Roman"/>
          <w:kern w:val="0"/>
          <w14:ligatures w14:val="none"/>
        </w:rPr>
        <w:t xml:space="preserve">Focusing on high-performing sectors such as Information Technology, Consumer Discretionary, and Industrials, this strategy targeted top ESG-ranked securities. The </w:t>
      </w:r>
      <w:proofErr w:type="spellStart"/>
      <w:r w:rsidRPr="00F43B5A">
        <w:rPr>
          <w:rFonts w:ascii="Courier New" w:eastAsia="Times New Roman" w:hAnsi="Courier New" w:cs="Courier New"/>
          <w:kern w:val="0"/>
          <w:sz w:val="20"/>
          <w:szCs w:val="20"/>
          <w14:ligatures w14:val="none"/>
        </w:rPr>
        <w:t>governanceScore</w:t>
      </w:r>
      <w:proofErr w:type="spellEnd"/>
      <w:r w:rsidRPr="00F43B5A">
        <w:rPr>
          <w:rFonts w:ascii="Times New Roman" w:eastAsia="Times New Roman" w:hAnsi="Times New Roman" w:cs="Times New Roman"/>
          <w:kern w:val="0"/>
          <w14:ligatures w14:val="none"/>
        </w:rPr>
        <w:t xml:space="preserve"> portfolio emerged as the leader, achieving the highest annualized return (21.41%) and Sharpe ratio (0.902). Governance-focused strategies excelled in high-growth sectors, demonstrating their potential for enhanced financial performance.</w:t>
      </w:r>
    </w:p>
    <w:p w:rsidR="00B059FE" w:rsidRDefault="00B059FE" w:rsidP="00F43B5A">
      <w:pPr>
        <w:rPr>
          <w:rFonts w:ascii="Times New Roman" w:eastAsia="Times New Roman" w:hAnsi="Times New Roman" w:cs="Times New Roman"/>
          <w:kern w:val="0"/>
          <w14:ligatures w14:val="none"/>
        </w:rPr>
      </w:pPr>
    </w:p>
    <w:p w:rsidR="00B059FE" w:rsidRDefault="00B059FE" w:rsidP="00F43B5A">
      <w:pPr>
        <w:rPr>
          <w:rFonts w:ascii="Times New Roman" w:eastAsia="Times New Roman" w:hAnsi="Times New Roman" w:cs="Times New Roman"/>
          <w:kern w:val="0"/>
          <w14:ligatures w14:val="none"/>
        </w:rPr>
      </w:pPr>
      <w:r>
        <w:rPr>
          <w:noProof/>
        </w:rPr>
        <w:lastRenderedPageBreak/>
        <w:drawing>
          <wp:inline distT="0" distB="0" distL="0" distR="0">
            <wp:extent cx="5943600" cy="1275715"/>
            <wp:effectExtent l="0" t="0" r="0" b="0"/>
            <wp:docPr id="13732757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75715"/>
                    </a:xfrm>
                    <a:prstGeom prst="rect">
                      <a:avLst/>
                    </a:prstGeom>
                    <a:noFill/>
                    <a:ln>
                      <a:noFill/>
                    </a:ln>
                  </pic:spPr>
                </pic:pic>
              </a:graphicData>
            </a:graphic>
          </wp:inline>
        </w:drawing>
      </w:r>
    </w:p>
    <w:p w:rsidR="00F43B5A" w:rsidRPr="00F43B5A" w:rsidRDefault="00F43B5A" w:rsidP="00F43B5A">
      <w:pPr>
        <w:rPr>
          <w:rFonts w:ascii="Times New Roman" w:eastAsia="Times New Roman" w:hAnsi="Times New Roman" w:cs="Times New Roman"/>
          <w:kern w:val="0"/>
          <w14:ligatures w14:val="none"/>
        </w:rPr>
      </w:pPr>
    </w:p>
    <w:p w:rsidR="00F43B5A" w:rsidRDefault="00F43B5A" w:rsidP="00F43B5A">
      <w:pPr>
        <w:outlineLvl w:val="3"/>
        <w:rPr>
          <w:rFonts w:ascii="Times New Roman" w:eastAsia="Times New Roman" w:hAnsi="Times New Roman" w:cs="Times New Roman"/>
          <w:b/>
          <w:bCs/>
          <w:i/>
          <w:iCs/>
          <w:kern w:val="0"/>
          <w14:ligatures w14:val="none"/>
        </w:rPr>
      </w:pPr>
      <w:r w:rsidRPr="00F43B5A">
        <w:rPr>
          <w:rFonts w:ascii="Times New Roman" w:eastAsia="Times New Roman" w:hAnsi="Times New Roman" w:cs="Times New Roman"/>
          <w:b/>
          <w:bCs/>
          <w:i/>
          <w:iCs/>
          <w:kern w:val="0"/>
          <w14:ligatures w14:val="none"/>
        </w:rPr>
        <w:t>3. Excluding Underperforming Sectors</w:t>
      </w:r>
    </w:p>
    <w:p w:rsidR="00B059FE" w:rsidRPr="00F43B5A" w:rsidRDefault="00B059FE" w:rsidP="00F43B5A">
      <w:pPr>
        <w:outlineLvl w:val="3"/>
        <w:rPr>
          <w:rFonts w:ascii="Times New Roman" w:eastAsia="Times New Roman" w:hAnsi="Times New Roman" w:cs="Times New Roman"/>
          <w:b/>
          <w:bCs/>
          <w:i/>
          <w:iCs/>
          <w:kern w:val="0"/>
          <w14:ligatures w14:val="none"/>
        </w:rPr>
      </w:pPr>
    </w:p>
    <w:p w:rsidR="00F43B5A" w:rsidRDefault="00F43B5A" w:rsidP="00F43B5A">
      <w:pPr>
        <w:rPr>
          <w:rFonts w:ascii="Times New Roman" w:eastAsia="Times New Roman" w:hAnsi="Times New Roman" w:cs="Times New Roman"/>
          <w:kern w:val="0"/>
          <w14:ligatures w14:val="none"/>
        </w:rPr>
      </w:pPr>
      <w:r w:rsidRPr="00F43B5A">
        <w:rPr>
          <w:rFonts w:ascii="Times New Roman" w:eastAsia="Times New Roman" w:hAnsi="Times New Roman" w:cs="Times New Roman"/>
          <w:kern w:val="0"/>
          <w14:ligatures w14:val="none"/>
        </w:rPr>
        <w:t xml:space="preserve">By excluding sectors with weak historical performance—Utilities, Real Estate, and Consumer Staples—this strategy refined portfolio composition. The </w:t>
      </w:r>
      <w:proofErr w:type="spellStart"/>
      <w:r w:rsidRPr="00F43B5A">
        <w:rPr>
          <w:rFonts w:ascii="Courier New" w:eastAsia="Times New Roman" w:hAnsi="Courier New" w:cs="Courier New"/>
          <w:kern w:val="0"/>
          <w:sz w:val="20"/>
          <w:szCs w:val="20"/>
          <w14:ligatures w14:val="none"/>
        </w:rPr>
        <w:t>socialScore</w:t>
      </w:r>
      <w:proofErr w:type="spellEnd"/>
      <w:r w:rsidRPr="00F43B5A">
        <w:rPr>
          <w:rFonts w:ascii="Times New Roman" w:eastAsia="Times New Roman" w:hAnsi="Times New Roman" w:cs="Times New Roman"/>
          <w:kern w:val="0"/>
          <w14:ligatures w14:val="none"/>
        </w:rPr>
        <w:t xml:space="preserve"> portfolio delivered superior returns of 17.50% and competitive risk-adjusted performance. Excluding underperforming sectors also reduced volatility, enhancing portfolio stability.</w:t>
      </w:r>
    </w:p>
    <w:p w:rsidR="00B059FE" w:rsidRDefault="00B059FE" w:rsidP="00F43B5A">
      <w:pPr>
        <w:rPr>
          <w:rFonts w:ascii="Times New Roman" w:eastAsia="Times New Roman" w:hAnsi="Times New Roman" w:cs="Times New Roman"/>
          <w:kern w:val="0"/>
          <w14:ligatures w14:val="none"/>
        </w:rPr>
      </w:pPr>
    </w:p>
    <w:p w:rsidR="00B059FE" w:rsidRDefault="00B059FE" w:rsidP="00F43B5A">
      <w:pPr>
        <w:rPr>
          <w:rFonts w:ascii="Times New Roman" w:eastAsia="Times New Roman" w:hAnsi="Times New Roman" w:cs="Times New Roman"/>
          <w:kern w:val="0"/>
          <w14:ligatures w14:val="none"/>
        </w:rPr>
      </w:pPr>
      <w:r>
        <w:rPr>
          <w:noProof/>
        </w:rPr>
        <w:drawing>
          <wp:inline distT="0" distB="0" distL="0" distR="0">
            <wp:extent cx="5943600" cy="1275715"/>
            <wp:effectExtent l="0" t="0" r="0" b="0"/>
            <wp:docPr id="2424992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75715"/>
                    </a:xfrm>
                    <a:prstGeom prst="rect">
                      <a:avLst/>
                    </a:prstGeom>
                    <a:noFill/>
                    <a:ln>
                      <a:noFill/>
                    </a:ln>
                  </pic:spPr>
                </pic:pic>
              </a:graphicData>
            </a:graphic>
          </wp:inline>
        </w:drawing>
      </w:r>
    </w:p>
    <w:p w:rsidR="00F43B5A" w:rsidRPr="00F43B5A" w:rsidRDefault="00F43B5A" w:rsidP="00F43B5A">
      <w:pPr>
        <w:rPr>
          <w:rFonts w:ascii="Times New Roman" w:eastAsia="Times New Roman" w:hAnsi="Times New Roman" w:cs="Times New Roman"/>
          <w:kern w:val="0"/>
          <w14:ligatures w14:val="none"/>
        </w:rPr>
      </w:pPr>
    </w:p>
    <w:p w:rsidR="00F43B5A" w:rsidRPr="00F43B5A" w:rsidRDefault="00F43B5A" w:rsidP="00F43B5A">
      <w:pPr>
        <w:outlineLvl w:val="3"/>
        <w:rPr>
          <w:rFonts w:ascii="Times New Roman" w:eastAsia="Times New Roman" w:hAnsi="Times New Roman" w:cs="Times New Roman"/>
          <w:b/>
          <w:bCs/>
          <w:i/>
          <w:iCs/>
          <w:kern w:val="0"/>
          <w14:ligatures w14:val="none"/>
        </w:rPr>
      </w:pPr>
      <w:r w:rsidRPr="00F43B5A">
        <w:rPr>
          <w:rFonts w:ascii="Times New Roman" w:eastAsia="Times New Roman" w:hAnsi="Times New Roman" w:cs="Times New Roman"/>
          <w:b/>
          <w:bCs/>
          <w:i/>
          <w:iCs/>
          <w:kern w:val="0"/>
          <w14:ligatures w14:val="none"/>
        </w:rPr>
        <w:t>4. Sector-Focused Selection</w:t>
      </w:r>
    </w:p>
    <w:p w:rsidR="00B059FE" w:rsidRPr="00B059FE" w:rsidRDefault="00F43B5A" w:rsidP="00B059FE">
      <w:pPr>
        <w:rPr>
          <w:rStyle w:val="Strong"/>
          <w:rFonts w:ascii="Times New Roman" w:eastAsia="Times New Roman" w:hAnsi="Times New Roman" w:cs="Times New Roman"/>
          <w:b w:val="0"/>
          <w:bCs w:val="0"/>
          <w:kern w:val="0"/>
          <w14:ligatures w14:val="none"/>
        </w:rPr>
      </w:pPr>
      <w:r w:rsidRPr="00F43B5A">
        <w:rPr>
          <w:rFonts w:ascii="Times New Roman" w:eastAsia="Times New Roman" w:hAnsi="Times New Roman" w:cs="Times New Roman"/>
          <w:kern w:val="0"/>
          <w14:ligatures w14:val="none"/>
        </w:rPr>
        <w:t xml:space="preserve">This approach capitalized on sectors with strong ESG characteristics, specifically Financials and Health Care, identified for their high governance and social scores. The </w:t>
      </w:r>
      <w:proofErr w:type="spellStart"/>
      <w:r w:rsidRPr="00F43B5A">
        <w:rPr>
          <w:rFonts w:ascii="Courier New" w:eastAsia="Times New Roman" w:hAnsi="Courier New" w:cs="Courier New"/>
          <w:kern w:val="0"/>
          <w:sz w:val="20"/>
          <w:szCs w:val="20"/>
          <w14:ligatures w14:val="none"/>
        </w:rPr>
        <w:t>environmentScore</w:t>
      </w:r>
      <w:proofErr w:type="spellEnd"/>
      <w:r w:rsidRPr="00F43B5A">
        <w:rPr>
          <w:rFonts w:ascii="Times New Roman" w:eastAsia="Times New Roman" w:hAnsi="Times New Roman" w:cs="Times New Roman"/>
          <w:kern w:val="0"/>
          <w14:ligatures w14:val="none"/>
        </w:rPr>
        <w:t xml:space="preserve"> portfolio outperformed the benchmark, achieving the highest Sharpe ratio (0.827). Financials and Health Care demonstrated robust ESG performance, emphasizing sector-specific opportunities for ESG-driven strategies.</w:t>
      </w:r>
    </w:p>
    <w:p w:rsidR="00B059FE" w:rsidRDefault="00B059FE" w:rsidP="00B059FE">
      <w:pPr>
        <w:pStyle w:val="Heading3"/>
        <w:jc w:val="center"/>
        <w:rPr>
          <w:rStyle w:val="Strong"/>
          <w:b/>
          <w:bCs/>
          <w:i/>
          <w:iCs/>
        </w:rPr>
      </w:pPr>
    </w:p>
    <w:p w:rsidR="008C660D" w:rsidRDefault="008C660D" w:rsidP="00B059FE">
      <w:pPr>
        <w:pStyle w:val="Heading3"/>
        <w:jc w:val="center"/>
        <w:rPr>
          <w:rStyle w:val="Strong"/>
          <w:b/>
          <w:bCs/>
          <w:i/>
          <w:iCs/>
        </w:rPr>
      </w:pPr>
    </w:p>
    <w:p w:rsidR="008C660D" w:rsidRDefault="008C660D" w:rsidP="00B059FE">
      <w:pPr>
        <w:pStyle w:val="Heading3"/>
        <w:jc w:val="center"/>
        <w:rPr>
          <w:rStyle w:val="Strong"/>
          <w:b/>
          <w:bCs/>
          <w:i/>
          <w:iCs/>
        </w:rPr>
      </w:pPr>
    </w:p>
    <w:p w:rsidR="008C660D" w:rsidRDefault="008C660D" w:rsidP="00B059FE">
      <w:pPr>
        <w:pStyle w:val="Heading3"/>
        <w:jc w:val="center"/>
        <w:rPr>
          <w:rStyle w:val="Strong"/>
          <w:b/>
          <w:bCs/>
          <w:i/>
          <w:iCs/>
        </w:rPr>
      </w:pPr>
    </w:p>
    <w:p w:rsidR="008C660D" w:rsidRDefault="008C660D" w:rsidP="00B059FE">
      <w:pPr>
        <w:pStyle w:val="Heading3"/>
        <w:jc w:val="center"/>
        <w:rPr>
          <w:rStyle w:val="Strong"/>
          <w:b/>
          <w:bCs/>
          <w:i/>
          <w:iCs/>
        </w:rPr>
      </w:pPr>
    </w:p>
    <w:p w:rsidR="008C660D" w:rsidRDefault="008C660D" w:rsidP="00B059FE">
      <w:pPr>
        <w:pStyle w:val="Heading3"/>
        <w:jc w:val="center"/>
        <w:rPr>
          <w:rStyle w:val="Strong"/>
          <w:b/>
          <w:bCs/>
          <w:i/>
          <w:iCs/>
        </w:rPr>
      </w:pPr>
    </w:p>
    <w:p w:rsidR="008C660D" w:rsidRDefault="008C660D" w:rsidP="00B059FE">
      <w:pPr>
        <w:pStyle w:val="Heading3"/>
        <w:jc w:val="center"/>
        <w:rPr>
          <w:rStyle w:val="Strong"/>
          <w:b/>
          <w:bCs/>
          <w:i/>
          <w:iCs/>
        </w:rPr>
      </w:pPr>
    </w:p>
    <w:p w:rsidR="008C660D" w:rsidRDefault="008C660D" w:rsidP="00B059FE">
      <w:pPr>
        <w:pStyle w:val="Heading3"/>
        <w:jc w:val="center"/>
        <w:rPr>
          <w:rStyle w:val="Strong"/>
          <w:b/>
          <w:bCs/>
          <w:i/>
          <w:iCs/>
        </w:rPr>
      </w:pPr>
    </w:p>
    <w:p w:rsidR="00B059FE" w:rsidRPr="00B059FE" w:rsidRDefault="00B059FE" w:rsidP="00B059FE">
      <w:pPr>
        <w:pStyle w:val="Heading3"/>
        <w:jc w:val="center"/>
        <w:rPr>
          <w:i/>
          <w:iCs/>
        </w:rPr>
      </w:pPr>
      <w:r w:rsidRPr="00B059FE">
        <w:rPr>
          <w:rStyle w:val="Strong"/>
          <w:b/>
          <w:bCs/>
          <w:i/>
          <w:iCs/>
        </w:rPr>
        <w:lastRenderedPageBreak/>
        <w:t>Results</w:t>
      </w:r>
    </w:p>
    <w:p w:rsidR="00B059FE" w:rsidRDefault="00B059FE" w:rsidP="00B059FE">
      <w:pPr>
        <w:pStyle w:val="NormalWeb"/>
      </w:pPr>
      <w:r>
        <w:t>The results of the analysis reveal notable insights into the performance of ESG-focused portfolios:</w:t>
      </w:r>
    </w:p>
    <w:p w:rsidR="00B059FE" w:rsidRDefault="00B059FE" w:rsidP="00B059FE">
      <w:pPr>
        <w:pStyle w:val="NormalWeb"/>
        <w:numPr>
          <w:ilvl w:val="0"/>
          <w:numId w:val="2"/>
        </w:numPr>
      </w:pPr>
      <w:r>
        <w:rPr>
          <w:rStyle w:val="Strong"/>
        </w:rPr>
        <w:t>Broad Market Selection</w:t>
      </w:r>
      <w:r>
        <w:t xml:space="preserve">: The </w:t>
      </w:r>
      <w:proofErr w:type="spellStart"/>
      <w:r>
        <w:rPr>
          <w:rStyle w:val="HTMLCode"/>
        </w:rPr>
        <w:t>socialScore</w:t>
      </w:r>
      <w:proofErr w:type="spellEnd"/>
      <w:r>
        <w:t xml:space="preserve"> portfolio slightly outperformed the benchmark, with a Sharpe ratio of 0.8519. It demonstrated stable risk-adjusted returns despite moderate volatility.</w:t>
      </w:r>
    </w:p>
    <w:p w:rsidR="00B059FE" w:rsidRDefault="00B059FE" w:rsidP="00B059FE">
      <w:pPr>
        <w:pStyle w:val="NormalWeb"/>
        <w:ind w:left="360"/>
      </w:pPr>
      <w:r>
        <w:rPr>
          <w:noProof/>
        </w:rPr>
        <w:drawing>
          <wp:inline distT="0" distB="0" distL="0" distR="0" wp14:anchorId="5296E0CC" wp14:editId="013AE07C">
            <wp:extent cx="5943600" cy="1271270"/>
            <wp:effectExtent l="0" t="0" r="0" b="0"/>
            <wp:docPr id="14946834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71270"/>
                    </a:xfrm>
                    <a:prstGeom prst="rect">
                      <a:avLst/>
                    </a:prstGeom>
                    <a:noFill/>
                    <a:ln>
                      <a:noFill/>
                    </a:ln>
                  </pic:spPr>
                </pic:pic>
              </a:graphicData>
            </a:graphic>
          </wp:inline>
        </w:drawing>
      </w:r>
    </w:p>
    <w:p w:rsidR="00B059FE" w:rsidRDefault="00B059FE" w:rsidP="00B059FE">
      <w:pPr>
        <w:pStyle w:val="NormalWeb"/>
        <w:ind w:left="360"/>
      </w:pPr>
      <w:r>
        <w:rPr>
          <w:noProof/>
        </w:rPr>
        <w:drawing>
          <wp:inline distT="0" distB="0" distL="0" distR="0">
            <wp:extent cx="5943600" cy="1299210"/>
            <wp:effectExtent l="0" t="0" r="0" b="0"/>
            <wp:docPr id="5417881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99210"/>
                    </a:xfrm>
                    <a:prstGeom prst="rect">
                      <a:avLst/>
                    </a:prstGeom>
                    <a:noFill/>
                    <a:ln>
                      <a:noFill/>
                    </a:ln>
                  </pic:spPr>
                </pic:pic>
              </a:graphicData>
            </a:graphic>
          </wp:inline>
        </w:drawing>
      </w:r>
    </w:p>
    <w:p w:rsidR="00B059FE" w:rsidRPr="00B059FE" w:rsidRDefault="00B059FE" w:rsidP="00B059FE">
      <w:pPr>
        <w:ind w:left="360"/>
        <w:rPr>
          <w:rFonts w:ascii="Courier New" w:eastAsia="Times New Roman" w:hAnsi="Courier New" w:cs="Courier New"/>
          <w:color w:val="1F1F1F"/>
          <w:kern w:val="0"/>
          <w:sz w:val="20"/>
          <w:szCs w:val="20"/>
          <w:shd w:val="clear" w:color="auto" w:fill="FFFFFF"/>
          <w14:ligatures w14:val="none"/>
        </w:rPr>
      </w:pPr>
      <w:r w:rsidRPr="00B059FE">
        <w:rPr>
          <w:rFonts w:ascii="Courier New" w:eastAsia="Times New Roman" w:hAnsi="Courier New" w:cs="Courier New"/>
          <w:color w:val="1F1F1F"/>
          <w:kern w:val="0"/>
          <w:sz w:val="20"/>
          <w:szCs w:val="20"/>
          <w:shd w:val="clear" w:color="auto" w:fill="FFFFFF"/>
          <w14:ligatures w14:val="none"/>
        </w:rPr>
        <w:t xml:space="preserve">                  Annualized Return  Annualized Volatility  Sharpe Ratio</w:t>
      </w:r>
    </w:p>
    <w:p w:rsidR="00B059FE" w:rsidRPr="00B059FE" w:rsidRDefault="00B059FE" w:rsidP="00B059FE">
      <w:pPr>
        <w:ind w:left="360"/>
        <w:rPr>
          <w:rFonts w:ascii="Courier New" w:eastAsia="Times New Roman" w:hAnsi="Courier New" w:cs="Courier New"/>
          <w:color w:val="1F1F1F"/>
          <w:kern w:val="0"/>
          <w:sz w:val="20"/>
          <w:szCs w:val="20"/>
          <w:shd w:val="clear" w:color="auto" w:fill="FFFFFF"/>
          <w14:ligatures w14:val="none"/>
        </w:rPr>
      </w:pPr>
      <w:proofErr w:type="spellStart"/>
      <w:r w:rsidRPr="00B059FE">
        <w:rPr>
          <w:rFonts w:ascii="Courier New" w:eastAsia="Times New Roman" w:hAnsi="Courier New" w:cs="Courier New"/>
          <w:color w:val="1F1F1F"/>
          <w:kern w:val="0"/>
          <w:sz w:val="20"/>
          <w:szCs w:val="20"/>
          <w:shd w:val="clear" w:color="auto" w:fill="FFFFFF"/>
          <w14:ligatures w14:val="none"/>
        </w:rPr>
        <w:t>socialScore</w:t>
      </w:r>
      <w:proofErr w:type="spellEnd"/>
      <w:r w:rsidRPr="00B059FE">
        <w:rPr>
          <w:rFonts w:ascii="Courier New" w:eastAsia="Times New Roman" w:hAnsi="Courier New" w:cs="Courier New"/>
          <w:color w:val="1F1F1F"/>
          <w:kern w:val="0"/>
          <w:sz w:val="20"/>
          <w:szCs w:val="20"/>
          <w:shd w:val="clear" w:color="auto" w:fill="FFFFFF"/>
          <w14:ligatures w14:val="none"/>
        </w:rPr>
        <w:t xml:space="preserve">       0.170508           0.184886               0.851919    </w:t>
      </w:r>
    </w:p>
    <w:p w:rsidR="00B059FE" w:rsidRPr="00B059FE" w:rsidRDefault="00B059FE" w:rsidP="00B059FE">
      <w:pPr>
        <w:ind w:left="360"/>
        <w:rPr>
          <w:rFonts w:ascii="Courier New" w:eastAsia="Times New Roman" w:hAnsi="Courier New" w:cs="Courier New"/>
          <w:color w:val="1F1F1F"/>
          <w:kern w:val="0"/>
          <w:sz w:val="20"/>
          <w:szCs w:val="20"/>
          <w:shd w:val="clear" w:color="auto" w:fill="FFFFFF"/>
          <w14:ligatures w14:val="none"/>
        </w:rPr>
      </w:pPr>
      <w:proofErr w:type="spellStart"/>
      <w:r w:rsidRPr="00B059FE">
        <w:rPr>
          <w:rFonts w:ascii="Courier New" w:eastAsia="Times New Roman" w:hAnsi="Courier New" w:cs="Courier New"/>
          <w:color w:val="1F1F1F"/>
          <w:kern w:val="0"/>
          <w:sz w:val="20"/>
          <w:szCs w:val="20"/>
          <w:shd w:val="clear" w:color="auto" w:fill="FFFFFF"/>
          <w14:ligatures w14:val="none"/>
        </w:rPr>
        <w:t>bmk</w:t>
      </w:r>
      <w:proofErr w:type="spellEnd"/>
      <w:r w:rsidRPr="00B059FE">
        <w:rPr>
          <w:rFonts w:ascii="Courier New" w:eastAsia="Times New Roman" w:hAnsi="Courier New" w:cs="Courier New"/>
          <w:color w:val="1F1F1F"/>
          <w:kern w:val="0"/>
          <w:sz w:val="20"/>
          <w:szCs w:val="20"/>
          <w:shd w:val="clear" w:color="auto" w:fill="FFFFFF"/>
          <w14:ligatures w14:val="none"/>
        </w:rPr>
        <w:t xml:space="preserve">               0.158190           0.170435               0.851878    </w:t>
      </w:r>
    </w:p>
    <w:p w:rsidR="00B059FE" w:rsidRPr="00B059FE" w:rsidRDefault="00B059FE" w:rsidP="00B059FE">
      <w:pPr>
        <w:ind w:left="360"/>
        <w:rPr>
          <w:rFonts w:ascii="Courier New" w:eastAsia="Times New Roman" w:hAnsi="Courier New" w:cs="Courier New"/>
          <w:color w:val="1F1F1F"/>
          <w:kern w:val="0"/>
          <w:sz w:val="20"/>
          <w:szCs w:val="20"/>
          <w:shd w:val="clear" w:color="auto" w:fill="FFFFFF"/>
          <w14:ligatures w14:val="none"/>
        </w:rPr>
      </w:pPr>
      <w:proofErr w:type="spellStart"/>
      <w:r w:rsidRPr="00B059FE">
        <w:rPr>
          <w:rFonts w:ascii="Courier New" w:eastAsia="Times New Roman" w:hAnsi="Courier New" w:cs="Courier New"/>
          <w:color w:val="1F1F1F"/>
          <w:kern w:val="0"/>
          <w:sz w:val="20"/>
          <w:szCs w:val="20"/>
          <w:shd w:val="clear" w:color="auto" w:fill="FFFFFF"/>
          <w14:ligatures w14:val="none"/>
        </w:rPr>
        <w:t>governanceScore</w:t>
      </w:r>
      <w:proofErr w:type="spellEnd"/>
      <w:r w:rsidRPr="00B059FE">
        <w:rPr>
          <w:rFonts w:ascii="Courier New" w:eastAsia="Times New Roman" w:hAnsi="Courier New" w:cs="Courier New"/>
          <w:color w:val="1F1F1F"/>
          <w:kern w:val="0"/>
          <w:sz w:val="20"/>
          <w:szCs w:val="20"/>
          <w:shd w:val="clear" w:color="auto" w:fill="FFFFFF"/>
          <w14:ligatures w14:val="none"/>
        </w:rPr>
        <w:t xml:space="preserve">   0.158647           0.208054               0.700046    </w:t>
      </w:r>
    </w:p>
    <w:p w:rsidR="00B059FE" w:rsidRPr="00B059FE" w:rsidRDefault="00B059FE" w:rsidP="00B059FE">
      <w:pPr>
        <w:ind w:left="360"/>
        <w:rPr>
          <w:rFonts w:ascii="Courier New" w:eastAsia="Times New Roman" w:hAnsi="Courier New" w:cs="Courier New"/>
          <w:color w:val="1F1F1F"/>
          <w:kern w:val="0"/>
          <w:sz w:val="20"/>
          <w:szCs w:val="20"/>
          <w:shd w:val="clear" w:color="auto" w:fill="FFFFFF"/>
          <w14:ligatures w14:val="none"/>
        </w:rPr>
      </w:pPr>
      <w:proofErr w:type="spellStart"/>
      <w:r w:rsidRPr="00B059FE">
        <w:rPr>
          <w:rFonts w:ascii="Courier New" w:eastAsia="Times New Roman" w:hAnsi="Courier New" w:cs="Courier New"/>
          <w:color w:val="1F1F1F"/>
          <w:kern w:val="0"/>
          <w:sz w:val="20"/>
          <w:szCs w:val="20"/>
          <w:shd w:val="clear" w:color="auto" w:fill="FFFFFF"/>
          <w14:ligatures w14:val="none"/>
        </w:rPr>
        <w:t>totalEsg</w:t>
      </w:r>
      <w:proofErr w:type="spellEnd"/>
      <w:r w:rsidRPr="00B059FE">
        <w:rPr>
          <w:rFonts w:ascii="Courier New" w:eastAsia="Times New Roman" w:hAnsi="Courier New" w:cs="Courier New"/>
          <w:color w:val="1F1F1F"/>
          <w:kern w:val="0"/>
          <w:sz w:val="20"/>
          <w:szCs w:val="20"/>
          <w:shd w:val="clear" w:color="auto" w:fill="FFFFFF"/>
          <w14:ligatures w14:val="none"/>
        </w:rPr>
        <w:t xml:space="preserve">          0.153360           0.246023               0.570515    </w:t>
      </w:r>
    </w:p>
    <w:p w:rsidR="00B059FE" w:rsidRDefault="00B059FE" w:rsidP="00B059FE">
      <w:pPr>
        <w:pStyle w:val="NormalWeb"/>
        <w:spacing w:before="0" w:beforeAutospacing="0"/>
        <w:ind w:left="360"/>
      </w:pPr>
      <w:proofErr w:type="spellStart"/>
      <w:r w:rsidRPr="00B059FE">
        <w:rPr>
          <w:rFonts w:ascii="Courier New" w:hAnsi="Courier New" w:cs="Courier New"/>
          <w:color w:val="1F1F1F"/>
          <w:sz w:val="20"/>
          <w:szCs w:val="20"/>
          <w:shd w:val="clear" w:color="auto" w:fill="FFFFFF"/>
        </w:rPr>
        <w:t>environmentScore</w:t>
      </w:r>
      <w:proofErr w:type="spellEnd"/>
      <w:r w:rsidRPr="00B059FE">
        <w:rPr>
          <w:rFonts w:ascii="Courier New" w:hAnsi="Courier New" w:cs="Courier New"/>
          <w:color w:val="1F1F1F"/>
          <w:sz w:val="20"/>
          <w:szCs w:val="20"/>
          <w:shd w:val="clear" w:color="auto" w:fill="FFFFFF"/>
        </w:rPr>
        <w:t xml:space="preserve">  0.138832           0.255769               0.491974  </w:t>
      </w:r>
    </w:p>
    <w:p w:rsidR="00B059FE" w:rsidRDefault="00B059FE" w:rsidP="00B059FE">
      <w:pPr>
        <w:pStyle w:val="NormalWeb"/>
        <w:numPr>
          <w:ilvl w:val="0"/>
          <w:numId w:val="2"/>
        </w:numPr>
      </w:pPr>
      <w:r>
        <w:rPr>
          <w:rStyle w:val="Strong"/>
        </w:rPr>
        <w:t>Outperforming Sectors</w:t>
      </w:r>
      <w:r>
        <w:t xml:space="preserve">: The </w:t>
      </w:r>
      <w:proofErr w:type="spellStart"/>
      <w:r>
        <w:rPr>
          <w:rStyle w:val="HTMLCode"/>
        </w:rPr>
        <w:t>governanceScore</w:t>
      </w:r>
      <w:proofErr w:type="spellEnd"/>
      <w:r>
        <w:t xml:space="preserve"> portfolio led in annualized return (21.41%) and Sharpe ratio (0.902), driven by strong performance in high-growth sectors like Information Technology.</w:t>
      </w:r>
    </w:p>
    <w:p w:rsidR="00B059FE" w:rsidRDefault="00B059FE" w:rsidP="00B059FE">
      <w:pPr>
        <w:pStyle w:val="NormalWeb"/>
        <w:ind w:left="360"/>
      </w:pPr>
      <w:r>
        <w:rPr>
          <w:noProof/>
        </w:rPr>
        <w:drawing>
          <wp:inline distT="0" distB="0" distL="0" distR="0">
            <wp:extent cx="5943600" cy="1271270"/>
            <wp:effectExtent l="0" t="0" r="0" b="0"/>
            <wp:docPr id="7392634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71270"/>
                    </a:xfrm>
                    <a:prstGeom prst="rect">
                      <a:avLst/>
                    </a:prstGeom>
                    <a:noFill/>
                    <a:ln>
                      <a:noFill/>
                    </a:ln>
                  </pic:spPr>
                </pic:pic>
              </a:graphicData>
            </a:graphic>
          </wp:inline>
        </w:drawing>
      </w:r>
    </w:p>
    <w:p w:rsidR="00B059FE" w:rsidRDefault="00B059FE" w:rsidP="00B059FE">
      <w:pPr>
        <w:pStyle w:val="NormalWeb"/>
        <w:ind w:left="360"/>
      </w:pPr>
      <w:r>
        <w:rPr>
          <w:noProof/>
        </w:rPr>
        <w:lastRenderedPageBreak/>
        <w:drawing>
          <wp:inline distT="0" distB="0" distL="0" distR="0">
            <wp:extent cx="5943600" cy="1299210"/>
            <wp:effectExtent l="0" t="0" r="0" b="0"/>
            <wp:docPr id="8125774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299210"/>
                    </a:xfrm>
                    <a:prstGeom prst="rect">
                      <a:avLst/>
                    </a:prstGeom>
                    <a:noFill/>
                    <a:ln>
                      <a:noFill/>
                    </a:ln>
                  </pic:spPr>
                </pic:pic>
              </a:graphicData>
            </a:graphic>
          </wp:inline>
        </w:drawing>
      </w:r>
    </w:p>
    <w:p w:rsidR="008C660D" w:rsidRPr="008C660D" w:rsidRDefault="008C660D" w:rsidP="008C660D">
      <w:pPr>
        <w:ind w:left="2520"/>
        <w:rPr>
          <w:rFonts w:ascii="Courier New" w:eastAsia="Times New Roman" w:hAnsi="Courier New" w:cs="Courier New"/>
          <w:color w:val="1F1F1F"/>
          <w:kern w:val="0"/>
          <w:sz w:val="20"/>
          <w:szCs w:val="20"/>
          <w:shd w:val="clear" w:color="auto" w:fill="FFFFFF"/>
          <w14:ligatures w14:val="none"/>
        </w:rPr>
      </w:pPr>
      <w:r w:rsidRPr="008C660D">
        <w:rPr>
          <w:rFonts w:ascii="Courier New" w:eastAsia="Times New Roman" w:hAnsi="Courier New" w:cs="Courier New"/>
          <w:color w:val="1F1F1F"/>
          <w:kern w:val="0"/>
          <w:sz w:val="20"/>
          <w:szCs w:val="20"/>
          <w:shd w:val="clear" w:color="auto" w:fill="FFFFFF"/>
          <w14:ligatures w14:val="none"/>
        </w:rPr>
        <w:t>Annualized Return  Annualized Volatility  Sharpe Ratio</w:t>
      </w:r>
    </w:p>
    <w:p w:rsidR="008C660D" w:rsidRPr="008C660D" w:rsidRDefault="008C660D" w:rsidP="008C660D">
      <w:pPr>
        <w:ind w:left="360"/>
        <w:rPr>
          <w:rFonts w:ascii="Courier New" w:eastAsia="Times New Roman" w:hAnsi="Courier New" w:cs="Courier New"/>
          <w:color w:val="1F1F1F"/>
          <w:kern w:val="0"/>
          <w:sz w:val="20"/>
          <w:szCs w:val="20"/>
          <w:shd w:val="clear" w:color="auto" w:fill="FFFFFF"/>
          <w14:ligatures w14:val="none"/>
        </w:rPr>
      </w:pPr>
      <w:proofErr w:type="spellStart"/>
      <w:r w:rsidRPr="008C660D">
        <w:rPr>
          <w:rFonts w:ascii="Courier New" w:eastAsia="Times New Roman" w:hAnsi="Courier New" w:cs="Courier New"/>
          <w:color w:val="1F1F1F"/>
          <w:kern w:val="0"/>
          <w:sz w:val="20"/>
          <w:szCs w:val="20"/>
          <w:shd w:val="clear" w:color="auto" w:fill="FFFFFF"/>
          <w14:ligatures w14:val="none"/>
        </w:rPr>
        <w:t>governanceScore</w:t>
      </w:r>
      <w:proofErr w:type="spellEnd"/>
      <w:r w:rsidRPr="008C660D">
        <w:rPr>
          <w:rFonts w:ascii="Courier New" w:eastAsia="Times New Roman" w:hAnsi="Courier New" w:cs="Courier New"/>
          <w:color w:val="1F1F1F"/>
          <w:kern w:val="0"/>
          <w:sz w:val="20"/>
          <w:szCs w:val="20"/>
          <w:shd w:val="clear" w:color="auto" w:fill="FFFFFF"/>
          <w14:ligatures w14:val="none"/>
        </w:rPr>
        <w:t xml:space="preserve">   0.214058           0.222901               0.902009    </w:t>
      </w:r>
    </w:p>
    <w:p w:rsidR="008C660D" w:rsidRPr="008C660D" w:rsidRDefault="008C660D" w:rsidP="008C660D">
      <w:pPr>
        <w:ind w:left="360"/>
        <w:rPr>
          <w:rFonts w:ascii="Courier New" w:eastAsia="Times New Roman" w:hAnsi="Courier New" w:cs="Courier New"/>
          <w:color w:val="1F1F1F"/>
          <w:kern w:val="0"/>
          <w:sz w:val="20"/>
          <w:szCs w:val="20"/>
          <w:shd w:val="clear" w:color="auto" w:fill="FFFFFF"/>
          <w14:ligatures w14:val="none"/>
        </w:rPr>
      </w:pPr>
      <w:proofErr w:type="spellStart"/>
      <w:r w:rsidRPr="008C660D">
        <w:rPr>
          <w:rFonts w:ascii="Courier New" w:eastAsia="Times New Roman" w:hAnsi="Courier New" w:cs="Courier New"/>
          <w:color w:val="1F1F1F"/>
          <w:kern w:val="0"/>
          <w:sz w:val="20"/>
          <w:szCs w:val="20"/>
          <w:shd w:val="clear" w:color="auto" w:fill="FFFFFF"/>
          <w14:ligatures w14:val="none"/>
        </w:rPr>
        <w:t>bmk</w:t>
      </w:r>
      <w:proofErr w:type="spellEnd"/>
      <w:r w:rsidRPr="008C660D">
        <w:rPr>
          <w:rFonts w:ascii="Courier New" w:eastAsia="Times New Roman" w:hAnsi="Courier New" w:cs="Courier New"/>
          <w:color w:val="1F1F1F"/>
          <w:kern w:val="0"/>
          <w:sz w:val="20"/>
          <w:szCs w:val="20"/>
          <w:shd w:val="clear" w:color="auto" w:fill="FFFFFF"/>
          <w14:ligatures w14:val="none"/>
        </w:rPr>
        <w:t xml:space="preserve">               0.158190           0.170435               0.851878    </w:t>
      </w:r>
    </w:p>
    <w:p w:rsidR="008C660D" w:rsidRPr="008C660D" w:rsidRDefault="008C660D" w:rsidP="008C660D">
      <w:pPr>
        <w:ind w:left="360"/>
        <w:rPr>
          <w:rFonts w:ascii="Courier New" w:eastAsia="Times New Roman" w:hAnsi="Courier New" w:cs="Courier New"/>
          <w:color w:val="1F1F1F"/>
          <w:kern w:val="0"/>
          <w:sz w:val="20"/>
          <w:szCs w:val="20"/>
          <w:shd w:val="clear" w:color="auto" w:fill="FFFFFF"/>
          <w14:ligatures w14:val="none"/>
        </w:rPr>
      </w:pPr>
      <w:proofErr w:type="spellStart"/>
      <w:r w:rsidRPr="008C660D">
        <w:rPr>
          <w:rFonts w:ascii="Courier New" w:eastAsia="Times New Roman" w:hAnsi="Courier New" w:cs="Courier New"/>
          <w:color w:val="1F1F1F"/>
          <w:kern w:val="0"/>
          <w:sz w:val="20"/>
          <w:szCs w:val="20"/>
          <w:shd w:val="clear" w:color="auto" w:fill="FFFFFF"/>
          <w14:ligatures w14:val="none"/>
        </w:rPr>
        <w:t>environmentScore</w:t>
      </w:r>
      <w:proofErr w:type="spellEnd"/>
      <w:r w:rsidRPr="008C660D">
        <w:rPr>
          <w:rFonts w:ascii="Courier New" w:eastAsia="Times New Roman" w:hAnsi="Courier New" w:cs="Courier New"/>
          <w:color w:val="1F1F1F"/>
          <w:kern w:val="0"/>
          <w:sz w:val="20"/>
          <w:szCs w:val="20"/>
          <w:shd w:val="clear" w:color="auto" w:fill="FFFFFF"/>
          <w14:ligatures w14:val="none"/>
        </w:rPr>
        <w:t xml:space="preserve">  0.183549           0.209018               0.815956    </w:t>
      </w:r>
    </w:p>
    <w:p w:rsidR="008C660D" w:rsidRPr="008C660D" w:rsidRDefault="008C660D" w:rsidP="008C660D">
      <w:pPr>
        <w:ind w:left="360"/>
        <w:rPr>
          <w:rFonts w:ascii="Courier New" w:eastAsia="Times New Roman" w:hAnsi="Courier New" w:cs="Courier New"/>
          <w:color w:val="1F1F1F"/>
          <w:kern w:val="0"/>
          <w:sz w:val="20"/>
          <w:szCs w:val="20"/>
          <w:shd w:val="clear" w:color="auto" w:fill="FFFFFF"/>
          <w14:ligatures w14:val="none"/>
        </w:rPr>
      </w:pPr>
      <w:proofErr w:type="spellStart"/>
      <w:r w:rsidRPr="008C660D">
        <w:rPr>
          <w:rFonts w:ascii="Courier New" w:eastAsia="Times New Roman" w:hAnsi="Courier New" w:cs="Courier New"/>
          <w:color w:val="1F1F1F"/>
          <w:kern w:val="0"/>
          <w:sz w:val="20"/>
          <w:szCs w:val="20"/>
          <w:shd w:val="clear" w:color="auto" w:fill="FFFFFF"/>
          <w14:ligatures w14:val="none"/>
        </w:rPr>
        <w:t>totalEsg</w:t>
      </w:r>
      <w:proofErr w:type="spellEnd"/>
      <w:r w:rsidRPr="008C660D">
        <w:rPr>
          <w:rFonts w:ascii="Courier New" w:eastAsia="Times New Roman" w:hAnsi="Courier New" w:cs="Courier New"/>
          <w:color w:val="1F1F1F"/>
          <w:kern w:val="0"/>
          <w:sz w:val="20"/>
          <w:szCs w:val="20"/>
          <w:shd w:val="clear" w:color="auto" w:fill="FFFFFF"/>
          <w14:ligatures w14:val="none"/>
        </w:rPr>
        <w:t xml:space="preserve">          0.176905           0.202135               0.810870    </w:t>
      </w:r>
    </w:p>
    <w:p w:rsidR="008C660D" w:rsidRDefault="008C660D" w:rsidP="008C660D">
      <w:pPr>
        <w:pStyle w:val="NormalWeb"/>
        <w:spacing w:before="0" w:beforeAutospacing="0"/>
        <w:ind w:left="360"/>
      </w:pPr>
      <w:proofErr w:type="spellStart"/>
      <w:r w:rsidRPr="008C660D">
        <w:rPr>
          <w:rFonts w:ascii="Courier New" w:hAnsi="Courier New" w:cs="Courier New"/>
          <w:color w:val="1F1F1F"/>
          <w:sz w:val="20"/>
          <w:szCs w:val="20"/>
          <w:shd w:val="clear" w:color="auto" w:fill="FFFFFF"/>
        </w:rPr>
        <w:t>socialScore</w:t>
      </w:r>
      <w:proofErr w:type="spellEnd"/>
      <w:r w:rsidRPr="008C660D">
        <w:rPr>
          <w:rFonts w:ascii="Courier New" w:hAnsi="Courier New" w:cs="Courier New"/>
          <w:color w:val="1F1F1F"/>
          <w:sz w:val="20"/>
          <w:szCs w:val="20"/>
          <w:shd w:val="clear" w:color="auto" w:fill="FFFFFF"/>
        </w:rPr>
        <w:t xml:space="preserve">       0.172150           0.207947               0.765339    </w:t>
      </w:r>
    </w:p>
    <w:p w:rsidR="00B059FE" w:rsidRDefault="00B059FE" w:rsidP="00B059FE">
      <w:pPr>
        <w:pStyle w:val="NormalWeb"/>
        <w:numPr>
          <w:ilvl w:val="0"/>
          <w:numId w:val="2"/>
        </w:numPr>
      </w:pPr>
      <w:r>
        <w:rPr>
          <w:rStyle w:val="Strong"/>
        </w:rPr>
        <w:t>Excluding Underperforming Sectors</w:t>
      </w:r>
      <w:r>
        <w:t xml:space="preserve">: By removing Utilities, Real Estate, and Consumer Staples, the </w:t>
      </w:r>
      <w:proofErr w:type="spellStart"/>
      <w:r>
        <w:rPr>
          <w:rStyle w:val="HTMLCode"/>
        </w:rPr>
        <w:t>socialScore</w:t>
      </w:r>
      <w:proofErr w:type="spellEnd"/>
      <w:r>
        <w:t xml:space="preserve"> portfolio achieved superior returns (17.50%) while maintaining a competitive Sharpe ratio. Exclusion also reduced portfolio volatility.</w:t>
      </w:r>
    </w:p>
    <w:p w:rsidR="00B059FE" w:rsidRDefault="00B059FE" w:rsidP="00B059FE">
      <w:pPr>
        <w:pStyle w:val="NormalWeb"/>
        <w:ind w:left="360"/>
      </w:pPr>
      <w:r>
        <w:rPr>
          <w:noProof/>
        </w:rPr>
        <w:drawing>
          <wp:inline distT="0" distB="0" distL="0" distR="0">
            <wp:extent cx="5943600" cy="1271270"/>
            <wp:effectExtent l="0" t="0" r="0" b="0"/>
            <wp:docPr id="5052734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71270"/>
                    </a:xfrm>
                    <a:prstGeom prst="rect">
                      <a:avLst/>
                    </a:prstGeom>
                    <a:noFill/>
                    <a:ln>
                      <a:noFill/>
                    </a:ln>
                  </pic:spPr>
                </pic:pic>
              </a:graphicData>
            </a:graphic>
          </wp:inline>
        </w:drawing>
      </w:r>
    </w:p>
    <w:p w:rsidR="00B059FE" w:rsidRDefault="00B059FE" w:rsidP="00B059FE">
      <w:pPr>
        <w:pStyle w:val="NormalWeb"/>
        <w:ind w:left="360"/>
      </w:pPr>
      <w:r>
        <w:rPr>
          <w:noProof/>
        </w:rPr>
        <w:drawing>
          <wp:inline distT="0" distB="0" distL="0" distR="0">
            <wp:extent cx="5943600" cy="1299210"/>
            <wp:effectExtent l="0" t="0" r="0" b="0"/>
            <wp:docPr id="10895583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99210"/>
                    </a:xfrm>
                    <a:prstGeom prst="rect">
                      <a:avLst/>
                    </a:prstGeom>
                    <a:noFill/>
                    <a:ln>
                      <a:noFill/>
                    </a:ln>
                  </pic:spPr>
                </pic:pic>
              </a:graphicData>
            </a:graphic>
          </wp:inline>
        </w:drawing>
      </w:r>
    </w:p>
    <w:p w:rsidR="008C660D" w:rsidRPr="008C660D" w:rsidRDefault="008C660D" w:rsidP="008C660D">
      <w:pPr>
        <w:ind w:left="2520"/>
        <w:rPr>
          <w:rFonts w:ascii="Courier New" w:eastAsia="Times New Roman" w:hAnsi="Courier New" w:cs="Courier New"/>
          <w:color w:val="1F1F1F"/>
          <w:kern w:val="0"/>
          <w:sz w:val="20"/>
          <w:szCs w:val="20"/>
          <w:shd w:val="clear" w:color="auto" w:fill="FFFFFF"/>
          <w14:ligatures w14:val="none"/>
        </w:rPr>
      </w:pPr>
      <w:r w:rsidRPr="008C660D">
        <w:rPr>
          <w:rFonts w:ascii="Courier New" w:eastAsia="Times New Roman" w:hAnsi="Courier New" w:cs="Courier New"/>
          <w:color w:val="1F1F1F"/>
          <w:kern w:val="0"/>
          <w:sz w:val="20"/>
          <w:szCs w:val="20"/>
          <w:shd w:val="clear" w:color="auto" w:fill="FFFFFF"/>
          <w14:ligatures w14:val="none"/>
        </w:rPr>
        <w:t>Annualized Return  Annualized Volatility  Sharpe Ratio</w:t>
      </w:r>
    </w:p>
    <w:p w:rsidR="008C660D" w:rsidRPr="008C660D" w:rsidRDefault="008C660D" w:rsidP="008C660D">
      <w:pPr>
        <w:ind w:left="360"/>
        <w:rPr>
          <w:rFonts w:ascii="Courier New" w:eastAsia="Times New Roman" w:hAnsi="Courier New" w:cs="Courier New"/>
          <w:color w:val="1F1F1F"/>
          <w:kern w:val="0"/>
          <w:sz w:val="20"/>
          <w:szCs w:val="20"/>
          <w:shd w:val="clear" w:color="auto" w:fill="FFFFFF"/>
          <w14:ligatures w14:val="none"/>
        </w:rPr>
      </w:pPr>
      <w:proofErr w:type="spellStart"/>
      <w:r w:rsidRPr="008C660D">
        <w:rPr>
          <w:rFonts w:ascii="Courier New" w:eastAsia="Times New Roman" w:hAnsi="Courier New" w:cs="Courier New"/>
          <w:color w:val="1F1F1F"/>
          <w:kern w:val="0"/>
          <w:sz w:val="20"/>
          <w:szCs w:val="20"/>
          <w:shd w:val="clear" w:color="auto" w:fill="FFFFFF"/>
          <w14:ligatures w14:val="none"/>
        </w:rPr>
        <w:t>bmk</w:t>
      </w:r>
      <w:proofErr w:type="spellEnd"/>
      <w:r w:rsidRPr="008C660D">
        <w:rPr>
          <w:rFonts w:ascii="Courier New" w:eastAsia="Times New Roman" w:hAnsi="Courier New" w:cs="Courier New"/>
          <w:color w:val="1F1F1F"/>
          <w:kern w:val="0"/>
          <w:sz w:val="20"/>
          <w:szCs w:val="20"/>
          <w:shd w:val="clear" w:color="auto" w:fill="FFFFFF"/>
          <w14:ligatures w14:val="none"/>
        </w:rPr>
        <w:t xml:space="preserve">               0.158190           0.170435               0.851878    </w:t>
      </w:r>
    </w:p>
    <w:p w:rsidR="008C660D" w:rsidRPr="008C660D" w:rsidRDefault="008C660D" w:rsidP="008C660D">
      <w:pPr>
        <w:ind w:left="360"/>
        <w:rPr>
          <w:rFonts w:ascii="Courier New" w:eastAsia="Times New Roman" w:hAnsi="Courier New" w:cs="Courier New"/>
          <w:color w:val="1F1F1F"/>
          <w:kern w:val="0"/>
          <w:sz w:val="20"/>
          <w:szCs w:val="20"/>
          <w:shd w:val="clear" w:color="auto" w:fill="FFFFFF"/>
          <w14:ligatures w14:val="none"/>
        </w:rPr>
      </w:pPr>
      <w:proofErr w:type="spellStart"/>
      <w:r w:rsidRPr="008C660D">
        <w:rPr>
          <w:rFonts w:ascii="Courier New" w:eastAsia="Times New Roman" w:hAnsi="Courier New" w:cs="Courier New"/>
          <w:color w:val="1F1F1F"/>
          <w:kern w:val="0"/>
          <w:sz w:val="20"/>
          <w:szCs w:val="20"/>
          <w:shd w:val="clear" w:color="auto" w:fill="FFFFFF"/>
          <w14:ligatures w14:val="none"/>
        </w:rPr>
        <w:t>socialScore</w:t>
      </w:r>
      <w:proofErr w:type="spellEnd"/>
      <w:r w:rsidRPr="008C660D">
        <w:rPr>
          <w:rFonts w:ascii="Courier New" w:eastAsia="Times New Roman" w:hAnsi="Courier New" w:cs="Courier New"/>
          <w:color w:val="1F1F1F"/>
          <w:kern w:val="0"/>
          <w:sz w:val="20"/>
          <w:szCs w:val="20"/>
          <w:shd w:val="clear" w:color="auto" w:fill="FFFFFF"/>
          <w14:ligatures w14:val="none"/>
        </w:rPr>
        <w:t xml:space="preserve">       0.175030           0.191503               0.846098    </w:t>
      </w:r>
    </w:p>
    <w:p w:rsidR="008C660D" w:rsidRPr="008C660D" w:rsidRDefault="008C660D" w:rsidP="008C660D">
      <w:pPr>
        <w:ind w:left="360"/>
        <w:rPr>
          <w:rFonts w:ascii="Courier New" w:eastAsia="Times New Roman" w:hAnsi="Courier New" w:cs="Courier New"/>
          <w:color w:val="1F1F1F"/>
          <w:kern w:val="0"/>
          <w:sz w:val="20"/>
          <w:szCs w:val="20"/>
          <w:shd w:val="clear" w:color="auto" w:fill="FFFFFF"/>
          <w14:ligatures w14:val="none"/>
        </w:rPr>
      </w:pPr>
      <w:proofErr w:type="spellStart"/>
      <w:r w:rsidRPr="008C660D">
        <w:rPr>
          <w:rFonts w:ascii="Courier New" w:eastAsia="Times New Roman" w:hAnsi="Courier New" w:cs="Courier New"/>
          <w:color w:val="1F1F1F"/>
          <w:kern w:val="0"/>
          <w:sz w:val="20"/>
          <w:szCs w:val="20"/>
          <w:shd w:val="clear" w:color="auto" w:fill="FFFFFF"/>
          <w14:ligatures w14:val="none"/>
        </w:rPr>
        <w:t>governanceScore</w:t>
      </w:r>
      <w:proofErr w:type="spellEnd"/>
      <w:r w:rsidRPr="008C660D">
        <w:rPr>
          <w:rFonts w:ascii="Courier New" w:eastAsia="Times New Roman" w:hAnsi="Courier New" w:cs="Courier New"/>
          <w:color w:val="1F1F1F"/>
          <w:kern w:val="0"/>
          <w:sz w:val="20"/>
          <w:szCs w:val="20"/>
          <w:shd w:val="clear" w:color="auto" w:fill="FFFFFF"/>
          <w14:ligatures w14:val="none"/>
        </w:rPr>
        <w:t xml:space="preserve">   0.158647           0.208054               0.700046    </w:t>
      </w:r>
    </w:p>
    <w:p w:rsidR="008C660D" w:rsidRPr="008C660D" w:rsidRDefault="008C660D" w:rsidP="008C660D">
      <w:pPr>
        <w:ind w:left="360"/>
        <w:rPr>
          <w:rFonts w:ascii="Courier New" w:eastAsia="Times New Roman" w:hAnsi="Courier New" w:cs="Courier New"/>
          <w:color w:val="1F1F1F"/>
          <w:kern w:val="0"/>
          <w:sz w:val="20"/>
          <w:szCs w:val="20"/>
          <w:shd w:val="clear" w:color="auto" w:fill="FFFFFF"/>
          <w14:ligatures w14:val="none"/>
        </w:rPr>
      </w:pPr>
      <w:proofErr w:type="spellStart"/>
      <w:r w:rsidRPr="008C660D">
        <w:rPr>
          <w:rFonts w:ascii="Courier New" w:eastAsia="Times New Roman" w:hAnsi="Courier New" w:cs="Courier New"/>
          <w:color w:val="1F1F1F"/>
          <w:kern w:val="0"/>
          <w:sz w:val="20"/>
          <w:szCs w:val="20"/>
          <w:shd w:val="clear" w:color="auto" w:fill="FFFFFF"/>
          <w14:ligatures w14:val="none"/>
        </w:rPr>
        <w:t>environmentScore</w:t>
      </w:r>
      <w:proofErr w:type="spellEnd"/>
      <w:r w:rsidRPr="008C660D">
        <w:rPr>
          <w:rFonts w:ascii="Courier New" w:eastAsia="Times New Roman" w:hAnsi="Courier New" w:cs="Courier New"/>
          <w:color w:val="1F1F1F"/>
          <w:kern w:val="0"/>
          <w:sz w:val="20"/>
          <w:szCs w:val="20"/>
          <w:shd w:val="clear" w:color="auto" w:fill="FFFFFF"/>
          <w14:ligatures w14:val="none"/>
        </w:rPr>
        <w:t xml:space="preserve">  0.173949           0.286857               0.561077    </w:t>
      </w:r>
    </w:p>
    <w:p w:rsidR="008C660D" w:rsidRPr="008C660D" w:rsidRDefault="008C660D" w:rsidP="008C660D">
      <w:pPr>
        <w:pStyle w:val="NormalWeb"/>
        <w:spacing w:before="0" w:beforeAutospacing="0"/>
        <w:ind w:left="360"/>
        <w:rPr>
          <w:sz w:val="20"/>
          <w:szCs w:val="20"/>
        </w:rPr>
      </w:pPr>
      <w:proofErr w:type="spellStart"/>
      <w:r w:rsidRPr="008C660D">
        <w:rPr>
          <w:rFonts w:ascii="Courier New" w:hAnsi="Courier New" w:cs="Courier New"/>
          <w:color w:val="1F1F1F"/>
          <w:sz w:val="20"/>
          <w:szCs w:val="20"/>
          <w:shd w:val="clear" w:color="auto" w:fill="FFFFFF"/>
        </w:rPr>
        <w:t>totalEsg</w:t>
      </w:r>
      <w:proofErr w:type="spellEnd"/>
      <w:r w:rsidRPr="008C660D">
        <w:rPr>
          <w:rFonts w:ascii="Courier New" w:hAnsi="Courier New" w:cs="Courier New"/>
          <w:color w:val="1F1F1F"/>
          <w:sz w:val="20"/>
          <w:szCs w:val="20"/>
          <w:shd w:val="clear" w:color="auto" w:fill="FFFFFF"/>
        </w:rPr>
        <w:t xml:space="preserve">          0.161746           0.266462               0.558224   </w:t>
      </w:r>
    </w:p>
    <w:p w:rsidR="00B059FE" w:rsidRDefault="00B059FE" w:rsidP="00B059FE">
      <w:pPr>
        <w:pStyle w:val="NormalWeb"/>
        <w:numPr>
          <w:ilvl w:val="0"/>
          <w:numId w:val="2"/>
        </w:numPr>
      </w:pPr>
      <w:r>
        <w:rPr>
          <w:rStyle w:val="Strong"/>
        </w:rPr>
        <w:t>Sector-Focused Selection</w:t>
      </w:r>
      <w:r>
        <w:t xml:space="preserve">: The </w:t>
      </w:r>
      <w:proofErr w:type="spellStart"/>
      <w:r>
        <w:rPr>
          <w:rStyle w:val="HTMLCode"/>
        </w:rPr>
        <w:t>environmentScore</w:t>
      </w:r>
      <w:proofErr w:type="spellEnd"/>
      <w:r>
        <w:t xml:space="preserve"> portfolio excelled with a Sharpe ratio of 0.827, driven by strong performance in Financials and Health Care. These sectors provided a stable foundation for ESG-led investments.</w:t>
      </w:r>
    </w:p>
    <w:p w:rsidR="00B059FE" w:rsidRDefault="00B059FE" w:rsidP="00B059FE">
      <w:pPr>
        <w:pStyle w:val="NormalWeb"/>
        <w:ind w:left="360"/>
      </w:pPr>
      <w:r>
        <w:rPr>
          <w:noProof/>
        </w:rPr>
        <w:lastRenderedPageBreak/>
        <w:drawing>
          <wp:inline distT="0" distB="0" distL="0" distR="0">
            <wp:extent cx="5943600" cy="1271270"/>
            <wp:effectExtent l="0" t="0" r="0" b="0"/>
            <wp:docPr id="182328975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271270"/>
                    </a:xfrm>
                    <a:prstGeom prst="rect">
                      <a:avLst/>
                    </a:prstGeom>
                    <a:noFill/>
                    <a:ln>
                      <a:noFill/>
                    </a:ln>
                  </pic:spPr>
                </pic:pic>
              </a:graphicData>
            </a:graphic>
          </wp:inline>
        </w:drawing>
      </w:r>
    </w:p>
    <w:p w:rsidR="00B059FE" w:rsidRDefault="00B059FE" w:rsidP="00B059FE">
      <w:pPr>
        <w:pStyle w:val="NormalWeb"/>
        <w:ind w:left="360"/>
      </w:pPr>
      <w:r>
        <w:rPr>
          <w:noProof/>
        </w:rPr>
        <w:drawing>
          <wp:inline distT="0" distB="0" distL="0" distR="0">
            <wp:extent cx="5943600" cy="1283335"/>
            <wp:effectExtent l="0" t="0" r="0" b="0"/>
            <wp:docPr id="15828142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283335"/>
                    </a:xfrm>
                    <a:prstGeom prst="rect">
                      <a:avLst/>
                    </a:prstGeom>
                    <a:noFill/>
                    <a:ln>
                      <a:noFill/>
                    </a:ln>
                  </pic:spPr>
                </pic:pic>
              </a:graphicData>
            </a:graphic>
          </wp:inline>
        </w:drawing>
      </w:r>
    </w:p>
    <w:p w:rsidR="008C660D" w:rsidRPr="008C660D" w:rsidRDefault="008C660D" w:rsidP="008C660D">
      <w:pPr>
        <w:rPr>
          <w:rFonts w:ascii="Courier New" w:eastAsia="Times New Roman" w:hAnsi="Courier New" w:cs="Courier New"/>
          <w:color w:val="1F1F1F"/>
          <w:kern w:val="0"/>
          <w:sz w:val="20"/>
          <w:szCs w:val="20"/>
          <w:shd w:val="clear" w:color="auto" w:fill="FFFFFF"/>
          <w14:ligatures w14:val="none"/>
        </w:rPr>
      </w:pPr>
      <w:r w:rsidRPr="008C660D">
        <w:rPr>
          <w:rFonts w:ascii="Courier New" w:eastAsia="Times New Roman" w:hAnsi="Courier New" w:cs="Courier New"/>
          <w:color w:val="1F1F1F"/>
          <w:kern w:val="0"/>
          <w:sz w:val="20"/>
          <w:szCs w:val="20"/>
          <w:shd w:val="clear" w:color="auto" w:fill="FFFFFF"/>
          <w14:ligatures w14:val="none"/>
        </w:rPr>
        <w:t xml:space="preserve">      </w:t>
      </w:r>
      <w:r>
        <w:rPr>
          <w:rFonts w:ascii="Courier New" w:eastAsia="Times New Roman" w:hAnsi="Courier New" w:cs="Courier New"/>
          <w:color w:val="1F1F1F"/>
          <w:kern w:val="0"/>
          <w:sz w:val="20"/>
          <w:szCs w:val="20"/>
          <w:shd w:val="clear" w:color="auto" w:fill="FFFFFF"/>
          <w14:ligatures w14:val="none"/>
        </w:rPr>
        <w:tab/>
      </w:r>
      <w:r>
        <w:rPr>
          <w:rFonts w:ascii="Courier New" w:eastAsia="Times New Roman" w:hAnsi="Courier New" w:cs="Courier New"/>
          <w:color w:val="1F1F1F"/>
          <w:kern w:val="0"/>
          <w:sz w:val="20"/>
          <w:szCs w:val="20"/>
          <w:shd w:val="clear" w:color="auto" w:fill="FFFFFF"/>
          <w14:ligatures w14:val="none"/>
        </w:rPr>
        <w:tab/>
      </w:r>
      <w:r w:rsidRPr="008C660D">
        <w:rPr>
          <w:rFonts w:ascii="Courier New" w:eastAsia="Times New Roman" w:hAnsi="Courier New" w:cs="Courier New"/>
          <w:color w:val="1F1F1F"/>
          <w:kern w:val="0"/>
          <w:sz w:val="20"/>
          <w:szCs w:val="20"/>
          <w:shd w:val="clear" w:color="auto" w:fill="FFFFFF"/>
          <w14:ligatures w14:val="none"/>
        </w:rPr>
        <w:t xml:space="preserve">Annualized Return  </w:t>
      </w:r>
      <w:r>
        <w:rPr>
          <w:rFonts w:ascii="Courier New" w:eastAsia="Times New Roman" w:hAnsi="Courier New" w:cs="Courier New"/>
          <w:color w:val="1F1F1F"/>
          <w:kern w:val="0"/>
          <w:sz w:val="20"/>
          <w:szCs w:val="20"/>
          <w:shd w:val="clear" w:color="auto" w:fill="FFFFFF"/>
          <w14:ligatures w14:val="none"/>
        </w:rPr>
        <w:t xml:space="preserve">   </w:t>
      </w:r>
      <w:r w:rsidRPr="008C660D">
        <w:rPr>
          <w:rFonts w:ascii="Courier New" w:eastAsia="Times New Roman" w:hAnsi="Courier New" w:cs="Courier New"/>
          <w:color w:val="1F1F1F"/>
          <w:kern w:val="0"/>
          <w:sz w:val="20"/>
          <w:szCs w:val="20"/>
          <w:shd w:val="clear" w:color="auto" w:fill="FFFFFF"/>
          <w14:ligatures w14:val="none"/>
        </w:rPr>
        <w:t xml:space="preserve">Annualized Volatility  </w:t>
      </w:r>
      <w:r>
        <w:rPr>
          <w:rFonts w:ascii="Courier New" w:eastAsia="Times New Roman" w:hAnsi="Courier New" w:cs="Courier New"/>
          <w:color w:val="1F1F1F"/>
          <w:kern w:val="0"/>
          <w:sz w:val="20"/>
          <w:szCs w:val="20"/>
          <w:shd w:val="clear" w:color="auto" w:fill="FFFFFF"/>
          <w14:ligatures w14:val="none"/>
        </w:rPr>
        <w:t xml:space="preserve">  </w:t>
      </w:r>
      <w:r w:rsidRPr="008C660D">
        <w:rPr>
          <w:rFonts w:ascii="Courier New" w:eastAsia="Times New Roman" w:hAnsi="Courier New" w:cs="Courier New"/>
          <w:color w:val="1F1F1F"/>
          <w:kern w:val="0"/>
          <w:sz w:val="20"/>
          <w:szCs w:val="20"/>
          <w:shd w:val="clear" w:color="auto" w:fill="FFFFFF"/>
          <w14:ligatures w14:val="none"/>
        </w:rPr>
        <w:t>Sharpe Ratio</w:t>
      </w:r>
    </w:p>
    <w:p w:rsidR="008C660D" w:rsidRPr="008C660D" w:rsidRDefault="008C660D" w:rsidP="008C660D">
      <w:pPr>
        <w:ind w:left="720"/>
        <w:rPr>
          <w:rFonts w:ascii="Courier New" w:eastAsia="Times New Roman" w:hAnsi="Courier New" w:cs="Courier New"/>
          <w:color w:val="1F1F1F"/>
          <w:kern w:val="0"/>
          <w:sz w:val="20"/>
          <w:szCs w:val="20"/>
          <w:shd w:val="clear" w:color="auto" w:fill="FFFFFF"/>
          <w14:ligatures w14:val="none"/>
        </w:rPr>
      </w:pPr>
      <w:proofErr w:type="spellStart"/>
      <w:r w:rsidRPr="008C660D">
        <w:rPr>
          <w:rFonts w:ascii="Courier New" w:eastAsia="Times New Roman" w:hAnsi="Courier New" w:cs="Courier New"/>
          <w:color w:val="1F1F1F"/>
          <w:kern w:val="0"/>
          <w:sz w:val="20"/>
          <w:szCs w:val="20"/>
          <w:shd w:val="clear" w:color="auto" w:fill="FFFFFF"/>
          <w14:ligatures w14:val="none"/>
        </w:rPr>
        <w:t>bmk</w:t>
      </w:r>
      <w:proofErr w:type="spellEnd"/>
      <w:r w:rsidRPr="008C660D">
        <w:rPr>
          <w:rFonts w:ascii="Courier New" w:eastAsia="Times New Roman" w:hAnsi="Courier New" w:cs="Courier New"/>
          <w:color w:val="1F1F1F"/>
          <w:kern w:val="0"/>
          <w:sz w:val="20"/>
          <w:szCs w:val="20"/>
          <w:shd w:val="clear" w:color="auto" w:fill="FFFFFF"/>
          <w14:ligatures w14:val="none"/>
        </w:rPr>
        <w:t xml:space="preserve">               0.158190           0.170435               0.851878    </w:t>
      </w:r>
    </w:p>
    <w:p w:rsidR="008C660D" w:rsidRPr="008C660D" w:rsidRDefault="008C660D" w:rsidP="008C660D">
      <w:pPr>
        <w:ind w:left="720"/>
        <w:rPr>
          <w:rFonts w:ascii="Courier New" w:eastAsia="Times New Roman" w:hAnsi="Courier New" w:cs="Courier New"/>
          <w:color w:val="1F1F1F"/>
          <w:kern w:val="0"/>
          <w:sz w:val="20"/>
          <w:szCs w:val="20"/>
          <w:shd w:val="clear" w:color="auto" w:fill="FFFFFF"/>
          <w14:ligatures w14:val="none"/>
        </w:rPr>
      </w:pPr>
      <w:proofErr w:type="spellStart"/>
      <w:r w:rsidRPr="008C660D">
        <w:rPr>
          <w:rFonts w:ascii="Courier New" w:eastAsia="Times New Roman" w:hAnsi="Courier New" w:cs="Courier New"/>
          <w:color w:val="1F1F1F"/>
          <w:kern w:val="0"/>
          <w:sz w:val="20"/>
          <w:szCs w:val="20"/>
          <w:shd w:val="clear" w:color="auto" w:fill="FFFFFF"/>
          <w14:ligatures w14:val="none"/>
        </w:rPr>
        <w:t>environmentScore</w:t>
      </w:r>
      <w:proofErr w:type="spellEnd"/>
      <w:r w:rsidRPr="008C660D">
        <w:rPr>
          <w:rFonts w:ascii="Courier New" w:eastAsia="Times New Roman" w:hAnsi="Courier New" w:cs="Courier New"/>
          <w:color w:val="1F1F1F"/>
          <w:kern w:val="0"/>
          <w:sz w:val="20"/>
          <w:szCs w:val="20"/>
          <w:shd w:val="clear" w:color="auto" w:fill="FFFFFF"/>
          <w14:ligatures w14:val="none"/>
        </w:rPr>
        <w:t xml:space="preserve">  0.154525           0.171124               0.827033    </w:t>
      </w:r>
    </w:p>
    <w:p w:rsidR="008C660D" w:rsidRPr="008C660D" w:rsidRDefault="008C660D" w:rsidP="008C660D">
      <w:pPr>
        <w:ind w:left="720"/>
        <w:rPr>
          <w:rFonts w:ascii="Courier New" w:eastAsia="Times New Roman" w:hAnsi="Courier New" w:cs="Courier New"/>
          <w:color w:val="1F1F1F"/>
          <w:kern w:val="0"/>
          <w:sz w:val="20"/>
          <w:szCs w:val="20"/>
          <w:shd w:val="clear" w:color="auto" w:fill="FFFFFF"/>
          <w14:ligatures w14:val="none"/>
        </w:rPr>
      </w:pPr>
      <w:proofErr w:type="spellStart"/>
      <w:r w:rsidRPr="008C660D">
        <w:rPr>
          <w:rFonts w:ascii="Courier New" w:eastAsia="Times New Roman" w:hAnsi="Courier New" w:cs="Courier New"/>
          <w:color w:val="1F1F1F"/>
          <w:kern w:val="0"/>
          <w:sz w:val="20"/>
          <w:szCs w:val="20"/>
          <w:shd w:val="clear" w:color="auto" w:fill="FFFFFF"/>
          <w14:ligatures w14:val="none"/>
        </w:rPr>
        <w:t>totalEsg</w:t>
      </w:r>
      <w:proofErr w:type="spellEnd"/>
      <w:r w:rsidRPr="008C660D">
        <w:rPr>
          <w:rFonts w:ascii="Courier New" w:eastAsia="Times New Roman" w:hAnsi="Courier New" w:cs="Courier New"/>
          <w:color w:val="1F1F1F"/>
          <w:kern w:val="0"/>
          <w:sz w:val="20"/>
          <w:szCs w:val="20"/>
          <w:shd w:val="clear" w:color="auto" w:fill="FFFFFF"/>
          <w14:ligatures w14:val="none"/>
        </w:rPr>
        <w:t xml:space="preserve">          0.137733           0.180427               0.691320    </w:t>
      </w:r>
    </w:p>
    <w:p w:rsidR="008C660D" w:rsidRPr="008C660D" w:rsidRDefault="008C660D" w:rsidP="008C660D">
      <w:pPr>
        <w:ind w:left="720"/>
        <w:rPr>
          <w:rFonts w:ascii="Courier New" w:eastAsia="Times New Roman" w:hAnsi="Courier New" w:cs="Courier New"/>
          <w:color w:val="1F1F1F"/>
          <w:kern w:val="0"/>
          <w:sz w:val="20"/>
          <w:szCs w:val="20"/>
          <w:shd w:val="clear" w:color="auto" w:fill="FFFFFF"/>
          <w14:ligatures w14:val="none"/>
        </w:rPr>
      </w:pPr>
      <w:proofErr w:type="spellStart"/>
      <w:r w:rsidRPr="008C660D">
        <w:rPr>
          <w:rFonts w:ascii="Courier New" w:eastAsia="Times New Roman" w:hAnsi="Courier New" w:cs="Courier New"/>
          <w:color w:val="1F1F1F"/>
          <w:kern w:val="0"/>
          <w:sz w:val="20"/>
          <w:szCs w:val="20"/>
          <w:shd w:val="clear" w:color="auto" w:fill="FFFFFF"/>
          <w14:ligatures w14:val="none"/>
        </w:rPr>
        <w:t>governanceScore</w:t>
      </w:r>
      <w:proofErr w:type="spellEnd"/>
      <w:r w:rsidRPr="008C660D">
        <w:rPr>
          <w:rFonts w:ascii="Courier New" w:eastAsia="Times New Roman" w:hAnsi="Courier New" w:cs="Courier New"/>
          <w:color w:val="1F1F1F"/>
          <w:kern w:val="0"/>
          <w:sz w:val="20"/>
          <w:szCs w:val="20"/>
          <w:shd w:val="clear" w:color="auto" w:fill="FFFFFF"/>
          <w14:ligatures w14:val="none"/>
        </w:rPr>
        <w:t xml:space="preserve">   0.145648           0.202793               0.654107    </w:t>
      </w:r>
    </w:p>
    <w:p w:rsidR="008C660D" w:rsidRPr="008C660D" w:rsidRDefault="008C660D" w:rsidP="008C660D">
      <w:pPr>
        <w:pStyle w:val="NormalWeb"/>
        <w:spacing w:before="0" w:beforeAutospacing="0"/>
        <w:ind w:left="720"/>
        <w:rPr>
          <w:sz w:val="20"/>
          <w:szCs w:val="20"/>
        </w:rPr>
      </w:pPr>
      <w:proofErr w:type="spellStart"/>
      <w:r w:rsidRPr="008C660D">
        <w:rPr>
          <w:rFonts w:ascii="Courier New" w:hAnsi="Courier New" w:cs="Courier New"/>
          <w:color w:val="1F1F1F"/>
          <w:sz w:val="20"/>
          <w:szCs w:val="20"/>
          <w:shd w:val="clear" w:color="auto" w:fill="FFFFFF"/>
        </w:rPr>
        <w:t>socialScore</w:t>
      </w:r>
      <w:proofErr w:type="spellEnd"/>
      <w:r w:rsidRPr="008C660D">
        <w:rPr>
          <w:rFonts w:ascii="Courier New" w:hAnsi="Courier New" w:cs="Courier New"/>
          <w:color w:val="1F1F1F"/>
          <w:sz w:val="20"/>
          <w:szCs w:val="20"/>
          <w:shd w:val="clear" w:color="auto" w:fill="FFFFFF"/>
        </w:rPr>
        <w:t xml:space="preserve">       0.117016           0.164495               0.632336    </w:t>
      </w:r>
    </w:p>
    <w:p w:rsidR="00F43B5A" w:rsidRDefault="00F43B5A" w:rsidP="00B059FE">
      <w:pPr>
        <w:jc w:val="center"/>
        <w:outlineLvl w:val="2"/>
        <w:rPr>
          <w:rFonts w:ascii="Times New Roman" w:eastAsia="Times New Roman" w:hAnsi="Times New Roman" w:cs="Times New Roman"/>
          <w:b/>
          <w:bCs/>
          <w:i/>
          <w:iCs/>
          <w:kern w:val="0"/>
          <w:sz w:val="27"/>
          <w:szCs w:val="27"/>
          <w14:ligatures w14:val="none"/>
        </w:rPr>
      </w:pPr>
      <w:r w:rsidRPr="00F43B5A">
        <w:rPr>
          <w:rFonts w:ascii="Times New Roman" w:eastAsia="Times New Roman" w:hAnsi="Times New Roman" w:cs="Times New Roman"/>
          <w:b/>
          <w:bCs/>
          <w:i/>
          <w:iCs/>
          <w:kern w:val="0"/>
          <w:sz w:val="27"/>
          <w:szCs w:val="27"/>
          <w14:ligatures w14:val="none"/>
        </w:rPr>
        <w:t>Conclusion</w:t>
      </w:r>
    </w:p>
    <w:p w:rsidR="00B059FE" w:rsidRPr="00F43B5A" w:rsidRDefault="00B059FE" w:rsidP="00B059FE">
      <w:pPr>
        <w:jc w:val="center"/>
        <w:outlineLvl w:val="2"/>
        <w:rPr>
          <w:rFonts w:ascii="Times New Roman" w:eastAsia="Times New Roman" w:hAnsi="Times New Roman" w:cs="Times New Roman"/>
          <w:b/>
          <w:bCs/>
          <w:i/>
          <w:iCs/>
          <w:kern w:val="0"/>
          <w:sz w:val="27"/>
          <w:szCs w:val="27"/>
          <w14:ligatures w14:val="none"/>
        </w:rPr>
      </w:pPr>
    </w:p>
    <w:p w:rsidR="00F43B5A" w:rsidRDefault="00F43B5A" w:rsidP="00F43B5A">
      <w:pPr>
        <w:rPr>
          <w:rFonts w:ascii="Times New Roman" w:eastAsia="Times New Roman" w:hAnsi="Times New Roman" w:cs="Times New Roman"/>
          <w:kern w:val="0"/>
          <w14:ligatures w14:val="none"/>
        </w:rPr>
      </w:pPr>
      <w:r w:rsidRPr="00F43B5A">
        <w:rPr>
          <w:rFonts w:ascii="Times New Roman" w:eastAsia="Times New Roman" w:hAnsi="Times New Roman" w:cs="Times New Roman"/>
          <w:kern w:val="0"/>
          <w14:ligatures w14:val="none"/>
        </w:rPr>
        <w:t>This analysis highlights the interplay between sustainability and profitability, offering practical insights for ESG-focused investors. Key findings include:</w:t>
      </w:r>
    </w:p>
    <w:p w:rsidR="00B059FE" w:rsidRPr="00F43B5A" w:rsidRDefault="00B059FE" w:rsidP="00F43B5A">
      <w:pPr>
        <w:rPr>
          <w:rFonts w:ascii="Times New Roman" w:eastAsia="Times New Roman" w:hAnsi="Times New Roman" w:cs="Times New Roman"/>
          <w:kern w:val="0"/>
          <w14:ligatures w14:val="none"/>
        </w:rPr>
      </w:pPr>
    </w:p>
    <w:p w:rsidR="00F43B5A" w:rsidRPr="00B059FE" w:rsidRDefault="00F43B5A" w:rsidP="00B059FE">
      <w:pPr>
        <w:pStyle w:val="ListParagraph"/>
        <w:numPr>
          <w:ilvl w:val="0"/>
          <w:numId w:val="3"/>
        </w:numPr>
        <w:rPr>
          <w:rFonts w:ascii="Times New Roman" w:eastAsia="Times New Roman" w:hAnsi="Times New Roman" w:cs="Times New Roman"/>
          <w:kern w:val="0"/>
          <w14:ligatures w14:val="none"/>
        </w:rPr>
      </w:pPr>
      <w:r w:rsidRPr="00B059FE">
        <w:rPr>
          <w:rFonts w:ascii="Times New Roman" w:eastAsia="Times New Roman" w:hAnsi="Times New Roman" w:cs="Times New Roman"/>
          <w:kern w:val="0"/>
          <w14:ligatures w14:val="none"/>
        </w:rPr>
        <w:t>Broad market performance reveals that portfolios incorporating ESG scores outperform benchmarks in risk-adjusted returns, particularly when prioritizing social or governance factors. Sectoral strategies further emphasize the importance of selecting high-performing industries such as Information Technology to enhance returns while avoiding underperforming sectors like Utilities to reduce volatility.</w:t>
      </w:r>
    </w:p>
    <w:p w:rsidR="00F43B5A" w:rsidRPr="00B059FE" w:rsidRDefault="00F43B5A" w:rsidP="00B059FE">
      <w:pPr>
        <w:pStyle w:val="ListParagraph"/>
        <w:numPr>
          <w:ilvl w:val="0"/>
          <w:numId w:val="3"/>
        </w:numPr>
        <w:rPr>
          <w:rFonts w:ascii="Times New Roman" w:eastAsia="Times New Roman" w:hAnsi="Times New Roman" w:cs="Times New Roman"/>
          <w:kern w:val="0"/>
          <w14:ligatures w14:val="none"/>
        </w:rPr>
      </w:pPr>
      <w:r w:rsidRPr="00B059FE">
        <w:rPr>
          <w:rFonts w:ascii="Times New Roman" w:eastAsia="Times New Roman" w:hAnsi="Times New Roman" w:cs="Times New Roman"/>
          <w:kern w:val="0"/>
          <w14:ligatures w14:val="none"/>
        </w:rPr>
        <w:t xml:space="preserve">Governance emerged as a key driver of portfolio success, with the </w:t>
      </w:r>
      <w:proofErr w:type="spellStart"/>
      <w:r w:rsidRPr="00B059FE">
        <w:rPr>
          <w:rFonts w:ascii="Courier New" w:eastAsia="Times New Roman" w:hAnsi="Courier New" w:cs="Courier New"/>
          <w:kern w:val="0"/>
          <w:sz w:val="20"/>
          <w:szCs w:val="20"/>
          <w14:ligatures w14:val="none"/>
        </w:rPr>
        <w:t>governanceScore</w:t>
      </w:r>
      <w:proofErr w:type="spellEnd"/>
      <w:r w:rsidRPr="00B059FE">
        <w:rPr>
          <w:rFonts w:ascii="Times New Roman" w:eastAsia="Times New Roman" w:hAnsi="Times New Roman" w:cs="Times New Roman"/>
          <w:kern w:val="0"/>
          <w14:ligatures w14:val="none"/>
        </w:rPr>
        <w:t xml:space="preserve"> portfolio consistently delivering the highest returns and Sharpe ratio. Sector-specific strengths in Financials and Health Care underscore the value of focusing on ESG leaders within traditionally stable industries.</w:t>
      </w:r>
    </w:p>
    <w:p w:rsidR="00F43B5A" w:rsidRPr="00B059FE" w:rsidRDefault="00F43B5A" w:rsidP="00B059FE">
      <w:pPr>
        <w:pStyle w:val="ListParagraph"/>
        <w:numPr>
          <w:ilvl w:val="0"/>
          <w:numId w:val="3"/>
        </w:numPr>
        <w:rPr>
          <w:rFonts w:ascii="Times New Roman" w:eastAsia="Times New Roman" w:hAnsi="Times New Roman" w:cs="Times New Roman"/>
          <w:kern w:val="0"/>
          <w14:ligatures w14:val="none"/>
        </w:rPr>
      </w:pPr>
      <w:r w:rsidRPr="00B059FE">
        <w:rPr>
          <w:rFonts w:ascii="Times New Roman" w:eastAsia="Times New Roman" w:hAnsi="Times New Roman" w:cs="Times New Roman"/>
          <w:kern w:val="0"/>
          <w14:ligatures w14:val="none"/>
        </w:rPr>
        <w:t>By aligning investment strategies with ESG principles, investors can achieve a balance between ethical practices and financial performance. This study underscores the potential of ESG-driven approaches in modern portfolio optimization, demonstrating that sustainability and profitability can coexist in harmony.</w:t>
      </w:r>
    </w:p>
    <w:p w:rsidR="00F43B5A" w:rsidRDefault="00F43B5A" w:rsidP="00F43B5A"/>
    <w:sectPr w:rsidR="00F43B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5996"/>
    <w:multiLevelType w:val="multilevel"/>
    <w:tmpl w:val="0F92D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3A712A"/>
    <w:multiLevelType w:val="multilevel"/>
    <w:tmpl w:val="36968C6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7DA868C4"/>
    <w:multiLevelType w:val="hybridMultilevel"/>
    <w:tmpl w:val="0EBEF0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68883344">
    <w:abstractNumId w:val="0"/>
  </w:num>
  <w:num w:numId="2" w16cid:durableId="1743985742">
    <w:abstractNumId w:val="1"/>
  </w:num>
  <w:num w:numId="3" w16cid:durableId="20310285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5A"/>
    <w:rsid w:val="008C660D"/>
    <w:rsid w:val="00B059FE"/>
    <w:rsid w:val="00F43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6143F7"/>
  <w15:chartTrackingRefBased/>
  <w15:docId w15:val="{C26B6E1B-1FCD-EC4B-9B5F-9BDA8B665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43B5A"/>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F43B5A"/>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3B5A"/>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F43B5A"/>
    <w:rPr>
      <w:rFonts w:ascii="Times New Roman" w:eastAsia="Times New Roman" w:hAnsi="Times New Roman" w:cs="Times New Roman"/>
      <w:b/>
      <w:bCs/>
      <w:kern w:val="0"/>
      <w14:ligatures w14:val="none"/>
    </w:rPr>
  </w:style>
  <w:style w:type="paragraph" w:styleId="NormalWeb">
    <w:name w:val="Normal (Web)"/>
    <w:basedOn w:val="Normal"/>
    <w:uiPriority w:val="99"/>
    <w:unhideWhenUsed/>
    <w:rsid w:val="00F43B5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43B5A"/>
    <w:rPr>
      <w:b/>
      <w:bCs/>
    </w:rPr>
  </w:style>
  <w:style w:type="character" w:styleId="HTMLCode">
    <w:name w:val="HTML Code"/>
    <w:basedOn w:val="DefaultParagraphFont"/>
    <w:uiPriority w:val="99"/>
    <w:semiHidden/>
    <w:unhideWhenUsed/>
    <w:rsid w:val="00F43B5A"/>
    <w:rPr>
      <w:rFonts w:ascii="Courier New" w:eastAsia="Times New Roman" w:hAnsi="Courier New" w:cs="Courier New"/>
      <w:sz w:val="20"/>
      <w:szCs w:val="20"/>
    </w:rPr>
  </w:style>
  <w:style w:type="character" w:styleId="Hyperlink">
    <w:name w:val="Hyperlink"/>
    <w:basedOn w:val="DefaultParagraphFont"/>
    <w:uiPriority w:val="99"/>
    <w:unhideWhenUsed/>
    <w:rsid w:val="00F43B5A"/>
    <w:rPr>
      <w:color w:val="0000FF"/>
      <w:u w:val="single"/>
    </w:rPr>
  </w:style>
  <w:style w:type="character" w:styleId="UnresolvedMention">
    <w:name w:val="Unresolved Mention"/>
    <w:basedOn w:val="DefaultParagraphFont"/>
    <w:uiPriority w:val="99"/>
    <w:semiHidden/>
    <w:unhideWhenUsed/>
    <w:rsid w:val="00F43B5A"/>
    <w:rPr>
      <w:color w:val="605E5C"/>
      <w:shd w:val="clear" w:color="auto" w:fill="E1DFDD"/>
    </w:rPr>
  </w:style>
  <w:style w:type="table" w:styleId="GridTable4-Accent1">
    <w:name w:val="Grid Table 4 Accent 1"/>
    <w:basedOn w:val="TableNormal"/>
    <w:uiPriority w:val="49"/>
    <w:rsid w:val="00B059F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B05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75209">
      <w:bodyDiv w:val="1"/>
      <w:marLeft w:val="0"/>
      <w:marRight w:val="0"/>
      <w:marTop w:val="0"/>
      <w:marBottom w:val="0"/>
      <w:divBdr>
        <w:top w:val="none" w:sz="0" w:space="0" w:color="auto"/>
        <w:left w:val="none" w:sz="0" w:space="0" w:color="auto"/>
        <w:bottom w:val="none" w:sz="0" w:space="0" w:color="auto"/>
        <w:right w:val="none" w:sz="0" w:space="0" w:color="auto"/>
      </w:divBdr>
    </w:div>
    <w:div w:id="287978958">
      <w:bodyDiv w:val="1"/>
      <w:marLeft w:val="0"/>
      <w:marRight w:val="0"/>
      <w:marTop w:val="0"/>
      <w:marBottom w:val="0"/>
      <w:divBdr>
        <w:top w:val="none" w:sz="0" w:space="0" w:color="auto"/>
        <w:left w:val="none" w:sz="0" w:space="0" w:color="auto"/>
        <w:bottom w:val="none" w:sz="0" w:space="0" w:color="auto"/>
        <w:right w:val="none" w:sz="0" w:space="0" w:color="auto"/>
      </w:divBdr>
    </w:div>
    <w:div w:id="419134851">
      <w:bodyDiv w:val="1"/>
      <w:marLeft w:val="0"/>
      <w:marRight w:val="0"/>
      <w:marTop w:val="0"/>
      <w:marBottom w:val="0"/>
      <w:divBdr>
        <w:top w:val="none" w:sz="0" w:space="0" w:color="auto"/>
        <w:left w:val="none" w:sz="0" w:space="0" w:color="auto"/>
        <w:bottom w:val="none" w:sz="0" w:space="0" w:color="auto"/>
        <w:right w:val="none" w:sz="0" w:space="0" w:color="auto"/>
      </w:divBdr>
    </w:div>
    <w:div w:id="625770376">
      <w:bodyDiv w:val="1"/>
      <w:marLeft w:val="0"/>
      <w:marRight w:val="0"/>
      <w:marTop w:val="0"/>
      <w:marBottom w:val="0"/>
      <w:divBdr>
        <w:top w:val="none" w:sz="0" w:space="0" w:color="auto"/>
        <w:left w:val="none" w:sz="0" w:space="0" w:color="auto"/>
        <w:bottom w:val="none" w:sz="0" w:space="0" w:color="auto"/>
        <w:right w:val="none" w:sz="0" w:space="0" w:color="auto"/>
      </w:divBdr>
    </w:div>
    <w:div w:id="930119003">
      <w:bodyDiv w:val="1"/>
      <w:marLeft w:val="0"/>
      <w:marRight w:val="0"/>
      <w:marTop w:val="0"/>
      <w:marBottom w:val="0"/>
      <w:divBdr>
        <w:top w:val="none" w:sz="0" w:space="0" w:color="auto"/>
        <w:left w:val="none" w:sz="0" w:space="0" w:color="auto"/>
        <w:bottom w:val="none" w:sz="0" w:space="0" w:color="auto"/>
        <w:right w:val="none" w:sz="0" w:space="0" w:color="auto"/>
      </w:divBdr>
    </w:div>
    <w:div w:id="975450958">
      <w:bodyDiv w:val="1"/>
      <w:marLeft w:val="0"/>
      <w:marRight w:val="0"/>
      <w:marTop w:val="0"/>
      <w:marBottom w:val="0"/>
      <w:divBdr>
        <w:top w:val="none" w:sz="0" w:space="0" w:color="auto"/>
        <w:left w:val="none" w:sz="0" w:space="0" w:color="auto"/>
        <w:bottom w:val="none" w:sz="0" w:space="0" w:color="auto"/>
        <w:right w:val="none" w:sz="0" w:space="0" w:color="auto"/>
      </w:divBdr>
    </w:div>
    <w:div w:id="186609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Komal</dc:creator>
  <cp:keywords/>
  <dc:description/>
  <cp:lastModifiedBy>Harshitha Komal</cp:lastModifiedBy>
  <cp:revision>1</cp:revision>
  <dcterms:created xsi:type="dcterms:W3CDTF">2024-12-23T07:46:00Z</dcterms:created>
  <dcterms:modified xsi:type="dcterms:W3CDTF">2024-12-24T04:04:00Z</dcterms:modified>
</cp:coreProperties>
</file>