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D03F3" w14:textId="77777777" w:rsidR="00583679" w:rsidRPr="00583679" w:rsidRDefault="00583679" w:rsidP="00583679">
      <w:pPr>
        <w:pStyle w:val="Heading1"/>
      </w:pPr>
      <w:r w:rsidRPr="00583679">
        <w:t>Predictive Modeling Analysis: Breast Cancer Diagnosis</w:t>
      </w:r>
    </w:p>
    <w:p w14:paraId="11DD76C5" w14:textId="77777777" w:rsidR="00583679" w:rsidRPr="00583679" w:rsidRDefault="00583679" w:rsidP="00583679">
      <w:pPr>
        <w:rPr>
          <w:b/>
          <w:bCs/>
        </w:rPr>
      </w:pPr>
      <w:r w:rsidRPr="00583679">
        <w:rPr>
          <w:b/>
          <w:bCs/>
        </w:rPr>
        <w:t>Overview</w:t>
      </w:r>
    </w:p>
    <w:p w14:paraId="78220FD9" w14:textId="77777777" w:rsidR="00583679" w:rsidRPr="00583679" w:rsidRDefault="00583679" w:rsidP="00583679">
      <w:r w:rsidRPr="00583679">
        <w:t>This study explores predictive modeling techniques for breast cancer diagnosis using the Wisconsin Breast Cancer Dataset. Four classification models—Decision Tree, k-Nearest Neighbors (k-NN), Logistic Regression, and Support Vector Machine (SVM)—were implemented and evaluated based on multiple performance metrics. The primary goal was to classify tumors as malignant or benign while optimizing model performance through hyperparameter tuning.</w:t>
      </w:r>
    </w:p>
    <w:p w14:paraId="4DC6DF15" w14:textId="77777777" w:rsidR="00583679" w:rsidRPr="00583679" w:rsidRDefault="00583679" w:rsidP="00583679">
      <w:pPr>
        <w:rPr>
          <w:b/>
          <w:bCs/>
        </w:rPr>
      </w:pPr>
      <w:r w:rsidRPr="00583679">
        <w:rPr>
          <w:b/>
          <w:bCs/>
        </w:rPr>
        <w:t>Modeling Process</w:t>
      </w:r>
    </w:p>
    <w:p w14:paraId="61690E28" w14:textId="77777777" w:rsidR="00583679" w:rsidRPr="00583679" w:rsidRDefault="00583679" w:rsidP="00583679">
      <w:r w:rsidRPr="00583679">
        <w:t xml:space="preserve">The dataset was preprocessed by handling missing values, encoding categorical variables, and scaling numerical features where necessary. Given the class imbalance (more benign cases than malignant), </w:t>
      </w:r>
      <w:r w:rsidRPr="00583679">
        <w:rPr>
          <w:b/>
          <w:bCs/>
        </w:rPr>
        <w:t>recall was chosen as the key evaluation metric</w:t>
      </w:r>
      <w:r w:rsidRPr="00583679">
        <w:t xml:space="preserve"> to minimize false negatives, ensuring that malignant cases were correctly identified. </w:t>
      </w:r>
      <w:r w:rsidRPr="00583679">
        <w:rPr>
          <w:b/>
          <w:bCs/>
        </w:rPr>
        <w:t>ROC-AUC was used as a secondary metric</w:t>
      </w:r>
      <w:r w:rsidRPr="00583679">
        <w:t xml:space="preserve"> to assess </w:t>
      </w:r>
      <w:proofErr w:type="gramStart"/>
      <w:r w:rsidRPr="00583679">
        <w:t>overall model</w:t>
      </w:r>
      <w:proofErr w:type="gramEnd"/>
      <w:r w:rsidRPr="00583679">
        <w:t xml:space="preserve"> discrimination capability. A </w:t>
      </w:r>
      <w:r w:rsidRPr="00583679">
        <w:rPr>
          <w:b/>
          <w:bCs/>
        </w:rPr>
        <w:t>nested cross-validation</w:t>
      </w:r>
      <w:r w:rsidRPr="00583679">
        <w:t xml:space="preserve"> approach was used for hyperparameter tuning, ensuring unbiased performance estimates.</w:t>
      </w:r>
    </w:p>
    <w:p w14:paraId="1650F318" w14:textId="77777777" w:rsidR="00583679" w:rsidRPr="00583679" w:rsidRDefault="00583679" w:rsidP="00583679">
      <w:pPr>
        <w:rPr>
          <w:b/>
          <w:bCs/>
        </w:rPr>
      </w:pPr>
      <w:r w:rsidRPr="00583679">
        <w:rPr>
          <w:b/>
          <w:bCs/>
        </w:rPr>
        <w:t>Results and Findings</w:t>
      </w:r>
    </w:p>
    <w:p w14:paraId="3A8A9C09" w14:textId="77777777" w:rsidR="00583679" w:rsidRPr="00583679" w:rsidRDefault="00583679" w:rsidP="00583679">
      <w:pPr>
        <w:numPr>
          <w:ilvl w:val="0"/>
          <w:numId w:val="7"/>
        </w:numPr>
      </w:pPr>
      <w:r w:rsidRPr="00583679">
        <w:rPr>
          <w:b/>
          <w:bCs/>
        </w:rPr>
        <w:t>Logistic Regression</w:t>
      </w:r>
      <w:r w:rsidRPr="00583679">
        <w:t xml:space="preserve"> emerged as the best-performing model with </w:t>
      </w:r>
      <w:r w:rsidRPr="00583679">
        <w:rPr>
          <w:b/>
          <w:bCs/>
        </w:rPr>
        <w:t>98% recall and an ROC-AUC of 0.998</w:t>
      </w:r>
      <w:r w:rsidRPr="00583679">
        <w:t>, making it the most reliable choice for identifying malignant cases.</w:t>
      </w:r>
    </w:p>
    <w:p w14:paraId="7290E793" w14:textId="77777777" w:rsidR="00583679" w:rsidRPr="00583679" w:rsidRDefault="00583679" w:rsidP="00583679">
      <w:pPr>
        <w:numPr>
          <w:ilvl w:val="0"/>
          <w:numId w:val="7"/>
        </w:numPr>
      </w:pPr>
      <w:r w:rsidRPr="00583679">
        <w:rPr>
          <w:b/>
          <w:bCs/>
        </w:rPr>
        <w:t>SVM</w:t>
      </w:r>
      <w:r w:rsidRPr="00583679">
        <w:t xml:space="preserve"> closely followed, achieving </w:t>
      </w:r>
      <w:r w:rsidRPr="00583679">
        <w:rPr>
          <w:b/>
          <w:bCs/>
        </w:rPr>
        <w:t xml:space="preserve">95% recall and </w:t>
      </w:r>
      <w:proofErr w:type="gramStart"/>
      <w:r w:rsidRPr="00583679">
        <w:rPr>
          <w:b/>
          <w:bCs/>
        </w:rPr>
        <w:t>an</w:t>
      </w:r>
      <w:proofErr w:type="gramEnd"/>
      <w:r w:rsidRPr="00583679">
        <w:rPr>
          <w:b/>
          <w:bCs/>
        </w:rPr>
        <w:t xml:space="preserve"> ROC-AUC of 0.997</w:t>
      </w:r>
      <w:r w:rsidRPr="00583679">
        <w:t>, showing strong overall performance.</w:t>
      </w:r>
    </w:p>
    <w:p w14:paraId="3C10D83B" w14:textId="77777777" w:rsidR="00583679" w:rsidRPr="00583679" w:rsidRDefault="00583679" w:rsidP="00583679">
      <w:pPr>
        <w:numPr>
          <w:ilvl w:val="0"/>
          <w:numId w:val="7"/>
        </w:numPr>
      </w:pPr>
      <w:r w:rsidRPr="00583679">
        <w:rPr>
          <w:b/>
          <w:bCs/>
        </w:rPr>
        <w:t>k-NN</w:t>
      </w:r>
      <w:r w:rsidRPr="00583679">
        <w:t xml:space="preserve"> had </w:t>
      </w:r>
      <w:r w:rsidRPr="00583679">
        <w:rPr>
          <w:b/>
          <w:bCs/>
        </w:rPr>
        <w:t>93% recall and an ROC-AUC of 0.982</w:t>
      </w:r>
      <w:r w:rsidRPr="00583679">
        <w:t>, indicating moderate sensitivity to malignant cases.</w:t>
      </w:r>
    </w:p>
    <w:p w14:paraId="6D442393" w14:textId="77777777" w:rsidR="00583679" w:rsidRPr="00583679" w:rsidRDefault="00583679" w:rsidP="00583679">
      <w:pPr>
        <w:numPr>
          <w:ilvl w:val="0"/>
          <w:numId w:val="7"/>
        </w:numPr>
      </w:pPr>
      <w:r w:rsidRPr="00583679">
        <w:rPr>
          <w:b/>
          <w:bCs/>
        </w:rPr>
        <w:t>Decision Tree</w:t>
      </w:r>
      <w:r w:rsidRPr="00583679">
        <w:t>, while interpretable, had the lowest recall (</w:t>
      </w:r>
      <w:r w:rsidRPr="00583679">
        <w:rPr>
          <w:b/>
          <w:bCs/>
        </w:rPr>
        <w:t>93%</w:t>
      </w:r>
      <w:r w:rsidRPr="00583679">
        <w:t>) and ROC-AUC (</w:t>
      </w:r>
      <w:r w:rsidRPr="00583679">
        <w:rPr>
          <w:b/>
          <w:bCs/>
        </w:rPr>
        <w:t>0.949</w:t>
      </w:r>
      <w:r w:rsidRPr="00583679">
        <w:t>), making it less favorable in an imbalanced dataset.</w:t>
      </w:r>
    </w:p>
    <w:p w14:paraId="6A15BDEE" w14:textId="77777777" w:rsidR="00583679" w:rsidRPr="00583679" w:rsidRDefault="00583679" w:rsidP="00583679">
      <w:pPr>
        <w:rPr>
          <w:b/>
          <w:bCs/>
        </w:rPr>
      </w:pPr>
      <w:r w:rsidRPr="00583679">
        <w:rPr>
          <w:b/>
          <w:bCs/>
        </w:rPr>
        <w:t>Model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7"/>
        <w:gridCol w:w="1074"/>
        <w:gridCol w:w="1084"/>
        <w:gridCol w:w="749"/>
        <w:gridCol w:w="1001"/>
        <w:gridCol w:w="1121"/>
        <w:gridCol w:w="81"/>
      </w:tblGrid>
      <w:tr w:rsidR="00583679" w:rsidRPr="00583679" w14:paraId="00BC8DF4" w14:textId="77777777" w:rsidTr="00583679">
        <w:trPr>
          <w:tblHeader/>
          <w:tblCellSpacing w:w="15" w:type="dxa"/>
        </w:trPr>
        <w:tc>
          <w:tcPr>
            <w:tcW w:w="0" w:type="auto"/>
            <w:vAlign w:val="center"/>
            <w:hideMark/>
          </w:tcPr>
          <w:p w14:paraId="5F24334B" w14:textId="77777777" w:rsidR="00583679" w:rsidRPr="00583679" w:rsidRDefault="00583679" w:rsidP="00583679">
            <w:pPr>
              <w:rPr>
                <w:b/>
                <w:bCs/>
              </w:rPr>
            </w:pPr>
            <w:r w:rsidRPr="00583679">
              <w:rPr>
                <w:b/>
                <w:bCs/>
              </w:rPr>
              <w:t>Model</w:t>
            </w:r>
          </w:p>
        </w:tc>
        <w:tc>
          <w:tcPr>
            <w:tcW w:w="0" w:type="auto"/>
            <w:vAlign w:val="center"/>
            <w:hideMark/>
          </w:tcPr>
          <w:p w14:paraId="0AD0AA4D" w14:textId="77777777" w:rsidR="00583679" w:rsidRPr="00583679" w:rsidRDefault="00583679" w:rsidP="00583679">
            <w:pPr>
              <w:rPr>
                <w:b/>
                <w:bCs/>
              </w:rPr>
            </w:pPr>
            <w:r w:rsidRPr="00583679">
              <w:rPr>
                <w:b/>
                <w:bCs/>
              </w:rPr>
              <w:t>Accuracy</w:t>
            </w:r>
          </w:p>
        </w:tc>
        <w:tc>
          <w:tcPr>
            <w:tcW w:w="0" w:type="auto"/>
            <w:vAlign w:val="center"/>
            <w:hideMark/>
          </w:tcPr>
          <w:p w14:paraId="02220E97" w14:textId="77777777" w:rsidR="00583679" w:rsidRPr="00583679" w:rsidRDefault="00583679" w:rsidP="00583679">
            <w:pPr>
              <w:rPr>
                <w:b/>
                <w:bCs/>
              </w:rPr>
            </w:pPr>
            <w:r w:rsidRPr="00583679">
              <w:rPr>
                <w:b/>
                <w:bCs/>
              </w:rPr>
              <w:t>Precision</w:t>
            </w:r>
          </w:p>
        </w:tc>
        <w:tc>
          <w:tcPr>
            <w:tcW w:w="0" w:type="auto"/>
            <w:vAlign w:val="center"/>
            <w:hideMark/>
          </w:tcPr>
          <w:p w14:paraId="6F965653" w14:textId="77777777" w:rsidR="00583679" w:rsidRPr="00583679" w:rsidRDefault="00583679" w:rsidP="00583679">
            <w:pPr>
              <w:rPr>
                <w:b/>
                <w:bCs/>
              </w:rPr>
            </w:pPr>
            <w:r w:rsidRPr="00583679">
              <w:rPr>
                <w:b/>
                <w:bCs/>
              </w:rPr>
              <w:t>Recall</w:t>
            </w:r>
          </w:p>
        </w:tc>
        <w:tc>
          <w:tcPr>
            <w:tcW w:w="0" w:type="auto"/>
            <w:vAlign w:val="center"/>
            <w:hideMark/>
          </w:tcPr>
          <w:p w14:paraId="757A9315" w14:textId="77777777" w:rsidR="00583679" w:rsidRPr="00583679" w:rsidRDefault="00583679" w:rsidP="00583679">
            <w:pPr>
              <w:rPr>
                <w:b/>
                <w:bCs/>
              </w:rPr>
            </w:pPr>
            <w:r w:rsidRPr="00583679">
              <w:rPr>
                <w:b/>
                <w:bCs/>
              </w:rPr>
              <w:t>F1 Score</w:t>
            </w:r>
          </w:p>
        </w:tc>
        <w:tc>
          <w:tcPr>
            <w:tcW w:w="0" w:type="auto"/>
            <w:vAlign w:val="center"/>
            <w:hideMark/>
          </w:tcPr>
          <w:p w14:paraId="7A6970CE" w14:textId="77777777" w:rsidR="00583679" w:rsidRPr="00583679" w:rsidRDefault="00583679" w:rsidP="00583679">
            <w:pPr>
              <w:rPr>
                <w:b/>
                <w:bCs/>
              </w:rPr>
            </w:pPr>
            <w:r w:rsidRPr="00583679">
              <w:rPr>
                <w:b/>
                <w:bCs/>
              </w:rPr>
              <w:t>ROC-AUC</w:t>
            </w:r>
          </w:p>
        </w:tc>
        <w:tc>
          <w:tcPr>
            <w:tcW w:w="0" w:type="auto"/>
            <w:vAlign w:val="center"/>
            <w:hideMark/>
          </w:tcPr>
          <w:p w14:paraId="3A19897F" w14:textId="616AED84" w:rsidR="00583679" w:rsidRPr="00583679" w:rsidRDefault="00583679" w:rsidP="00583679">
            <w:pPr>
              <w:rPr>
                <w:b/>
                <w:bCs/>
              </w:rPr>
            </w:pPr>
          </w:p>
        </w:tc>
      </w:tr>
      <w:tr w:rsidR="00583679" w:rsidRPr="00583679" w14:paraId="6066EF53" w14:textId="77777777" w:rsidTr="00583679">
        <w:trPr>
          <w:tblCellSpacing w:w="15" w:type="dxa"/>
        </w:trPr>
        <w:tc>
          <w:tcPr>
            <w:tcW w:w="0" w:type="auto"/>
            <w:vAlign w:val="center"/>
            <w:hideMark/>
          </w:tcPr>
          <w:p w14:paraId="5C9E81B0" w14:textId="77777777" w:rsidR="00583679" w:rsidRPr="00583679" w:rsidRDefault="00583679" w:rsidP="00583679">
            <w:r w:rsidRPr="00583679">
              <w:rPr>
                <w:b/>
                <w:bCs/>
              </w:rPr>
              <w:t>Decision Tree</w:t>
            </w:r>
          </w:p>
        </w:tc>
        <w:tc>
          <w:tcPr>
            <w:tcW w:w="0" w:type="auto"/>
            <w:vAlign w:val="center"/>
            <w:hideMark/>
          </w:tcPr>
          <w:p w14:paraId="47E211AF" w14:textId="77777777" w:rsidR="00583679" w:rsidRPr="00583679" w:rsidRDefault="00583679" w:rsidP="00583679">
            <w:r w:rsidRPr="00583679">
              <w:t>0.94</w:t>
            </w:r>
          </w:p>
        </w:tc>
        <w:tc>
          <w:tcPr>
            <w:tcW w:w="0" w:type="auto"/>
            <w:vAlign w:val="center"/>
            <w:hideMark/>
          </w:tcPr>
          <w:p w14:paraId="46CD3639" w14:textId="77777777" w:rsidR="00583679" w:rsidRPr="00583679" w:rsidRDefault="00583679" w:rsidP="00583679">
            <w:r w:rsidRPr="00583679">
              <w:t>0.91</w:t>
            </w:r>
          </w:p>
        </w:tc>
        <w:tc>
          <w:tcPr>
            <w:tcW w:w="0" w:type="auto"/>
            <w:vAlign w:val="center"/>
            <w:hideMark/>
          </w:tcPr>
          <w:p w14:paraId="49A605C5" w14:textId="77777777" w:rsidR="00583679" w:rsidRPr="00583679" w:rsidRDefault="00583679" w:rsidP="00583679">
            <w:r w:rsidRPr="00583679">
              <w:t>0.93</w:t>
            </w:r>
          </w:p>
        </w:tc>
        <w:tc>
          <w:tcPr>
            <w:tcW w:w="0" w:type="auto"/>
            <w:vAlign w:val="center"/>
            <w:hideMark/>
          </w:tcPr>
          <w:p w14:paraId="013820F9" w14:textId="77777777" w:rsidR="00583679" w:rsidRPr="00583679" w:rsidRDefault="00583679" w:rsidP="00583679">
            <w:r w:rsidRPr="00583679">
              <w:t>0.92</w:t>
            </w:r>
          </w:p>
        </w:tc>
        <w:tc>
          <w:tcPr>
            <w:tcW w:w="0" w:type="auto"/>
            <w:vAlign w:val="center"/>
            <w:hideMark/>
          </w:tcPr>
          <w:p w14:paraId="6155B218" w14:textId="77777777" w:rsidR="00583679" w:rsidRPr="00583679" w:rsidRDefault="00583679" w:rsidP="00583679">
            <w:r w:rsidRPr="00583679">
              <w:t>0.949</w:t>
            </w:r>
          </w:p>
        </w:tc>
        <w:tc>
          <w:tcPr>
            <w:tcW w:w="0" w:type="auto"/>
            <w:vAlign w:val="center"/>
            <w:hideMark/>
          </w:tcPr>
          <w:p w14:paraId="2F9E210E" w14:textId="6F4F4D13" w:rsidR="00583679" w:rsidRPr="00583679" w:rsidRDefault="00583679" w:rsidP="00583679"/>
        </w:tc>
      </w:tr>
      <w:tr w:rsidR="00583679" w:rsidRPr="00583679" w14:paraId="42B57218" w14:textId="77777777" w:rsidTr="00583679">
        <w:trPr>
          <w:tblCellSpacing w:w="15" w:type="dxa"/>
        </w:trPr>
        <w:tc>
          <w:tcPr>
            <w:tcW w:w="0" w:type="auto"/>
            <w:vAlign w:val="center"/>
            <w:hideMark/>
          </w:tcPr>
          <w:p w14:paraId="67F829CD" w14:textId="77777777" w:rsidR="00583679" w:rsidRPr="00583679" w:rsidRDefault="00583679" w:rsidP="00583679">
            <w:r w:rsidRPr="00583679">
              <w:rPr>
                <w:b/>
                <w:bCs/>
              </w:rPr>
              <w:lastRenderedPageBreak/>
              <w:t>k-NN</w:t>
            </w:r>
          </w:p>
        </w:tc>
        <w:tc>
          <w:tcPr>
            <w:tcW w:w="0" w:type="auto"/>
            <w:vAlign w:val="center"/>
            <w:hideMark/>
          </w:tcPr>
          <w:p w14:paraId="366897D5" w14:textId="77777777" w:rsidR="00583679" w:rsidRPr="00583679" w:rsidRDefault="00583679" w:rsidP="00583679">
            <w:r w:rsidRPr="00583679">
              <w:t>0.95</w:t>
            </w:r>
          </w:p>
        </w:tc>
        <w:tc>
          <w:tcPr>
            <w:tcW w:w="0" w:type="auto"/>
            <w:vAlign w:val="center"/>
            <w:hideMark/>
          </w:tcPr>
          <w:p w14:paraId="6595919B" w14:textId="77777777" w:rsidR="00583679" w:rsidRPr="00583679" w:rsidRDefault="00583679" w:rsidP="00583679">
            <w:r w:rsidRPr="00583679">
              <w:t>0.93</w:t>
            </w:r>
          </w:p>
        </w:tc>
        <w:tc>
          <w:tcPr>
            <w:tcW w:w="0" w:type="auto"/>
            <w:vAlign w:val="center"/>
            <w:hideMark/>
          </w:tcPr>
          <w:p w14:paraId="35FFCF3C" w14:textId="77777777" w:rsidR="00583679" w:rsidRPr="00583679" w:rsidRDefault="00583679" w:rsidP="00583679">
            <w:r w:rsidRPr="00583679">
              <w:t>0.93</w:t>
            </w:r>
          </w:p>
        </w:tc>
        <w:tc>
          <w:tcPr>
            <w:tcW w:w="0" w:type="auto"/>
            <w:vAlign w:val="center"/>
            <w:hideMark/>
          </w:tcPr>
          <w:p w14:paraId="31BE082A" w14:textId="77777777" w:rsidR="00583679" w:rsidRPr="00583679" w:rsidRDefault="00583679" w:rsidP="00583679">
            <w:r w:rsidRPr="00583679">
              <w:t>0.93</w:t>
            </w:r>
          </w:p>
        </w:tc>
        <w:tc>
          <w:tcPr>
            <w:tcW w:w="0" w:type="auto"/>
            <w:vAlign w:val="center"/>
            <w:hideMark/>
          </w:tcPr>
          <w:p w14:paraId="624C0527" w14:textId="77777777" w:rsidR="00583679" w:rsidRPr="00583679" w:rsidRDefault="00583679" w:rsidP="00583679">
            <w:r w:rsidRPr="00583679">
              <w:t>0.982</w:t>
            </w:r>
          </w:p>
        </w:tc>
        <w:tc>
          <w:tcPr>
            <w:tcW w:w="0" w:type="auto"/>
            <w:vAlign w:val="center"/>
            <w:hideMark/>
          </w:tcPr>
          <w:p w14:paraId="196E9777" w14:textId="547CA517" w:rsidR="00583679" w:rsidRPr="00583679" w:rsidRDefault="00583679" w:rsidP="00583679"/>
        </w:tc>
      </w:tr>
      <w:tr w:rsidR="00583679" w:rsidRPr="00583679" w14:paraId="4C24DAA4" w14:textId="77777777" w:rsidTr="00583679">
        <w:trPr>
          <w:tblCellSpacing w:w="15" w:type="dxa"/>
        </w:trPr>
        <w:tc>
          <w:tcPr>
            <w:tcW w:w="0" w:type="auto"/>
            <w:vAlign w:val="center"/>
            <w:hideMark/>
          </w:tcPr>
          <w:p w14:paraId="45E6CF98" w14:textId="77777777" w:rsidR="00583679" w:rsidRPr="00583679" w:rsidRDefault="00583679" w:rsidP="00583679">
            <w:pPr>
              <w:rPr>
                <w:b/>
                <w:bCs/>
              </w:rPr>
            </w:pPr>
            <w:r w:rsidRPr="00583679">
              <w:rPr>
                <w:b/>
                <w:bCs/>
              </w:rPr>
              <w:t>Logistic Regression</w:t>
            </w:r>
          </w:p>
        </w:tc>
        <w:tc>
          <w:tcPr>
            <w:tcW w:w="0" w:type="auto"/>
            <w:vAlign w:val="center"/>
            <w:hideMark/>
          </w:tcPr>
          <w:p w14:paraId="42B6E1FF" w14:textId="77777777" w:rsidR="00583679" w:rsidRPr="00583679" w:rsidRDefault="00583679" w:rsidP="00583679">
            <w:pPr>
              <w:rPr>
                <w:b/>
                <w:bCs/>
                <w:color w:val="FF0000"/>
              </w:rPr>
            </w:pPr>
            <w:r w:rsidRPr="00583679">
              <w:rPr>
                <w:b/>
                <w:bCs/>
                <w:color w:val="FF0000"/>
              </w:rPr>
              <w:t>0.97</w:t>
            </w:r>
          </w:p>
        </w:tc>
        <w:tc>
          <w:tcPr>
            <w:tcW w:w="0" w:type="auto"/>
            <w:vAlign w:val="center"/>
            <w:hideMark/>
          </w:tcPr>
          <w:p w14:paraId="7D08BD10" w14:textId="77777777" w:rsidR="00583679" w:rsidRPr="00583679" w:rsidRDefault="00583679" w:rsidP="00583679">
            <w:pPr>
              <w:rPr>
                <w:b/>
                <w:bCs/>
                <w:color w:val="FF0000"/>
              </w:rPr>
            </w:pPr>
            <w:r w:rsidRPr="00583679">
              <w:rPr>
                <w:b/>
                <w:bCs/>
                <w:color w:val="FF0000"/>
              </w:rPr>
              <w:t>0.95</w:t>
            </w:r>
          </w:p>
        </w:tc>
        <w:tc>
          <w:tcPr>
            <w:tcW w:w="0" w:type="auto"/>
            <w:vAlign w:val="center"/>
            <w:hideMark/>
          </w:tcPr>
          <w:p w14:paraId="534A0F50" w14:textId="77777777" w:rsidR="00583679" w:rsidRPr="00583679" w:rsidRDefault="00583679" w:rsidP="00583679">
            <w:pPr>
              <w:rPr>
                <w:b/>
                <w:bCs/>
                <w:color w:val="FF0000"/>
              </w:rPr>
            </w:pPr>
            <w:r w:rsidRPr="00583679">
              <w:rPr>
                <w:b/>
                <w:bCs/>
                <w:color w:val="FF0000"/>
              </w:rPr>
              <w:t>0.98</w:t>
            </w:r>
          </w:p>
        </w:tc>
        <w:tc>
          <w:tcPr>
            <w:tcW w:w="0" w:type="auto"/>
            <w:vAlign w:val="center"/>
            <w:hideMark/>
          </w:tcPr>
          <w:p w14:paraId="5B3A5DAE" w14:textId="77777777" w:rsidR="00583679" w:rsidRPr="00583679" w:rsidRDefault="00583679" w:rsidP="00583679">
            <w:pPr>
              <w:rPr>
                <w:b/>
                <w:bCs/>
                <w:color w:val="FF0000"/>
              </w:rPr>
            </w:pPr>
            <w:r w:rsidRPr="00583679">
              <w:rPr>
                <w:b/>
                <w:bCs/>
                <w:color w:val="FF0000"/>
              </w:rPr>
              <w:t>0.97</w:t>
            </w:r>
          </w:p>
        </w:tc>
        <w:tc>
          <w:tcPr>
            <w:tcW w:w="0" w:type="auto"/>
            <w:vAlign w:val="center"/>
            <w:hideMark/>
          </w:tcPr>
          <w:p w14:paraId="6928D272" w14:textId="77777777" w:rsidR="00583679" w:rsidRPr="00583679" w:rsidRDefault="00583679" w:rsidP="00583679">
            <w:pPr>
              <w:rPr>
                <w:b/>
                <w:bCs/>
                <w:color w:val="FF0000"/>
              </w:rPr>
            </w:pPr>
            <w:r w:rsidRPr="00583679">
              <w:rPr>
                <w:b/>
                <w:bCs/>
                <w:color w:val="FF0000"/>
              </w:rPr>
              <w:t>0.998</w:t>
            </w:r>
          </w:p>
        </w:tc>
        <w:tc>
          <w:tcPr>
            <w:tcW w:w="0" w:type="auto"/>
            <w:vAlign w:val="center"/>
            <w:hideMark/>
          </w:tcPr>
          <w:p w14:paraId="5E1E5161" w14:textId="6D49602B" w:rsidR="00583679" w:rsidRPr="00583679" w:rsidRDefault="00583679" w:rsidP="00583679"/>
        </w:tc>
      </w:tr>
      <w:tr w:rsidR="00583679" w:rsidRPr="00583679" w14:paraId="0EE11280" w14:textId="77777777" w:rsidTr="00583679">
        <w:trPr>
          <w:tblCellSpacing w:w="15" w:type="dxa"/>
        </w:trPr>
        <w:tc>
          <w:tcPr>
            <w:tcW w:w="0" w:type="auto"/>
            <w:vAlign w:val="center"/>
            <w:hideMark/>
          </w:tcPr>
          <w:p w14:paraId="3CE4AEB4" w14:textId="77777777" w:rsidR="00583679" w:rsidRPr="00583679" w:rsidRDefault="00583679" w:rsidP="00583679">
            <w:r w:rsidRPr="00583679">
              <w:rPr>
                <w:b/>
                <w:bCs/>
              </w:rPr>
              <w:t>SVM</w:t>
            </w:r>
          </w:p>
        </w:tc>
        <w:tc>
          <w:tcPr>
            <w:tcW w:w="0" w:type="auto"/>
            <w:vAlign w:val="center"/>
            <w:hideMark/>
          </w:tcPr>
          <w:p w14:paraId="2C0F0329" w14:textId="77777777" w:rsidR="00583679" w:rsidRPr="00583679" w:rsidRDefault="00583679" w:rsidP="00583679">
            <w:r w:rsidRPr="00583679">
              <w:t>0.97</w:t>
            </w:r>
          </w:p>
        </w:tc>
        <w:tc>
          <w:tcPr>
            <w:tcW w:w="0" w:type="auto"/>
            <w:vAlign w:val="center"/>
            <w:hideMark/>
          </w:tcPr>
          <w:p w14:paraId="56F91894" w14:textId="77777777" w:rsidR="00583679" w:rsidRPr="00583679" w:rsidRDefault="00583679" w:rsidP="00583679">
            <w:r w:rsidRPr="00583679">
              <w:t>0.98</w:t>
            </w:r>
          </w:p>
        </w:tc>
        <w:tc>
          <w:tcPr>
            <w:tcW w:w="0" w:type="auto"/>
            <w:vAlign w:val="center"/>
            <w:hideMark/>
          </w:tcPr>
          <w:p w14:paraId="2D30DA0E" w14:textId="77777777" w:rsidR="00583679" w:rsidRPr="00583679" w:rsidRDefault="00583679" w:rsidP="00583679">
            <w:r w:rsidRPr="00583679">
              <w:t>0.95</w:t>
            </w:r>
          </w:p>
        </w:tc>
        <w:tc>
          <w:tcPr>
            <w:tcW w:w="0" w:type="auto"/>
            <w:vAlign w:val="center"/>
            <w:hideMark/>
          </w:tcPr>
          <w:p w14:paraId="462A2154" w14:textId="77777777" w:rsidR="00583679" w:rsidRPr="00583679" w:rsidRDefault="00583679" w:rsidP="00583679">
            <w:r w:rsidRPr="00583679">
              <w:t>0.96</w:t>
            </w:r>
          </w:p>
        </w:tc>
        <w:tc>
          <w:tcPr>
            <w:tcW w:w="0" w:type="auto"/>
            <w:vAlign w:val="center"/>
            <w:hideMark/>
          </w:tcPr>
          <w:p w14:paraId="594D6FFA" w14:textId="77777777" w:rsidR="00583679" w:rsidRPr="00583679" w:rsidRDefault="00583679" w:rsidP="00583679">
            <w:r w:rsidRPr="00583679">
              <w:t>0.997</w:t>
            </w:r>
          </w:p>
        </w:tc>
        <w:tc>
          <w:tcPr>
            <w:tcW w:w="0" w:type="auto"/>
            <w:vAlign w:val="center"/>
            <w:hideMark/>
          </w:tcPr>
          <w:p w14:paraId="0ACDA935" w14:textId="0287F664" w:rsidR="00583679" w:rsidRPr="00583679" w:rsidRDefault="00583679" w:rsidP="00583679"/>
        </w:tc>
      </w:tr>
    </w:tbl>
    <w:p w14:paraId="1F2590DA" w14:textId="77777777" w:rsidR="00CA41F6" w:rsidRDefault="00CA41F6" w:rsidP="00583679">
      <w:pPr>
        <w:rPr>
          <w:b/>
          <w:bCs/>
        </w:rPr>
      </w:pPr>
    </w:p>
    <w:p w14:paraId="6B8F6D79" w14:textId="3AB3CF54" w:rsidR="00583679" w:rsidRPr="00583679" w:rsidRDefault="00583679" w:rsidP="00583679">
      <w:pPr>
        <w:rPr>
          <w:b/>
          <w:bCs/>
        </w:rPr>
      </w:pPr>
      <w:r w:rsidRPr="00583679">
        <w:rPr>
          <w:b/>
          <w:bCs/>
        </w:rPr>
        <w:t>Model Evaluation</w:t>
      </w:r>
    </w:p>
    <w:p w14:paraId="7867A4E7" w14:textId="77777777" w:rsidR="00583679" w:rsidRPr="00583679" w:rsidRDefault="00583679" w:rsidP="00583679">
      <w:r w:rsidRPr="00583679">
        <w:t xml:space="preserve">A </w:t>
      </w:r>
      <w:r w:rsidRPr="00583679">
        <w:rPr>
          <w:b/>
          <w:bCs/>
        </w:rPr>
        <w:t>confusion matrix</w:t>
      </w:r>
      <w:r w:rsidRPr="00583679">
        <w:t xml:space="preserve"> analysis confirmed that </w:t>
      </w:r>
      <w:r w:rsidRPr="00583679">
        <w:rPr>
          <w:b/>
          <w:bCs/>
        </w:rPr>
        <w:t>Logistic Regression had the fewest false negatives</w:t>
      </w:r>
      <w:r w:rsidRPr="00583679">
        <w:t xml:space="preserve">, making it the safest option for medical diagnosis. The </w:t>
      </w:r>
      <w:r w:rsidRPr="00583679">
        <w:rPr>
          <w:b/>
          <w:bCs/>
        </w:rPr>
        <w:t>ROC curve</w:t>
      </w:r>
      <w:r w:rsidRPr="00583679">
        <w:t xml:space="preserve"> demonstrated strong model separability, while the </w:t>
      </w:r>
      <w:r w:rsidRPr="00583679">
        <w:rPr>
          <w:b/>
          <w:bCs/>
        </w:rPr>
        <w:t>Lift curve</w:t>
      </w:r>
      <w:r w:rsidRPr="00583679">
        <w:t xml:space="preserve"> highlighted superior predictive power in high-risk cases.</w:t>
      </w:r>
    </w:p>
    <w:p w14:paraId="3B2E2C20" w14:textId="77777777" w:rsidR="00583679" w:rsidRPr="00583679" w:rsidRDefault="00583679" w:rsidP="00583679">
      <w:pPr>
        <w:rPr>
          <w:b/>
          <w:bCs/>
        </w:rPr>
      </w:pPr>
      <w:r w:rsidRPr="00583679">
        <w:rPr>
          <w:b/>
          <w:bCs/>
        </w:rPr>
        <w:t>Conclusion</w:t>
      </w:r>
    </w:p>
    <w:p w14:paraId="755FAB5A" w14:textId="3C27681F" w:rsidR="00583679" w:rsidRDefault="00583679" w:rsidP="00583679">
      <w:r w:rsidRPr="00583679">
        <w:t xml:space="preserve">Due to the dataset imbalance, </w:t>
      </w:r>
      <w:r w:rsidRPr="00583679">
        <w:rPr>
          <w:b/>
          <w:bCs/>
        </w:rPr>
        <w:t>recall was prioritized</w:t>
      </w:r>
      <w:r w:rsidRPr="00583679">
        <w:t xml:space="preserve"> in model selection to avoid missing malignant diagnoses. </w:t>
      </w:r>
      <w:r w:rsidRPr="00583679">
        <w:rPr>
          <w:b/>
          <w:bCs/>
        </w:rPr>
        <w:t>Logistic Regression provided the best trade-off between recall and ROC-AUC, making it the most suitable model.</w:t>
      </w:r>
      <w:r w:rsidRPr="00583679">
        <w:t xml:space="preserve"> SVM also performed well, while Decision Tree and k-NN had lower recall. </w:t>
      </w:r>
    </w:p>
    <w:p w14:paraId="19998E19" w14:textId="77777777" w:rsidR="00AF77E9" w:rsidRDefault="00AF77E9" w:rsidP="00583679"/>
    <w:p w14:paraId="4C459269" w14:textId="77777777" w:rsidR="00AF77E9" w:rsidRPr="00583679" w:rsidRDefault="00AF77E9" w:rsidP="00583679"/>
    <w:sectPr w:rsidR="00AF77E9" w:rsidRPr="00583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D3221"/>
    <w:multiLevelType w:val="multilevel"/>
    <w:tmpl w:val="C08C3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A288A"/>
    <w:multiLevelType w:val="multilevel"/>
    <w:tmpl w:val="D3E6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40294"/>
    <w:multiLevelType w:val="multilevel"/>
    <w:tmpl w:val="2A020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E7BA9"/>
    <w:multiLevelType w:val="multilevel"/>
    <w:tmpl w:val="A202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06AB6"/>
    <w:multiLevelType w:val="multilevel"/>
    <w:tmpl w:val="0FBA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B0C20"/>
    <w:multiLevelType w:val="multilevel"/>
    <w:tmpl w:val="C1AA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20241"/>
    <w:multiLevelType w:val="multilevel"/>
    <w:tmpl w:val="4588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4B7C63"/>
    <w:multiLevelType w:val="multilevel"/>
    <w:tmpl w:val="8ED4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E72A2F"/>
    <w:multiLevelType w:val="multilevel"/>
    <w:tmpl w:val="1BF8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3B7543"/>
    <w:multiLevelType w:val="multilevel"/>
    <w:tmpl w:val="BAC4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279500">
    <w:abstractNumId w:val="6"/>
  </w:num>
  <w:num w:numId="2" w16cid:durableId="1281188091">
    <w:abstractNumId w:val="5"/>
  </w:num>
  <w:num w:numId="3" w16cid:durableId="1326087594">
    <w:abstractNumId w:val="4"/>
  </w:num>
  <w:num w:numId="4" w16cid:durableId="247735072">
    <w:abstractNumId w:val="7"/>
  </w:num>
  <w:num w:numId="5" w16cid:durableId="782191441">
    <w:abstractNumId w:val="1"/>
  </w:num>
  <w:num w:numId="6" w16cid:durableId="746999763">
    <w:abstractNumId w:val="2"/>
  </w:num>
  <w:num w:numId="7" w16cid:durableId="245306896">
    <w:abstractNumId w:val="8"/>
  </w:num>
  <w:num w:numId="8" w16cid:durableId="1515149309">
    <w:abstractNumId w:val="0"/>
  </w:num>
  <w:num w:numId="9" w16cid:durableId="296958048">
    <w:abstractNumId w:val="3"/>
  </w:num>
  <w:num w:numId="10" w16cid:durableId="1623459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73"/>
    <w:rsid w:val="00053215"/>
    <w:rsid w:val="002718D3"/>
    <w:rsid w:val="00456C35"/>
    <w:rsid w:val="004B7505"/>
    <w:rsid w:val="00583679"/>
    <w:rsid w:val="005A23AF"/>
    <w:rsid w:val="005F101D"/>
    <w:rsid w:val="006073C7"/>
    <w:rsid w:val="0063422A"/>
    <w:rsid w:val="006C37A3"/>
    <w:rsid w:val="00723FA9"/>
    <w:rsid w:val="007D7BE6"/>
    <w:rsid w:val="009266E7"/>
    <w:rsid w:val="009426F0"/>
    <w:rsid w:val="00943B73"/>
    <w:rsid w:val="00A70B3D"/>
    <w:rsid w:val="00AC7FC1"/>
    <w:rsid w:val="00AF77E9"/>
    <w:rsid w:val="00B17DD7"/>
    <w:rsid w:val="00CA41F6"/>
    <w:rsid w:val="00CB7ED7"/>
    <w:rsid w:val="00D01527"/>
    <w:rsid w:val="00D5390C"/>
    <w:rsid w:val="00DB2550"/>
    <w:rsid w:val="00F53B19"/>
    <w:rsid w:val="00FE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C02F"/>
  <w15:chartTrackingRefBased/>
  <w15:docId w15:val="{54BDC87D-6435-4803-8911-33181598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B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B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B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B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B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B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B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B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B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B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B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B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B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B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B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B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B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B73"/>
    <w:rPr>
      <w:rFonts w:eastAsiaTheme="majorEastAsia" w:cstheme="majorBidi"/>
      <w:color w:val="272727" w:themeColor="text1" w:themeTint="D8"/>
    </w:rPr>
  </w:style>
  <w:style w:type="paragraph" w:styleId="Title">
    <w:name w:val="Title"/>
    <w:basedOn w:val="Normal"/>
    <w:next w:val="Normal"/>
    <w:link w:val="TitleChar"/>
    <w:uiPriority w:val="10"/>
    <w:qFormat/>
    <w:rsid w:val="00943B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B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B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B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B73"/>
    <w:pPr>
      <w:spacing w:before="160"/>
      <w:jc w:val="center"/>
    </w:pPr>
    <w:rPr>
      <w:i/>
      <w:iCs/>
      <w:color w:val="404040" w:themeColor="text1" w:themeTint="BF"/>
    </w:rPr>
  </w:style>
  <w:style w:type="character" w:customStyle="1" w:styleId="QuoteChar">
    <w:name w:val="Quote Char"/>
    <w:basedOn w:val="DefaultParagraphFont"/>
    <w:link w:val="Quote"/>
    <w:uiPriority w:val="29"/>
    <w:rsid w:val="00943B73"/>
    <w:rPr>
      <w:i/>
      <w:iCs/>
      <w:color w:val="404040" w:themeColor="text1" w:themeTint="BF"/>
    </w:rPr>
  </w:style>
  <w:style w:type="paragraph" w:styleId="ListParagraph">
    <w:name w:val="List Paragraph"/>
    <w:basedOn w:val="Normal"/>
    <w:uiPriority w:val="34"/>
    <w:qFormat/>
    <w:rsid w:val="00943B73"/>
    <w:pPr>
      <w:ind w:left="720"/>
      <w:contextualSpacing/>
    </w:pPr>
  </w:style>
  <w:style w:type="character" w:styleId="IntenseEmphasis">
    <w:name w:val="Intense Emphasis"/>
    <w:basedOn w:val="DefaultParagraphFont"/>
    <w:uiPriority w:val="21"/>
    <w:qFormat/>
    <w:rsid w:val="00943B73"/>
    <w:rPr>
      <w:i/>
      <w:iCs/>
      <w:color w:val="0F4761" w:themeColor="accent1" w:themeShade="BF"/>
    </w:rPr>
  </w:style>
  <w:style w:type="paragraph" w:styleId="IntenseQuote">
    <w:name w:val="Intense Quote"/>
    <w:basedOn w:val="Normal"/>
    <w:next w:val="Normal"/>
    <w:link w:val="IntenseQuoteChar"/>
    <w:uiPriority w:val="30"/>
    <w:qFormat/>
    <w:rsid w:val="00943B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B73"/>
    <w:rPr>
      <w:i/>
      <w:iCs/>
      <w:color w:val="0F4761" w:themeColor="accent1" w:themeShade="BF"/>
    </w:rPr>
  </w:style>
  <w:style w:type="character" w:styleId="IntenseReference">
    <w:name w:val="Intense Reference"/>
    <w:basedOn w:val="DefaultParagraphFont"/>
    <w:uiPriority w:val="32"/>
    <w:qFormat/>
    <w:rsid w:val="00943B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950040">
      <w:bodyDiv w:val="1"/>
      <w:marLeft w:val="0"/>
      <w:marRight w:val="0"/>
      <w:marTop w:val="0"/>
      <w:marBottom w:val="0"/>
      <w:divBdr>
        <w:top w:val="none" w:sz="0" w:space="0" w:color="auto"/>
        <w:left w:val="none" w:sz="0" w:space="0" w:color="auto"/>
        <w:bottom w:val="none" w:sz="0" w:space="0" w:color="auto"/>
        <w:right w:val="none" w:sz="0" w:space="0" w:color="auto"/>
      </w:divBdr>
    </w:div>
    <w:div w:id="596209279">
      <w:bodyDiv w:val="1"/>
      <w:marLeft w:val="0"/>
      <w:marRight w:val="0"/>
      <w:marTop w:val="0"/>
      <w:marBottom w:val="0"/>
      <w:divBdr>
        <w:top w:val="none" w:sz="0" w:space="0" w:color="auto"/>
        <w:left w:val="none" w:sz="0" w:space="0" w:color="auto"/>
        <w:bottom w:val="none" w:sz="0" w:space="0" w:color="auto"/>
        <w:right w:val="none" w:sz="0" w:space="0" w:color="auto"/>
      </w:divBdr>
    </w:div>
    <w:div w:id="682322179">
      <w:bodyDiv w:val="1"/>
      <w:marLeft w:val="0"/>
      <w:marRight w:val="0"/>
      <w:marTop w:val="0"/>
      <w:marBottom w:val="0"/>
      <w:divBdr>
        <w:top w:val="none" w:sz="0" w:space="0" w:color="auto"/>
        <w:left w:val="none" w:sz="0" w:space="0" w:color="auto"/>
        <w:bottom w:val="none" w:sz="0" w:space="0" w:color="auto"/>
        <w:right w:val="none" w:sz="0" w:space="0" w:color="auto"/>
      </w:divBdr>
    </w:div>
    <w:div w:id="1290823687">
      <w:bodyDiv w:val="1"/>
      <w:marLeft w:val="0"/>
      <w:marRight w:val="0"/>
      <w:marTop w:val="0"/>
      <w:marBottom w:val="0"/>
      <w:divBdr>
        <w:top w:val="none" w:sz="0" w:space="0" w:color="auto"/>
        <w:left w:val="none" w:sz="0" w:space="0" w:color="auto"/>
        <w:bottom w:val="none" w:sz="0" w:space="0" w:color="auto"/>
        <w:right w:val="none" w:sz="0" w:space="0" w:color="auto"/>
      </w:divBdr>
    </w:div>
    <w:div w:id="1631550991">
      <w:bodyDiv w:val="1"/>
      <w:marLeft w:val="0"/>
      <w:marRight w:val="0"/>
      <w:marTop w:val="0"/>
      <w:marBottom w:val="0"/>
      <w:divBdr>
        <w:top w:val="none" w:sz="0" w:space="0" w:color="auto"/>
        <w:left w:val="none" w:sz="0" w:space="0" w:color="auto"/>
        <w:bottom w:val="none" w:sz="0" w:space="0" w:color="auto"/>
        <w:right w:val="none" w:sz="0" w:space="0" w:color="auto"/>
      </w:divBdr>
    </w:div>
    <w:div w:id="212804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Harshithan Ks</dc:creator>
  <cp:keywords/>
  <dc:description/>
  <cp:lastModifiedBy>Harshithan Ks</cp:lastModifiedBy>
  <cp:revision>20</cp:revision>
  <dcterms:created xsi:type="dcterms:W3CDTF">2025-02-20T21:07:00Z</dcterms:created>
  <dcterms:modified xsi:type="dcterms:W3CDTF">2025-06-17T06:25:00Z</dcterms:modified>
</cp:coreProperties>
</file>