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D97757"/>
          <w:sz w:val="48"/>
        </w:rPr>
        <w:t>MAMAAI PROJECT SUBMISSION REPORT</w:t>
      </w:r>
    </w:p>
    <w:p>
      <w:pPr>
        <w:spacing w:after="480"/>
      </w:pPr>
      <w:r>
        <w:rPr>
          <w:i/>
          <w:color w:val="5A5A5A"/>
          <w:sz w:val="24"/>
        </w:rPr>
        <w:t>Smart AI-Powered Maternal Care Platform for Community Health Workers &amp; Mothers</w:t>
      </w:r>
    </w:p>
    <w:p>
      <w:pPr>
        <w:spacing w:after="480"/>
      </w:pPr>
      <w:r>
        <w:rPr>
          <w:color w:val="D97757"/>
        </w:rPr>
        <w:t>────────────────────────────────────────────────────────────</w:t>
      </w:r>
    </w:p>
    <w:p>
      <w:pPr>
        <w:keepNext/>
        <w:spacing w:before="360" w:after="120"/>
      </w:pPr>
      <w:r>
        <w:rPr>
          <w:rFonts w:ascii="Calibri" w:hAnsi="Calibri"/>
          <w:b/>
          <w:color w:val="D97757"/>
          <w:sz w:val="32"/>
        </w:rPr>
        <w:t>1. Problem and User Flow</w:t>
      </w:r>
    </w:p>
    <w:p>
      <w:pPr>
        <w:spacing w:after="160" w:line="276" w:lineRule="auto"/>
      </w:pPr>
      <w:r>
        <w:rPr>
          <w:rFonts w:ascii="Calibri" w:hAnsi="Calibri"/>
          <w:sz w:val="22"/>
        </w:rPr>
        <w:t>Maternal healthcare in rural and semi-urban India faces critical hurdles: high rates of gestational anemia (affecting over 50% of pregnant women), poor nutritional logs, and a significant digital/logistical gap between rural pregnant mothers and frontline Accredited Social Health Activists (ASHA workers). Mothers lack immediate, accessible, and language-localized toolkits to self-screen for high-risk flags. At the same time, overworked ASHA workers require a centralized digital dashboard to coordinate care, receive instant emergency alerts, and view validated clinical summaries.</w:t>
      </w:r>
    </w:p>
    <w:p>
      <w:pPr>
        <w:spacing w:after="160" w:line="276" w:lineRule="auto"/>
      </w:pPr>
      <w:r>
        <w:rPr>
          <w:rFonts w:ascii="Calibri" w:hAnsi="Calibri"/>
          <w:sz w:val="22"/>
        </w:rPr>
        <w:t>MamaAI bridges this diagnostic gap by pairing accessible smartphone-based computer vision (eyelid pallor analysis and meal scans) with generative AI (Llama 3.3-70b via Groq) to deliver localized maternal health tracking. The system has been specifically built with local bypasses and storage caching to remain completely resilient in rural environments.</w:t>
      </w:r>
    </w:p>
    <w:p>
      <w:pPr>
        <w:keepNext/>
        <w:spacing w:before="240" w:after="80"/>
      </w:pPr>
      <w:r>
        <w:rPr>
          <w:rFonts w:ascii="Calibri" w:hAnsi="Calibri"/>
          <w:b/>
          <w:color w:val="B55336"/>
          <w:sz w:val="26"/>
        </w:rPr>
        <w:t>The Patient (Mother) User Flow:</w:t>
      </w:r>
    </w:p>
    <w:p>
      <w:pPr>
        <w:pStyle w:val="ListBullet"/>
        <w:spacing w:after="80" w:line="276" w:lineRule="auto"/>
      </w:pPr>
      <w:r>
        <w:rPr>
          <w:rFonts w:ascii="Calibri" w:hAnsi="Calibri"/>
          <w:b/>
        </w:rPr>
        <w:t>1. Portal Entry:</w:t>
      </w:r>
      <w:r>
        <w:rPr>
          <w:rFonts w:ascii="Calibri" w:hAnsi="Calibri"/>
        </w:rPr>
        <w:t xml:space="preserve"> Accesses the web platform without barrier via local local-storage credential mapping.</w:t>
      </w:r>
    </w:p>
    <w:p>
      <w:pPr>
        <w:pStyle w:val="ListBullet"/>
        <w:spacing w:after="80" w:line="276" w:lineRule="auto"/>
      </w:pPr>
      <w:r>
        <w:rPr>
          <w:rFonts w:ascii="Calibri" w:hAnsi="Calibri"/>
          <w:b/>
        </w:rPr>
        <w:t>2. Eyelid Scan self-screening:</w:t>
      </w:r>
      <w:r>
        <w:rPr>
          <w:rFonts w:ascii="Calibri" w:hAnsi="Calibri"/>
        </w:rPr>
        <w:t xml:space="preserve"> Snaps a photo of her lower palpebral conjunctiva (inner eyelid). The backend calculates the hemoglobin estimation immediately without lab delays.</w:t>
      </w:r>
    </w:p>
    <w:p>
      <w:pPr>
        <w:pStyle w:val="ListBullet"/>
        <w:spacing w:after="80" w:line="276" w:lineRule="auto"/>
      </w:pPr>
      <w:r>
        <w:rPr>
          <w:rFonts w:ascii="Calibri" w:hAnsi="Calibri"/>
          <w:b/>
        </w:rPr>
        <w:t>3. Meal Nutrition logging:</w:t>
      </w:r>
      <w:r>
        <w:rPr>
          <w:rFonts w:ascii="Calibri" w:hAnsi="Calibri"/>
        </w:rPr>
        <w:t xml:space="preserve"> Captures a photo of her meal. The system identifies food items, calculates percentages of daily nutritional values (protein, iron, calcium, folate) custom-tailored for pregnant women, and tracks dietary gaps.</w:t>
      </w:r>
    </w:p>
    <w:p>
      <w:pPr>
        <w:pStyle w:val="ListBullet"/>
        <w:spacing w:after="80" w:line="276" w:lineRule="auto"/>
      </w:pPr>
      <w:r>
        <w:rPr>
          <w:rFonts w:ascii="Calibri" w:hAnsi="Calibri"/>
          <w:b/>
        </w:rPr>
        <w:t>4. Multilingual Symptom Analyzer:</w:t>
      </w:r>
      <w:r>
        <w:rPr>
          <w:rFonts w:ascii="Calibri" w:hAnsi="Calibri"/>
        </w:rPr>
        <w:t xml:space="preserve"> Inputs symptoms in her local regional language (e.g., Hindi, Marathi). The engine translates it, triage-classifies it (SAFE, WARNING, EMERGENCY), and lists clear action steps.</w:t>
      </w:r>
    </w:p>
    <w:p>
      <w:pPr>
        <w:pStyle w:val="ListBullet"/>
        <w:spacing w:after="80" w:line="276" w:lineRule="auto"/>
      </w:pPr>
      <w:r>
        <w:rPr>
          <w:rFonts w:ascii="Calibri" w:hAnsi="Calibri"/>
          <w:b/>
        </w:rPr>
        <w:t>5. Fetal Kick Counter:</w:t>
      </w:r>
      <w:r>
        <w:rPr>
          <w:rFonts w:ascii="Calibri" w:hAnsi="Calibri"/>
        </w:rPr>
        <w:t xml:space="preserve"> Records daily fetal movements. If the count falls below safe clinical thresholds, the UI flags a warning.</w:t>
      </w:r>
    </w:p>
    <w:p>
      <w:pPr>
        <w:pStyle w:val="ListBullet"/>
        <w:spacing w:after="80" w:line="276" w:lineRule="auto"/>
      </w:pPr>
      <w:r>
        <w:rPr>
          <w:rFonts w:ascii="Calibri" w:hAnsi="Calibri"/>
          <w:b/>
        </w:rPr>
        <w:t>6. SOS Dispatch:</w:t>
      </w:r>
      <w:r>
        <w:rPr>
          <w:rFonts w:ascii="Calibri" w:hAnsi="Calibri"/>
        </w:rPr>
        <w:t xml:space="preserve"> Triggers a one-click emergency button which instantly alerts assigned ASHA workers via high-priority email alerts and updates the Cloud Firestore logs.</w:t>
      </w:r>
    </w:p>
    <w:p>
      <w:pPr>
        <w:pStyle w:val="ListBullet"/>
        <w:spacing w:after="80" w:line="276" w:lineRule="auto"/>
      </w:pPr>
      <w:r>
        <w:rPr>
          <w:rFonts w:ascii="Calibri" w:hAnsi="Calibri"/>
          <w:b/>
        </w:rPr>
        <w:t>7. Clinician Report Compilation:</w:t>
      </w:r>
      <w:r>
        <w:rPr>
          <w:rFonts w:ascii="Calibri" w:hAnsi="Calibri"/>
        </w:rPr>
        <w:t xml:space="preserve"> Compiles her symptoms, nutrition logs, hemoglobin scans, and fetal activity into a clean HTML format and exports it as a PDF or dispatches it directly to her care provider.</w:t>
      </w:r>
    </w:p>
    <w:p>
      <w:pPr>
        <w:keepNext/>
        <w:spacing w:before="240" w:after="80"/>
      </w:pPr>
      <w:r>
        <w:rPr>
          <w:rFonts w:ascii="Calibri" w:hAnsi="Calibri"/>
          <w:b/>
          <w:color w:val="B55336"/>
          <w:sz w:val="26"/>
        </w:rPr>
        <w:t>The ASHA Worker / Clinician User Flow:</w:t>
      </w:r>
    </w:p>
    <w:p>
      <w:pPr>
        <w:pStyle w:val="ListBullet"/>
        <w:spacing w:after="80" w:line="276" w:lineRule="auto"/>
      </w:pPr>
      <w:r>
        <w:rPr>
          <w:rFonts w:ascii="Calibri" w:hAnsi="Calibri"/>
          <w:b/>
        </w:rPr>
        <w:t>1. Clinician Authentication:</w:t>
      </w:r>
      <w:r>
        <w:rPr>
          <w:rFonts w:ascii="Calibri" w:hAnsi="Calibri"/>
        </w:rPr>
        <w:t xml:space="preserve"> Logs into MamaAI using credentials with 'asha' in the username. The app dynamically mocks their profile to grant full portal permissions.</w:t>
      </w:r>
    </w:p>
    <w:p>
      <w:pPr>
        <w:pStyle w:val="ListBullet"/>
        <w:spacing w:after="80" w:line="276" w:lineRule="auto"/>
      </w:pPr>
      <w:r>
        <w:rPr>
          <w:rFonts w:ascii="Calibri" w:hAnsi="Calibri"/>
          <w:b/>
        </w:rPr>
        <w:t>2. Central Case Dashboard:</w:t>
      </w:r>
      <w:r>
        <w:rPr>
          <w:rFonts w:ascii="Calibri" w:hAnsi="Calibri"/>
        </w:rPr>
        <w:t xml:space="preserve"> Monitors a list of mothers registered in her jurisdiction. High-risk mothers are color-coded and flagged at the top.</w:t>
      </w:r>
    </w:p>
    <w:p>
      <w:pPr>
        <w:pStyle w:val="ListBullet"/>
        <w:spacing w:after="80" w:line="276" w:lineRule="auto"/>
      </w:pPr>
      <w:r>
        <w:rPr>
          <w:rFonts w:ascii="Calibri" w:hAnsi="Calibri"/>
          <w:b/>
        </w:rPr>
        <w:t>3. Diagnostic Drilldown:</w:t>
      </w:r>
      <w:r>
        <w:rPr>
          <w:rFonts w:ascii="Calibri" w:hAnsi="Calibri"/>
        </w:rPr>
        <w:t xml:space="preserve"> Evaluates raw metrics, including historical hemoglobin scans, fetal kick averages, and meal records.</w:t>
      </w:r>
    </w:p>
    <w:p>
      <w:pPr>
        <w:pStyle w:val="ListBullet"/>
        <w:spacing w:after="80" w:line="276" w:lineRule="auto"/>
      </w:pPr>
      <w:r>
        <w:rPr>
          <w:rFonts w:ascii="Calibri" w:hAnsi="Calibri"/>
          <w:b/>
        </w:rPr>
        <w:t>4. Alert Coordination:</w:t>
      </w:r>
      <w:r>
        <w:rPr>
          <w:rFonts w:ascii="Calibri" w:hAnsi="Calibri"/>
        </w:rPr>
        <w:t xml:space="preserve"> Receives real-time SOS push updates and structured emails containing patient location, symptoms, and immediate clinical guidance.</w:t>
      </w:r>
    </w:p>
    <w:p>
      <w:pPr>
        <w:keepNext/>
        <w:spacing w:before="360" w:after="120"/>
      </w:pPr>
      <w:r>
        <w:rPr>
          <w:rFonts w:ascii="Calibri" w:hAnsi="Calibri"/>
          <w:b/>
          <w:color w:val="D97757"/>
          <w:sz w:val="32"/>
        </w:rPr>
        <w:t>2. Under-the-Hood Design</w:t>
      </w:r>
    </w:p>
    <w:p>
      <w:pPr>
        <w:spacing w:after="160" w:line="276" w:lineRule="auto"/>
      </w:pPr>
      <w:r>
        <w:rPr>
          <w:rFonts w:ascii="Calibri" w:hAnsi="Calibri"/>
          <w:sz w:val="22"/>
        </w:rPr>
        <w:t>MamaAI combines image processing, deep learning interfaces, and structural parsing. The system's modular architecture relies on a series of independent API pipelines, detailed below:</w:t>
      </w:r>
    </w:p>
    <w:p>
      <w:pPr>
        <w:keepNext/>
        <w:spacing w:before="240" w:after="80"/>
      </w:pPr>
      <w:r>
        <w:rPr>
          <w:rFonts w:ascii="Calibri" w:hAnsi="Calibri"/>
          <w:b/>
          <w:color w:val="B55336"/>
          <w:sz w:val="26"/>
        </w:rPr>
        <w:t>Symptom Analyzer API Pipeline:</w:t>
      </w:r>
    </w:p>
    <w:p>
      <w:pPr>
        <w:spacing w:after="160" w:line="276" w:lineRule="auto"/>
      </w:pPr>
      <w:r>
        <w:rPr>
          <w:rFonts w:ascii="Calibri" w:hAnsi="Calibri"/>
          <w:sz w:val="22"/>
        </w:rPr>
        <w:t>The system handles user chat inputs via a custom Flask endpoint. When the user sends a description of symptoms, the backend fetches previous messages from Firestore to preserve context and calls the Groq Cloud API running 'llama-3.3-70b-versatile'. A highly constrained system prompt defines emergency symptoms (e.g., severe bleeding, convulsions, fever &gt;103°F) and warning signs (e.g., severe swelling, persistent vomiting).</w:t>
      </w:r>
    </w:p>
    <w:p>
      <w:pPr>
        <w:spacing w:after="160" w:line="276" w:lineRule="auto"/>
      </w:pPr>
      <w:r>
        <w:rPr>
          <w:rFonts w:ascii="Calibri" w:hAnsi="Calibri"/>
          <w:sz w:val="22"/>
        </w:rPr>
        <w:t>Post-Processing &amp; Parsing: The model is instructed to append a JSON block containing the 'riskLevel' (SAFE, WARNING, EMERGENCY) and a short 'recommendation' action. A regex-based post-processor extracts this JSON block, updates UI badges, and returns the cleaned message to the user.</w:t>
      </w:r>
    </w:p>
    <w:p>
      <w:pPr>
        <w:keepNext/>
        <w:spacing w:before="240" w:after="80"/>
      </w:pPr>
      <w:r>
        <w:rPr>
          <w:rFonts w:ascii="Calibri" w:hAnsi="Calibri"/>
          <w:b/>
          <w:color w:val="B55336"/>
          <w:sz w:val="26"/>
        </w:rPr>
        <w:t>Eyelid Scan (Hemoglobin Estimator) API Pipeline:</w:t>
      </w:r>
    </w:p>
    <w:p>
      <w:pPr>
        <w:spacing w:after="160" w:line="276" w:lineRule="auto"/>
      </w:pPr>
      <w:r>
        <w:rPr>
          <w:rFonts w:ascii="Calibri" w:hAnsi="Calibri"/>
          <w:sz w:val="22"/>
        </w:rPr>
        <w:t>To enable immediate, non-invasive anemia screening, the eyelid API processes uploaded images. It contains an optional YOLO-v8 segmentation model ('eye_seg_model.pt') with a fallback OpenCV-based color analytics algorithm if the model cannot be loaded:</w:t>
      </w:r>
    </w:p>
    <w:p>
      <w:pPr>
        <w:pStyle w:val="ListBullet"/>
        <w:spacing w:after="80" w:line="276" w:lineRule="auto"/>
      </w:pPr>
      <w:r>
        <w:rPr>
          <w:rFonts w:ascii="Calibri" w:hAnsi="Calibri"/>
          <w:b/>
        </w:rPr>
        <w:t>1. Color Space Conversion:</w:t>
      </w:r>
      <w:r>
        <w:rPr>
          <w:rFonts w:ascii="Calibri" w:hAnsi="Calibri"/>
        </w:rPr>
        <w:t xml:space="preserve"> The image is resized to 640x480 pixels and converted from BGR to RGB and HSV color spaces.</w:t>
      </w:r>
    </w:p>
    <w:p>
      <w:pPr>
        <w:pStyle w:val="ListBullet"/>
        <w:spacing w:after="80" w:line="276" w:lineRule="auto"/>
      </w:pPr>
      <w:r>
        <w:rPr>
          <w:rFonts w:ascii="Calibri" w:hAnsi="Calibri"/>
          <w:b/>
        </w:rPr>
        <w:t>2. Saturation Analysis:</w:t>
      </w:r>
      <w:r>
        <w:rPr>
          <w:rFonts w:ascii="Calibri" w:hAnsi="Calibri"/>
        </w:rPr>
        <w:t xml:space="preserve"> The algorithm calculates the mean Saturation (S) and Value (V) channels. Saturation is a direct indicator of hemoglobin concentration (low saturation represents paleness/conjunctiva pallor).</w:t>
      </w:r>
    </w:p>
    <w:p>
      <w:pPr>
        <w:pStyle w:val="ListBullet"/>
        <w:spacing w:after="80" w:line="276" w:lineRule="auto"/>
      </w:pPr>
      <w:r>
        <w:rPr>
          <w:rFonts w:ascii="Calibri" w:hAnsi="Calibri"/>
          <w:b/>
        </w:rPr>
        <w:t>3. RGB Ratio Processing:</w:t>
      </w:r>
      <w:r>
        <w:rPr>
          <w:rFonts w:ascii="Calibri" w:hAnsi="Calibri"/>
        </w:rPr>
        <w:t xml:space="preserve"> Calculates the Red-to-Green ratio (R/G). Healthy conjunctiva exhibits a strong pinkish-red hue, shifting towards white/yellow in anemic patients.</w:t>
      </w:r>
    </w:p>
    <w:p>
      <w:pPr>
        <w:pStyle w:val="ListBullet"/>
        <w:spacing w:after="80" w:line="276" w:lineRule="auto"/>
      </w:pPr>
      <w:r>
        <w:rPr>
          <w:rFonts w:ascii="Calibri" w:hAnsi="Calibri"/>
          <w:b/>
        </w:rPr>
        <w:t>4. Weighted Scoring:</w:t>
      </w:r>
      <w:r>
        <w:rPr>
          <w:rFonts w:ascii="Calibri" w:hAnsi="Calibri"/>
        </w:rPr>
        <w:t xml:space="preserve"> Applies a weighted scoring formula: combined_factor = (saturation_factor * 0.7) + (rg_factor * 0.3), mapped to a hemoglobin scale of 5 to 14 g/dL.</w:t>
      </w:r>
    </w:p>
    <w:p>
      <w:pPr>
        <w:pStyle w:val="ListBullet"/>
        <w:spacing w:after="80" w:line="276" w:lineRule="auto"/>
      </w:pPr>
      <w:r>
        <w:rPr>
          <w:rFonts w:ascii="Calibri" w:hAnsi="Calibri"/>
          <w:b/>
        </w:rPr>
        <w:t>5. Clinical Mapping:</w:t>
      </w:r>
      <w:r>
        <w:rPr>
          <w:rFonts w:ascii="Calibri" w:hAnsi="Calibri"/>
        </w:rPr>
        <w:t xml:space="preserve"> Estimates are categorized using WHO maternal anemia standards: Normal (&gt;=11.5 g/dL), Mild Anemia (10.0-11.4 g/dL), Moderate Anemia (8.0-9.9 g/dL), and Severe Anemia (&lt;8.0 g/dL).</w:t>
      </w:r>
    </w:p>
    <w:p>
      <w:pPr>
        <w:keepNext/>
        <w:spacing w:before="240" w:after="80"/>
      </w:pPr>
      <w:r>
        <w:rPr>
          <w:rFonts w:ascii="Calibri" w:hAnsi="Calibri"/>
          <w:b/>
          <w:color w:val="B55336"/>
          <w:sz w:val="26"/>
        </w:rPr>
        <w:t>Meal Scan (Nutrition Tracker) API Pipeline:</w:t>
      </w:r>
    </w:p>
    <w:p>
      <w:pPr>
        <w:spacing w:after="160" w:line="276" w:lineRule="auto"/>
      </w:pPr>
      <w:r>
        <w:rPr>
          <w:rFonts w:ascii="Calibri" w:hAnsi="Calibri"/>
          <w:sz w:val="22"/>
        </w:rPr>
        <w:t>Mothers upload a food image which is encoded as Base64 and sent to OpenRouter's 'openai/gpt-4o-mini' multimodal API. The model analyzes the foods present and estimates their nutritional values relative to recommended daily values specifically for pregnant women. The backend validates and normalizes the JSON response, guaranteeing values for 14 required nutrients (Protein, Iron, Calcium, Folate, Vitamins D, B12, B6, C, Fiber, Zinc, Iodine, Magnesium, Phosphorus, Omega-3 DHA). Cumulative daily totals are saved in Firestore, and nutrient gaps are mathematically calculated.</w:t>
      </w:r>
    </w:p>
    <w:p>
      <w:pPr>
        <w:keepNext/>
        <w:spacing w:before="240" w:after="80"/>
      </w:pPr>
      <w:r>
        <w:rPr>
          <w:rFonts w:ascii="Calibri" w:hAnsi="Calibri"/>
          <w:b/>
          <w:color w:val="B55336"/>
          <w:sz w:val="26"/>
        </w:rPr>
        <w:t>SOS Emergency Alert Dispatcher:</w:t>
      </w:r>
    </w:p>
    <w:p>
      <w:pPr>
        <w:spacing w:after="160" w:line="276" w:lineRule="auto"/>
      </w:pPr>
      <w:r>
        <w:rPr>
          <w:rFonts w:ascii="Calibri" w:hAnsi="Calibri"/>
          <w:sz w:val="22"/>
        </w:rPr>
        <w:t>If a mother triggers the SOS alert, the backend logs the active emergency in the 'emergencies' collection. It queries the Firestore database for registered ASHA workers, compiles a styled HTML email using secure Google SMTP SSL, and dispatches the message instantly, detailing the patient's coordinates, clinical flags, and critical symptoms.</w:t>
      </w:r>
    </w:p>
    <w:p>
      <w:pPr>
        <w:keepNext/>
        <w:spacing w:before="360" w:after="120"/>
      </w:pPr>
      <w:r>
        <w:rPr>
          <w:rFonts w:ascii="Calibri" w:hAnsi="Calibri"/>
          <w:b/>
          <w:color w:val="D97757"/>
          <w:sz w:val="32"/>
        </w:rPr>
        <w:t>3. Data Sources</w:t>
      </w:r>
    </w:p>
    <w:p>
      <w:pPr>
        <w:spacing w:after="160" w:line="276" w:lineRule="auto"/>
      </w:pPr>
      <w:r>
        <w:rPr>
          <w:rFonts w:ascii="Calibri" w:hAnsi="Calibri"/>
          <w:sz w:val="22"/>
        </w:rPr>
        <w:t>To ensure clinical relevance, MamaAI maps unstructured AI results to international medical baselines. The following databases, frameworks, and datasets form the platform's data core:</w:t>
      </w:r>
    </w:p>
    <w:tbl>
      <w:tblPr>
        <w:tblW w:type="auto" w:w="0"/>
        <w:jc w:val="center"/>
        <w:tblLook w:firstColumn="1" w:firstRow="1" w:lastColumn="0" w:lastRow="0" w:noHBand="0" w:noVBand="1" w:val="04A0"/>
        <w:tblBorders>
          <w:top w:val="single" w:sz="4" w:space="0" w:color="D3CAB9"/>
          <w:bottom w:val="single" w:sz="6" w:space="0" w:color="D3CAB9"/>
          <w:left w:val="none"/>
          <w:right w:val="none"/>
          <w:insideH w:val="single" w:sz="4" w:space="0" w:color="D3CAB9"/>
          <w:insideV w:val="none"/>
        </w:tblBorders>
      </w:tblPr>
      <w:tblGrid>
        <w:gridCol w:w="3120"/>
        <w:gridCol w:w="3120"/>
        <w:gridCol w:w="3120"/>
      </w:tblGrid>
      <w:tr>
        <w:tc>
          <w:tcPr>
            <w:tcW w:type="dxa" w:w="3120"/>
            <w:shd w:fill="D97757"/>
            <w:tcMar>
              <w:top w:w="140" w:type="dxa"/>
              <w:bottom w:w="140" w:type="dxa"/>
              <w:left w:w="180" w:type="dxa"/>
              <w:right w:w="180" w:type="dxa"/>
            </w:tcMar>
          </w:tcPr>
          <w:p>
            <w:r>
              <w:rPr>
                <w:b/>
                <w:color w:val="FFFFFF"/>
                <w:sz w:val="21"/>
              </w:rPr>
              <w:t>Data Category</w:t>
            </w:r>
          </w:p>
        </w:tc>
        <w:tc>
          <w:tcPr>
            <w:tcW w:type="dxa" w:w="3120"/>
            <w:shd w:fill="D97757"/>
            <w:tcMar>
              <w:top w:w="140" w:type="dxa"/>
              <w:bottom w:w="140" w:type="dxa"/>
              <w:left w:w="180" w:type="dxa"/>
              <w:right w:w="180" w:type="dxa"/>
            </w:tcMar>
          </w:tcPr>
          <w:p>
            <w:r>
              <w:rPr>
                <w:b/>
                <w:color w:val="FFFFFF"/>
                <w:sz w:val="21"/>
              </w:rPr>
              <w:t>Source / Framework</w:t>
            </w:r>
          </w:p>
        </w:tc>
        <w:tc>
          <w:tcPr>
            <w:tcW w:type="dxa" w:w="3120"/>
            <w:shd w:fill="D97757"/>
            <w:tcMar>
              <w:top w:w="140" w:type="dxa"/>
              <w:bottom w:w="140" w:type="dxa"/>
              <w:left w:w="180" w:type="dxa"/>
              <w:right w:w="180" w:type="dxa"/>
            </w:tcMar>
          </w:tcPr>
          <w:p>
            <w:r>
              <w:rPr>
                <w:b/>
                <w:color w:val="FFFFFF"/>
                <w:sz w:val="21"/>
              </w:rPr>
              <w:t>Application Role</w:t>
            </w:r>
          </w:p>
        </w:tc>
      </w:tr>
      <w:tr>
        <w:tc>
          <w:tcPr>
            <w:tcW w:type="dxa" w:w="3120"/>
            <w:tcMar>
              <w:top w:w="100" w:type="dxa"/>
              <w:bottom w:w="100" w:type="dxa"/>
              <w:left w:w="150" w:type="dxa"/>
              <w:right w:w="150" w:type="dxa"/>
            </w:tcMar>
          </w:tcPr>
          <w:p>
            <w:r>
              <w:rPr>
                <w:rFonts w:ascii="Calibri" w:hAnsi="Calibri"/>
                <w:sz w:val="19"/>
              </w:rPr>
              <w:t>Maternal Nutrition</w:t>
            </w:r>
          </w:p>
        </w:tc>
        <w:tc>
          <w:tcPr>
            <w:tcW w:type="dxa" w:w="3120"/>
            <w:tcMar>
              <w:top w:w="100" w:type="dxa"/>
              <w:bottom w:w="100" w:type="dxa"/>
              <w:left w:w="150" w:type="dxa"/>
              <w:right w:w="150" w:type="dxa"/>
            </w:tcMar>
          </w:tcPr>
          <w:p>
            <w:r>
              <w:rPr>
                <w:rFonts w:ascii="Calibri" w:hAnsi="Calibri"/>
                <w:sz w:val="19"/>
              </w:rPr>
              <w:t>ICMR &amp; WHO Dietary Guidelines</w:t>
            </w:r>
          </w:p>
        </w:tc>
        <w:tc>
          <w:tcPr>
            <w:tcW w:type="dxa" w:w="3120"/>
            <w:tcMar>
              <w:top w:w="100" w:type="dxa"/>
              <w:bottom w:w="100" w:type="dxa"/>
              <w:left w:w="150" w:type="dxa"/>
              <w:right w:w="150" w:type="dxa"/>
            </w:tcMar>
          </w:tcPr>
          <w:p>
            <w:r>
              <w:rPr>
                <w:rFonts w:ascii="Calibri" w:hAnsi="Calibri"/>
                <w:sz w:val="19"/>
              </w:rPr>
              <w:t>Defines RDA standards (71g Protein, 27mg Iron, 1000mg Calcium) to calculate daily nutrient gaps.</w:t>
            </w:r>
          </w:p>
        </w:tc>
      </w:tr>
      <w:tr>
        <w:tc>
          <w:tcPr>
            <w:tcW w:type="dxa" w:w="3120"/>
            <w:tcMar>
              <w:top w:w="100" w:type="dxa"/>
              <w:bottom w:w="100" w:type="dxa"/>
              <w:left w:w="150" w:type="dxa"/>
              <w:right w:w="150" w:type="dxa"/>
            </w:tcMar>
          </w:tcPr>
          <w:p>
            <w:r>
              <w:rPr>
                <w:rFonts w:ascii="Calibri" w:hAnsi="Calibri"/>
                <w:sz w:val="19"/>
              </w:rPr>
              <w:t>Anemia Benchmarking</w:t>
            </w:r>
          </w:p>
        </w:tc>
        <w:tc>
          <w:tcPr>
            <w:tcW w:type="dxa" w:w="3120"/>
            <w:tcMar>
              <w:top w:w="100" w:type="dxa"/>
              <w:bottom w:w="100" w:type="dxa"/>
              <w:left w:w="150" w:type="dxa"/>
              <w:right w:w="150" w:type="dxa"/>
            </w:tcMar>
          </w:tcPr>
          <w:p>
            <w:r>
              <w:rPr>
                <w:rFonts w:ascii="Calibri" w:hAnsi="Calibri"/>
                <w:sz w:val="19"/>
              </w:rPr>
              <w:t>WHO Pregnancy Hemoglobin Scales</w:t>
            </w:r>
          </w:p>
        </w:tc>
        <w:tc>
          <w:tcPr>
            <w:tcW w:type="dxa" w:w="3120"/>
            <w:tcMar>
              <w:top w:w="100" w:type="dxa"/>
              <w:bottom w:w="100" w:type="dxa"/>
              <w:left w:w="150" w:type="dxa"/>
              <w:right w:w="150" w:type="dxa"/>
            </w:tcMar>
          </w:tcPr>
          <w:p>
            <w:r>
              <w:rPr>
                <w:rFonts w:ascii="Calibri" w:hAnsi="Calibri"/>
                <w:sz w:val="19"/>
              </w:rPr>
              <w:t>Configures critical thresholds for Eyelid Scan output (11.5 g/dL normal, &lt;8.0 g/dL emergency).</w:t>
            </w:r>
          </w:p>
        </w:tc>
      </w:tr>
      <w:tr>
        <w:tc>
          <w:tcPr>
            <w:tcW w:type="dxa" w:w="3120"/>
            <w:tcMar>
              <w:top w:w="100" w:type="dxa"/>
              <w:bottom w:w="100" w:type="dxa"/>
              <w:left w:w="150" w:type="dxa"/>
              <w:right w:w="150" w:type="dxa"/>
            </w:tcMar>
          </w:tcPr>
          <w:p>
            <w:r>
              <w:rPr>
                <w:rFonts w:ascii="Calibri" w:hAnsi="Calibri"/>
                <w:sz w:val="19"/>
              </w:rPr>
              <w:t>Multilingual Bridge</w:t>
            </w:r>
          </w:p>
        </w:tc>
        <w:tc>
          <w:tcPr>
            <w:tcW w:type="dxa" w:w="3120"/>
            <w:tcMar>
              <w:top w:w="100" w:type="dxa"/>
              <w:bottom w:w="100" w:type="dxa"/>
              <w:left w:w="150" w:type="dxa"/>
              <w:right w:w="150" w:type="dxa"/>
            </w:tcMar>
          </w:tcPr>
          <w:p>
            <w:r>
              <w:rPr>
                <w:rFonts w:ascii="Calibri" w:hAnsi="Calibri"/>
                <w:sz w:val="19"/>
              </w:rPr>
              <w:t>MyMemory Translation API</w:t>
            </w:r>
          </w:p>
        </w:tc>
        <w:tc>
          <w:tcPr>
            <w:tcW w:type="dxa" w:w="3120"/>
            <w:tcMar>
              <w:top w:w="100" w:type="dxa"/>
              <w:bottom w:w="100" w:type="dxa"/>
              <w:left w:w="150" w:type="dxa"/>
              <w:right w:w="150" w:type="dxa"/>
            </w:tcMar>
          </w:tcPr>
          <w:p>
            <w:r>
              <w:rPr>
                <w:rFonts w:ascii="Calibri" w:hAnsi="Calibri"/>
                <w:sz w:val="19"/>
              </w:rPr>
              <w:t>Provides free, keyless translation between English LLM prompts and regional dialects.</w:t>
            </w:r>
          </w:p>
        </w:tc>
      </w:tr>
      <w:tr>
        <w:tc>
          <w:tcPr>
            <w:tcW w:type="dxa" w:w="3120"/>
            <w:tcMar>
              <w:top w:w="100" w:type="dxa"/>
              <w:bottom w:w="100" w:type="dxa"/>
              <w:left w:w="150" w:type="dxa"/>
              <w:right w:w="150" w:type="dxa"/>
            </w:tcMar>
          </w:tcPr>
          <w:p>
            <w:r>
              <w:rPr>
                <w:rFonts w:ascii="Calibri" w:hAnsi="Calibri"/>
                <w:sz w:val="19"/>
              </w:rPr>
              <w:t>AI Inference</w:t>
            </w:r>
          </w:p>
        </w:tc>
        <w:tc>
          <w:tcPr>
            <w:tcW w:type="dxa" w:w="3120"/>
            <w:tcMar>
              <w:top w:w="100" w:type="dxa"/>
              <w:bottom w:w="100" w:type="dxa"/>
              <w:left w:w="150" w:type="dxa"/>
              <w:right w:w="150" w:type="dxa"/>
            </w:tcMar>
          </w:tcPr>
          <w:p>
            <w:r>
              <w:rPr>
                <w:rFonts w:ascii="Calibri" w:hAnsi="Calibri"/>
                <w:sz w:val="19"/>
              </w:rPr>
              <w:t>Groq API &amp; OpenRouter SDK</w:t>
            </w:r>
          </w:p>
        </w:tc>
        <w:tc>
          <w:tcPr>
            <w:tcW w:type="dxa" w:w="3120"/>
            <w:tcMar>
              <w:top w:w="100" w:type="dxa"/>
              <w:bottom w:w="100" w:type="dxa"/>
              <w:left w:w="150" w:type="dxa"/>
              <w:right w:w="150" w:type="dxa"/>
            </w:tcMar>
          </w:tcPr>
          <w:p>
            <w:r>
              <w:rPr>
                <w:rFonts w:ascii="Calibri" w:hAnsi="Calibri"/>
                <w:sz w:val="19"/>
              </w:rPr>
              <w:t>Powers symptom checking (Llama 3.3-70b) and vision meal analysis (GPT-4o-mini).</w:t>
            </w:r>
          </w:p>
        </w:tc>
      </w:tr>
      <w:tr>
        <w:tc>
          <w:tcPr>
            <w:tcW w:type="dxa" w:w="3120"/>
            <w:tcMar>
              <w:top w:w="100" w:type="dxa"/>
              <w:bottom w:w="100" w:type="dxa"/>
              <w:left w:w="150" w:type="dxa"/>
              <w:right w:w="150" w:type="dxa"/>
            </w:tcMar>
          </w:tcPr>
          <w:p>
            <w:r>
              <w:rPr>
                <w:rFonts w:ascii="Calibri" w:hAnsi="Calibri"/>
                <w:sz w:val="19"/>
              </w:rPr>
              <w:t>Database &amp; Storage</w:t>
            </w:r>
          </w:p>
        </w:tc>
        <w:tc>
          <w:tcPr>
            <w:tcW w:type="dxa" w:w="3120"/>
            <w:tcMar>
              <w:top w:w="100" w:type="dxa"/>
              <w:bottom w:w="100" w:type="dxa"/>
              <w:left w:w="150" w:type="dxa"/>
              <w:right w:w="150" w:type="dxa"/>
            </w:tcMar>
          </w:tcPr>
          <w:p>
            <w:r>
              <w:rPr>
                <w:rFonts w:ascii="Calibri" w:hAnsi="Calibri"/>
                <w:sz w:val="19"/>
              </w:rPr>
              <w:t>Google Cloud Firestore</w:t>
            </w:r>
          </w:p>
        </w:tc>
        <w:tc>
          <w:tcPr>
            <w:tcW w:type="dxa" w:w="3120"/>
            <w:tcMar>
              <w:top w:w="100" w:type="dxa"/>
              <w:bottom w:w="100" w:type="dxa"/>
              <w:left w:w="150" w:type="dxa"/>
              <w:right w:w="150" w:type="dxa"/>
            </w:tcMar>
          </w:tcPr>
          <w:p>
            <w:r>
              <w:rPr>
                <w:rFonts w:ascii="Calibri" w:hAnsi="Calibri"/>
                <w:sz w:val="19"/>
              </w:rPr>
              <w:t>Stores unified user records, historical trend charts, and real-time emergency logs.</w:t>
            </w:r>
          </w:p>
        </w:tc>
      </w:tr>
    </w:tbl>
    <w:p>
      <w:pPr>
        <w:spacing w:after="240"/>
      </w:pPr>
    </w:p>
    <w:p>
      <w:pPr>
        <w:keepNext/>
        <w:spacing w:before="360" w:after="120"/>
      </w:pPr>
      <w:r>
        <w:rPr>
          <w:rFonts w:ascii="Calibri" w:hAnsi="Calibri"/>
          <w:b/>
          <w:color w:val="D97757"/>
          <w:sz w:val="32"/>
        </w:rPr>
        <w:t>4. Value Beyond a Generic LLM</w:t>
      </w:r>
    </w:p>
    <w:p>
      <w:pPr>
        <w:spacing w:after="160" w:line="276" w:lineRule="auto"/>
      </w:pPr>
      <w:r>
        <w:rPr>
          <w:rFonts w:ascii="Calibri" w:hAnsi="Calibri"/>
          <w:sz w:val="22"/>
        </w:rPr>
        <w:t>A generic LLM cannot act as a clinically useful medical monitor out of the box. MamaAI adds value through custom integration layers, validation, and a human-in-the-loop escalation network:</w:t>
      </w:r>
    </w:p>
    <w:p>
      <w:pPr>
        <w:pStyle w:val="ListBullet"/>
        <w:spacing w:after="80" w:line="276" w:lineRule="auto"/>
      </w:pPr>
      <w:r>
        <w:rPr>
          <w:rFonts w:ascii="Calibri" w:hAnsi="Calibri"/>
          <w:b/>
        </w:rPr>
        <w:t>• Multimodal Diagnostics Integration:</w:t>
      </w:r>
      <w:r>
        <w:rPr>
          <w:rFonts w:ascii="Calibri" w:hAnsi="Calibri"/>
        </w:rPr>
        <w:t xml:space="preserve"> Text-only LLMs cannot evaluate physical symptoms. MamaAI links OpenCV color processing (pixel-level Saturation and Red-Green ratios) with LLM diagnostics to flag early anemia non-invasively.</w:t>
      </w:r>
    </w:p>
    <w:p>
      <w:pPr>
        <w:pStyle w:val="ListBullet"/>
        <w:spacing w:after="80" w:line="276" w:lineRule="auto"/>
      </w:pPr>
      <w:r>
        <w:rPr>
          <w:rFonts w:ascii="Calibri" w:hAnsi="Calibri"/>
          <w:b/>
        </w:rPr>
        <w:t>• Structural Response Validation:</w:t>
      </w:r>
      <w:r>
        <w:rPr>
          <w:rFonts w:ascii="Calibri" w:hAnsi="Calibri"/>
        </w:rPr>
        <w:t xml:space="preserve"> Raw models are highly prone to formatting hallucinations. The Python backend acts as a strict validator, parsing JSON schemas, sanitizing outputs, and providing mathematical fallback normalization for nutrient tracking.</w:t>
      </w:r>
    </w:p>
    <w:p>
      <w:pPr>
        <w:pStyle w:val="ListBullet"/>
        <w:spacing w:after="80" w:line="276" w:lineRule="auto"/>
      </w:pPr>
      <w:r>
        <w:rPr>
          <w:rFonts w:ascii="Calibri" w:hAnsi="Calibri"/>
          <w:b/>
        </w:rPr>
        <w:t>• Closed-Loop Escalation Network:</w:t>
      </w:r>
      <w:r>
        <w:rPr>
          <w:rFonts w:ascii="Calibri" w:hAnsi="Calibri"/>
        </w:rPr>
        <w:t xml:space="preserve"> Rural maternal care requires continuous tracking. MamaAI aggregates visual scans over time to plot visual Recharts trends and triggers SMTP server-side email notifications to ASHA workers.</w:t>
      </w:r>
    </w:p>
    <w:p>
      <w:pPr>
        <w:pStyle w:val="ListBullet"/>
        <w:spacing w:after="80" w:line="276" w:lineRule="auto"/>
      </w:pPr>
      <w:r>
        <w:rPr>
          <w:rFonts w:ascii="Calibri" w:hAnsi="Calibri"/>
          <w:b/>
        </w:rPr>
        <w:t>• Structured Prompt Encapsulation:</w:t>
      </w:r>
      <w:r>
        <w:rPr>
          <w:rFonts w:ascii="Calibri" w:hAnsi="Calibri"/>
        </w:rPr>
        <w:t xml:space="preserve"> Rather than requiring mothers to write perfect prompts, MamaAI encapsulates complex prompt templates (WHO/ICMR standards, triage rules) behind intuitive UI buttons and local language input translation.</w:t>
      </w:r>
    </w:p>
    <w:p>
      <w:pPr>
        <w:keepNext/>
        <w:spacing w:before="360" w:after="120"/>
      </w:pPr>
      <w:r>
        <w:rPr>
          <w:rFonts w:ascii="Calibri" w:hAnsi="Calibri"/>
          <w:b/>
          <w:color w:val="D97757"/>
          <w:sz w:val="32"/>
        </w:rPr>
        <w:t>5. Architecture</w:t>
      </w:r>
    </w:p>
    <w:p>
      <w:pPr>
        <w:spacing w:after="160" w:line="276" w:lineRule="auto"/>
      </w:pPr>
      <w:r>
        <w:rPr>
          <w:rFonts w:ascii="Calibri" w:hAnsi="Calibri"/>
          <w:sz w:val="22"/>
        </w:rPr>
        <w:t>The MamaAI architecture is split into a client-side React SPA and a modular Flask backend. This separation keeps visual scanning, calculations, and external API requests isolated from the user's browser.</w:t>
      </w:r>
    </w:p>
    <w:p>
      <w:pPr>
        <w:spacing w:before="120" w:after="240"/>
        <w:jc w:val="left"/>
      </w:pPr>
      <w:r>
        <w:rPr>
          <w:rFonts w:ascii="Consolas" w:hAnsi="Consolas"/>
          <w:b/>
          <w:sz w:val="17"/>
        </w:rPr>
        <w:t>┌─────────────────────────────────────────────────────────────┐</w:t>
        <w:br/>
        <w:t>│                    USER (React Web App)                     │</w:t>
        <w:br/>
        <w:t>│  - Offline LocalStorage Caching  - Recharts Visual Trends   │</w:t>
        <w:br/>
        <w:t>└──────────────┬───────────────────────────────▲──────────────┘</w:t>
        <w:br/>
        <w:t xml:space="preserve">               │ HTTP POST                     │ JSON Response</w:t>
        <w:br/>
        <w:t xml:space="preserve">               ▼                               │</w:t>
        <w:br/>
        <w:t>┌──────────────────────────────────────────────┴──────────────┐</w:t>
        <w:br/>
        <w:t>│                   FLASK API BACKEND (Port 5001)             │</w:t>
        <w:br/>
        <w:t>│  - Blueprints: /symptoms, /meals, /eyelid, /report, /emergency│</w:t>
        <w:br/>
        <w:t>│  - OpenCV Color Analytic Engine  - Python Dotenv Config     │</w:t>
        <w:br/>
        <w:t>└──────────────┬──────────────┬────────────────┬──────────────┘</w:t>
        <w:br/>
        <w:t xml:space="preserve">               │              │                │</w:t>
        <w:br/>
        <w:t xml:space="preserve">               │ Firebase     │ SMTP TLS       │ REST HTTP Requests</w:t>
        <w:br/>
        <w:t xml:space="preserve">               ▼              ▼                ▼</w:t>
        <w:br/>
        <w:t xml:space="preserve">        ┌────────────┐  ┌───────────┐  ┌───────────────────────┐</w:t>
        <w:br/>
        <w:t xml:space="preserve">        │   Cloud    │  │   Gmail   │  │ EXTERNAL AI SERVICES  │</w:t>
        <w:br/>
        <w:t xml:space="preserve">        │ Firestore  │  │   SMTP    │  │ - Groq Llama 3.3      │</w:t>
        <w:br/>
        <w:t xml:space="preserve">        │ Datastore  │  │  Server   │  │ - OpenRouter Vision   │</w:t>
        <w:br/>
        <w:t xml:space="preserve">        └────────────┘  └───────────┘  └───────────────────────┘</w:t>
      </w:r>
    </w:p>
    <w:p>
      <w:pPr>
        <w:keepNext/>
        <w:spacing w:before="240" w:after="80"/>
      </w:pPr>
      <w:r>
        <w:rPr>
          <w:rFonts w:ascii="Calibri" w:hAnsi="Calibri"/>
          <w:b/>
          <w:color w:val="B55336"/>
          <w:sz w:val="26"/>
        </w:rPr>
        <w:t>Data Flow Description:</w:t>
      </w:r>
    </w:p>
    <w:p>
      <w:pPr>
        <w:pStyle w:val="ListBullet"/>
        <w:spacing w:after="80" w:line="276" w:lineRule="auto"/>
      </w:pPr>
      <w:r>
        <w:rPr>
          <w:rFonts w:ascii="Calibri" w:hAnsi="Calibri"/>
          <w:b/>
        </w:rPr>
        <w:t>1. Capture &amp; Cache:</w:t>
      </w:r>
      <w:r>
        <w:rPr>
          <w:rFonts w:ascii="Calibri" w:hAnsi="Calibri"/>
        </w:rPr>
        <w:t xml:space="preserve"> The React client collects data (e.g. inner eyelid photo, meal image, symptom description) and triggers local storage backups.</w:t>
      </w:r>
    </w:p>
    <w:p>
      <w:pPr>
        <w:pStyle w:val="ListBullet"/>
        <w:spacing w:after="80" w:line="276" w:lineRule="auto"/>
      </w:pPr>
      <w:r>
        <w:rPr>
          <w:rFonts w:ascii="Calibri" w:hAnsi="Calibri"/>
          <w:b/>
        </w:rPr>
        <w:t>2. API Dispatch:</w:t>
      </w:r>
      <w:r>
        <w:rPr>
          <w:rFonts w:ascii="Calibri" w:hAnsi="Calibri"/>
        </w:rPr>
        <w:t xml:space="preserve"> Submits a multipart HTTP request to the Flask server (port 5001).</w:t>
      </w:r>
    </w:p>
    <w:p>
      <w:pPr>
        <w:pStyle w:val="ListBullet"/>
        <w:spacing w:after="80" w:line="276" w:lineRule="auto"/>
      </w:pPr>
      <w:r>
        <w:rPr>
          <w:rFonts w:ascii="Calibri" w:hAnsi="Calibri"/>
          <w:b/>
        </w:rPr>
        <w:t>3. Backend Routing:</w:t>
      </w:r>
      <w:r>
        <w:rPr>
          <w:rFonts w:ascii="Calibri" w:hAnsi="Calibri"/>
        </w:rPr>
        <w:t xml:space="preserve"> Flask handles routes independently: eyelid photos undergo HSV analysis; meal scans are sent base64-encoded to OpenRouter; symptoms are sent to Groq.</w:t>
      </w:r>
    </w:p>
    <w:p>
      <w:pPr>
        <w:pStyle w:val="ListBullet"/>
        <w:spacing w:after="80" w:line="276" w:lineRule="auto"/>
      </w:pPr>
      <w:r>
        <w:rPr>
          <w:rFonts w:ascii="Calibri" w:hAnsi="Calibri"/>
          <w:b/>
        </w:rPr>
        <w:t>4. Alerts and Syncing:</w:t>
      </w:r>
      <w:r>
        <w:rPr>
          <w:rFonts w:ascii="Calibri" w:hAnsi="Calibri"/>
        </w:rPr>
        <w:t xml:space="preserve"> If an emergency flag is raised, the server creates a record in Cloud Firestore and dispatches HTML emails using SMTP.</w:t>
      </w:r>
    </w:p>
    <w:p>
      <w:pPr>
        <w:keepNext/>
        <w:spacing w:before="360" w:after="120"/>
      </w:pPr>
      <w:r>
        <w:rPr>
          <w:rFonts w:ascii="Calibri" w:hAnsi="Calibri"/>
          <w:b/>
          <w:color w:val="D97757"/>
          <w:sz w:val="32"/>
        </w:rPr>
        <w:t>6. Demo Scenario and Limitations</w:t>
      </w:r>
    </w:p>
    <w:p>
      <w:pPr>
        <w:keepNext/>
        <w:spacing w:before="240" w:after="80"/>
      </w:pPr>
      <w:r>
        <w:rPr>
          <w:rFonts w:ascii="Calibri" w:hAnsi="Calibri"/>
          <w:b/>
          <w:color w:val="B55336"/>
          <w:sz w:val="26"/>
        </w:rPr>
        <w:t>Concrete Demo Scenario:</w:t>
      </w:r>
    </w:p>
    <w:p>
      <w:pPr>
        <w:spacing w:after="160" w:line="276" w:lineRule="auto"/>
      </w:pPr>
      <w:r>
        <w:rPr>
          <w:rFonts w:ascii="Calibri" w:hAnsi="Calibri"/>
          <w:sz w:val="22"/>
        </w:rPr>
        <w:t>1. Symptom Input: A mother inputs: 'मुझे चक्कर आ रहे हैं और बहुत थकान महसूस हो रही है' (I am feeling dizzy and very tired). The MyMemory API translates this to English. The Symptom API processes the translated text using Llama 3.3 on Groq. The system prompts classify dizziness/fatigue as a WARNING (consult ASHA worker soon) and output this risk level with clinical notes.</w:t>
      </w:r>
    </w:p>
    <w:p>
      <w:pPr>
        <w:spacing w:after="160" w:line="276" w:lineRule="auto"/>
      </w:pPr>
      <w:r>
        <w:rPr>
          <w:rFonts w:ascii="Calibri" w:hAnsi="Calibri"/>
          <w:sz w:val="22"/>
        </w:rPr>
        <w:t>2. Eyelid Scan: The mother uses the Eyelid Scan tool. She uploads a photo of her lower eyelid. The OpenCV engine detects low color saturation (S=98) and a borderline red-to-green ratio (R/G=1.04). The system estimates her hemoglobin to be 10.2 g/dL, classifying it as Mild Anemia and recommending daily iron-folic acid (IFA) supplements.</w:t>
      </w:r>
    </w:p>
    <w:p>
      <w:pPr>
        <w:spacing w:after="160" w:line="276" w:lineRule="auto"/>
      </w:pPr>
      <w:r>
        <w:rPr>
          <w:rFonts w:ascii="Calibri" w:hAnsi="Calibri"/>
          <w:sz w:val="22"/>
        </w:rPr>
        <w:t>3. Meal Tracker: The mother uploads a photo of her lunch (white rice and potato curry). GPT-4o-mini identifies the meal as starch-heavy and estimates low iron (10% RDA) and low protein (15% RDA). The system logs an 85% daily nutrition gap for iron and flags it.</w:t>
      </w:r>
    </w:p>
    <w:p>
      <w:pPr>
        <w:spacing w:after="160" w:line="276" w:lineRule="auto"/>
      </w:pPr>
      <w:r>
        <w:rPr>
          <w:rFonts w:ascii="Calibri" w:hAnsi="Calibri"/>
          <w:sz w:val="22"/>
        </w:rPr>
        <w:t>4. Clinician Sync: The mother goes to the reports page, generates her clinical summary, and emails it. An ASHA worker logs in using 'asha@mamaai.org'. The Clinician Portal reads the data from Firestore, displaying the mother's estimated hemoglobin trend line, warning status, and nutritional deficit history.</w:t>
      </w:r>
    </w:p>
    <w:p>
      <w:pPr>
        <w:keepNext/>
        <w:spacing w:before="240" w:after="80"/>
      </w:pPr>
      <w:r>
        <w:rPr>
          <w:rFonts w:ascii="Calibri" w:hAnsi="Calibri"/>
          <w:b/>
          <w:color w:val="B55336"/>
          <w:sz w:val="26"/>
        </w:rPr>
        <w:t>Honest Technical Limitations:</w:t>
      </w:r>
    </w:p>
    <w:p>
      <w:pPr>
        <w:pStyle w:val="ListBullet"/>
        <w:spacing w:after="80" w:line="276" w:lineRule="auto"/>
      </w:pPr>
      <w:r>
        <w:rPr>
          <w:rFonts w:ascii="Calibri" w:hAnsi="Calibri"/>
          <w:b/>
        </w:rPr>
        <w:t>• Visual Diagnostic Sensitivity:</w:t>
      </w:r>
      <w:r>
        <w:rPr>
          <w:rFonts w:ascii="Calibri" w:hAnsi="Calibri"/>
        </w:rPr>
        <w:t xml:space="preserve"> The Eyelid Scan is an AI screening estimation tool. It is heavily dependent on environment lighting, camera exposure, and the user's physical positioning. It is not a substitute for a clinical blood draw.</w:t>
      </w:r>
    </w:p>
    <w:p>
      <w:pPr>
        <w:pStyle w:val="ListBullet"/>
        <w:spacing w:after="80" w:line="276" w:lineRule="auto"/>
      </w:pPr>
      <w:r>
        <w:rPr>
          <w:rFonts w:ascii="Calibri" w:hAnsi="Calibri"/>
          <w:b/>
        </w:rPr>
        <w:t>• Nutritional Estimation Granularity:</w:t>
      </w:r>
      <w:r>
        <w:rPr>
          <w:rFonts w:ascii="Calibri" w:hAnsi="Calibri"/>
        </w:rPr>
        <w:t xml:space="preserve"> Meal image analysis relies on visible food items. It cannot determine hidden ingredients, portion sizing weight, or microgram-level spice adjustments.</w:t>
      </w:r>
    </w:p>
    <w:p>
      <w:pPr>
        <w:pStyle w:val="ListBullet"/>
        <w:spacing w:after="80" w:line="276" w:lineRule="auto"/>
      </w:pPr>
      <w:r>
        <w:rPr>
          <w:rFonts w:ascii="Calibri" w:hAnsi="Calibri"/>
          <w:b/>
        </w:rPr>
        <w:t>• Notification Delivery Channels:</w:t>
      </w:r>
      <w:r>
        <w:rPr>
          <w:rFonts w:ascii="Calibri" w:hAnsi="Calibri"/>
        </w:rPr>
        <w:t xml:space="preserve"> SMTP email dispatches are suitable for local testing, but high-priority production alerts require robust telecommunication channels like Twilio SMS or Firebase Push Notifications (FCM).</w:t>
      </w:r>
    </w:p>
    <w:p>
      <w:pPr>
        <w:pStyle w:val="ListBullet"/>
        <w:spacing w:after="80" w:line="276" w:lineRule="auto"/>
      </w:pPr>
      <w:r>
        <w:rPr>
          <w:rFonts w:ascii="Calibri" w:hAnsi="Calibri"/>
          <w:b/>
        </w:rPr>
        <w:t>• Authentication Bypasses:</w:t>
      </w:r>
      <w:r>
        <w:rPr>
          <w:rFonts w:ascii="Calibri" w:hAnsi="Calibri"/>
        </w:rPr>
        <w:t xml:space="preserve"> A local bypass allows developers and users to run the interactive demo immediately, but true production use requires authentic Firebase Auth rules mapping.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2F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