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Framepath</w:t>
      </w:r>
    </w:p>
    <w:p>
      <w:pPr>
        <w:pStyle w:val="Heading1"/>
      </w:pPr>
      <w:r>
        <w:t>Product &amp; UX review</w:t>
      </w:r>
    </w:p>
    <w:p>
      <w:pPr>
        <w:pStyle w:val="Subtitle"/>
      </w:pPr>
      <w:r>
        <w:t>Course structure, learning experience and learner navigation</w:t>
      </w:r>
    </w:p>
    <w:p>
      <w:pPr>
        <w:pStyle w:val="Heading2"/>
      </w:pPr>
      <w:r>
        <w:t>01  Course structure and lesson format</w:t>
      </w:r>
    </w:p>
    <w:p>
      <w:r>
        <w:t>Organise the course into modules, with lessons nested within each module. Assign one or more assignments at the module level instead of a separate assignment for every lesson. The interface should reflect this hierarchy.</w:t>
      </w:r>
    </w:p>
    <w:p>
      <w:pPr>
        <w:spacing w:after="120"/>
      </w:pPr>
      <w:r>
        <w:rPr>
          <w:b/>
        </w:rPr>
        <w:t xml:space="preserve">Lesson format: </w:t>
      </w:r>
      <w:r>
        <w:t>Watch and Reflect (with simulation).</w:t>
      </w:r>
    </w:p>
    <w:p>
      <w:pPr>
        <w:pStyle w:val="Heading2"/>
      </w:pPr>
      <w:r>
        <w:t>02  Beginner plan and dashboard</w:t>
      </w:r>
    </w:p>
    <w:p>
      <w:r>
        <w:t>Improve the Beginner plan user experience. Rework the dates section, especially “Start later”: the current flow is confusing and only offers the option to add weeks.</w:t>
      </w:r>
    </w:p>
    <w:p>
      <w:r>
        <w:t>Show the pathway’s expected output or learning outcome on the plan dashboard, so learners understand what they will gain from completing it.</w:t>
      </w:r>
    </w:p>
    <w:p>
      <w:pPr>
        <w:pStyle w:val="Heading2"/>
      </w:pPr>
      <w:r>
        <w:t>03  Watch: storytelling lesson sequence</w:t>
      </w:r>
    </w:p>
    <w:p>
      <w:pPr>
        <w:spacing w:after="80"/>
      </w:pPr>
      <w:r>
        <w:t>Lesson: “How videos tell a story / Storytelling 101”. Reorder the videos as follows:</w:t>
      </w:r>
    </w:p>
    <w:p>
      <w:pPr>
        <w:spacing w:after="100"/>
      </w:pPr>
      <w:r>
        <w:rPr>
          <w:b/>
        </w:rPr>
        <w:t xml:space="preserve">1. </w:t>
      </w:r>
      <w:hyperlink r:id="rId11">
        <w:r>
          <w:rPr>
            <w:color w:val="236369"/>
            <w:u w:val="single"/>
          </w:rPr>
          <w:t>Give me 9min, and I'll improve your storytelling skills by 176%</w:t>
        </w:r>
      </w:hyperlink>
    </w:p>
    <w:p>
      <w:pPr>
        <w:spacing w:after="120"/>
      </w:pPr>
      <w:r>
        <w:rPr>
          <w:b/>
        </w:rPr>
        <w:t xml:space="preserve">2. </w:t>
      </w:r>
      <w:r>
        <w:t>Directing without words: Visual Storytelling</w:t>
      </w:r>
      <w:r>
        <w:t xml:space="preserve"> — the current Video 1.</w:t>
      </w:r>
    </w:p>
    <w:p>
      <w:pPr>
        <w:pStyle w:val="Heading2"/>
      </w:pPr>
      <w:r>
        <w:t>04  Make: assignment naming and emphasis</w:t>
      </w:r>
    </w:p>
    <w:p>
      <w:r>
        <w:t>Give each task a clear name and number so it can be tracked across the course. Make the task instructions more prominent than the upload section; the assignment should receive the main visual emphasis.</w:t>
      </w:r>
    </w:p>
    <w:p>
      <w:pPr>
        <w:spacing w:before="140" w:after="180" w:line="264" w:lineRule="auto"/>
        <w:ind w:left="173" w:right="144"/>
        <w:shd w:fill="F1F6F5"/>
        <w:pBdr>
          <w:left w:val="single" w:sz="16" w:color="236369" w:space="8"/>
        </w:pBdr>
      </w:pPr>
      <w:r>
        <w:rPr>
          <w:b/>
          <w:sz w:val="19"/>
        </w:rPr>
        <w:t xml:space="preserve">Details to define: </w:t>
      </w:r>
      <w:r>
        <w:rPr>
          <w:sz w:val="19"/>
        </w:rPr>
        <w:t>The notes do not specify the simulation behaviour or the exact replacement for the “Start later” controls.</w:t>
      </w:r>
    </w:p>
    <w:p>
      <w:r>
        <w:br w:type="page"/>
      </w:r>
    </w:p>
    <w:p>
      <w:pPr>
        <w:pStyle w:val="Heading1"/>
      </w:pPr>
      <w:r>
        <w:t>AI review and reflection</w:t>
      </w:r>
    </w:p>
    <w:p>
      <w:pPr>
        <w:pStyle w:val="Heading2"/>
      </w:pPr>
      <w:r>
        <w:t>05  Reflect: feedback and waiting state</w:t>
      </w:r>
    </w:p>
    <w:p>
      <w:pPr>
        <w:spacing w:after="120"/>
      </w:pPr>
      <w:r>
        <w:rPr>
          <w:b/>
        </w:rPr>
        <w:t xml:space="preserve">Reported issue: </w:t>
      </w:r>
      <w:r>
        <w:t>The Reflect section shows a waiting state while AI reviews the learner’s work, with a “See it in My Work” option below it. Following that link does not show the feedback in My Work.</w:t>
      </w:r>
    </w:p>
    <w:p>
      <w:pPr>
        <w:spacing w:after="120"/>
      </w:pPr>
      <w:r>
        <w:rPr>
          <w:b/>
        </w:rPr>
        <w:t xml:space="preserve">Requested change: </w:t>
      </w:r>
      <w:r>
        <w:t>Ensure the review feedback appears in My Work when available. During the review wait, show information, facts or quotes relevant to the course the learner is taking.</w:t>
      </w:r>
    </w:p>
    <w:p>
      <w:pPr>
        <w:pStyle w:val="Heading3"/>
        <w:spacing w:before="240" w:after="140"/>
      </w:pPr>
      <w:r>
        <w:t>Reference screen</w:t>
      </w:r>
    </w:p>
    <w:p>
      <w:pPr>
        <w:keepNext/>
        <w:spacing w:after="0"/>
        <w:jc w:val="center"/>
      </w:pPr>
      <w:r>
        <w:drawing>
          <wp:inline xmlns:a="http://schemas.openxmlformats.org/drawingml/2006/main" xmlns:pic="http://schemas.openxmlformats.org/drawingml/2006/picture">
            <wp:extent cx="6243248" cy="3947773"/>
            <wp:docPr id="1" name="Picture 1" descr="Framepath Reflect screen showing the AI-review waiting message and the See it in My Work button." title="Figure 1"/>
            <wp:cNvGraphicFramePr>
              <a:graphicFrameLocks noChangeAspect="1"/>
            </wp:cNvGraphicFramePr>
            <a:graphic>
              <a:graphicData uri="http://schemas.openxmlformats.org/drawingml/2006/picture">
                <pic:pic>
                  <pic:nvPicPr>
                    <pic:cNvPr id="0" name="reflect_screen.png"/>
                    <pic:cNvPicPr/>
                  </pic:nvPicPr>
                  <pic:blipFill>
                    <a:blip r:embed="rId12"/>
                    <a:stretch>
                      <a:fillRect/>
                    </a:stretch>
                  </pic:blipFill>
                  <pic:spPr>
                    <a:xfrm>
                      <a:off x="0" y="0"/>
                      <a:ext cx="6243248" cy="3947773"/>
                    </a:xfrm>
                    <a:prstGeom prst="rect"/>
                  </pic:spPr>
                </pic:pic>
              </a:graphicData>
            </a:graphic>
          </wp:inline>
        </w:drawing>
      </w:r>
    </w:p>
    <w:p>
      <w:pPr>
        <w:pStyle w:val="Caption"/>
      </w:pPr>
      <w:r>
        <w:t>Figure 1. Reflect waiting state and “See it in My Work”. Source: Review.docx, page 2. Empty outer margins have been cropped for readability; the interface content is unchanged.</w:t>
      </w:r>
    </w:p>
    <w:p>
      <w:r>
        <w:br w:type="page"/>
      </w:r>
    </w:p>
    <w:p>
      <w:pPr>
        <w:pStyle w:val="Heading1"/>
      </w:pPr>
      <w:r>
        <w:t>Navigation and My Work</w:t>
      </w:r>
    </w:p>
    <w:p>
      <w:pPr>
        <w:pStyle w:val="Heading2"/>
      </w:pPr>
      <w:r>
        <w:t>06  Preserve the learner’s navigation context</w:t>
      </w:r>
    </w:p>
    <w:p>
      <w:pPr>
        <w:spacing w:after="120"/>
      </w:pPr>
      <w:r>
        <w:rPr>
          <w:b/>
        </w:rPr>
        <w:t xml:space="preserve">Opened from a module: </w:t>
      </w:r>
      <w:r>
        <w:t>When a learner selects “See it in My Work”, provide a clear way to return to the originating module instead of sending them only to the general My Work page.</w:t>
      </w:r>
    </w:p>
    <w:p>
      <w:pPr>
        <w:spacing w:after="120"/>
      </w:pPr>
      <w:r>
        <w:rPr>
          <w:b/>
        </w:rPr>
        <w:t xml:space="preserve">Opened directly: </w:t>
      </w:r>
      <w:r>
        <w:t>When My Work is opened independently, show a general dashboard of the learner’s overall training.</w:t>
      </w:r>
    </w:p>
    <w:p>
      <w:pPr>
        <w:pStyle w:val="Heading3"/>
        <w:spacing w:before="200" w:after="140"/>
      </w:pPr>
      <w:r>
        <w:t>Reference screen</w:t>
      </w:r>
    </w:p>
    <w:p>
      <w:pPr>
        <w:keepNext/>
        <w:spacing w:after="0"/>
        <w:jc w:val="center"/>
      </w:pPr>
      <w:r>
        <w:drawing>
          <wp:inline xmlns:a="http://schemas.openxmlformats.org/drawingml/2006/main" xmlns:pic="http://schemas.openxmlformats.org/drawingml/2006/picture">
            <wp:extent cx="5943600" cy="5227361"/>
            <wp:docPr id="2" name="Picture 2" descr="Framepath My Work page showing a submission grouped under B01 and portfolio controls, as supplied in the review." title="Figure 2"/>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943600" cy="5227361"/>
                    </a:xfrm>
                    <a:prstGeom prst="rect"/>
                  </pic:spPr>
                </pic:pic>
              </a:graphicData>
            </a:graphic>
          </wp:inline>
        </w:drawing>
      </w:r>
    </w:p>
    <w:p>
      <w:pPr>
        <w:pStyle w:val="Caption"/>
      </w:pPr>
      <w:r>
        <w:t>Figure 2. My Work submission and portfolio view. Source: Review.docx, page 3. This screen accompanies the navigation and dashboard feedback above.</w:t>
      </w:r>
    </w:p>
    <w:p>
      <w:r>
        <w:br w:type="page"/>
      </w:r>
    </w:p>
    <w:p>
      <w:pPr>
        <w:pStyle w:val="Heading1"/>
      </w:pPr>
      <w:r>
        <w:t>Access and course completion</w:t>
      </w:r>
    </w:p>
    <w:p>
      <w:pPr>
        <w:pStyle w:val="Heading2"/>
      </w:pPr>
      <w:r>
        <w:t>07  Restricted content from Module 3</w:t>
      </w:r>
    </w:p>
    <w:p>
      <w:r>
        <w:t>From Module 3 onward, task content is still visible in Watch even though the learner cannot upload the task. Grey out the restricted section and provide an unlock option that redirects to the paid self-paced pathway.</w:t>
      </w:r>
    </w:p>
    <w:p>
      <w:pPr>
        <w:keepNext/>
        <w:spacing w:after="0"/>
        <w:jc w:val="center"/>
      </w:pPr>
      <w:r>
        <w:drawing>
          <wp:inline xmlns:a="http://schemas.openxmlformats.org/drawingml/2006/main" xmlns:pic="http://schemas.openxmlformats.org/drawingml/2006/picture">
            <wp:extent cx="4160520" cy="4901665"/>
            <wp:docPr id="3" name="Picture 3" descr="Watch section showing storyboard lessons and a visible Your task panel with a Start the task button." title="Figure 3"/>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160520" cy="4901665"/>
                    </a:xfrm>
                    <a:prstGeom prst="rect"/>
                  </pic:spPr>
                </pic:pic>
              </a:graphicData>
            </a:graphic>
          </wp:inline>
        </w:drawing>
      </w:r>
    </w:p>
    <w:p>
      <w:pPr>
        <w:pStyle w:val="Caption"/>
      </w:pPr>
      <w:r>
        <w:t>Figure 3. Task content visible in Watch. Source: Review.docx, page 4. The requested change is to show a clear locked state for the restricted section.</w:t>
      </w:r>
    </w:p>
    <w:p>
      <w:pPr>
        <w:pStyle w:val="Heading2"/>
      </w:pPr>
      <w:r>
        <w:t>08  Course closure</w:t>
      </w:r>
    </w:p>
    <w:p>
      <w:r>
        <w:t>Add a course-closure segment at the end of the final module.</w:t>
      </w:r>
    </w:p>
    <w:p>
      <w:pPr>
        <w:pStyle w:val="Heading2"/>
      </w:pPr>
      <w:r>
        <w:t>09  Future enhancement: concurrent pathways</w:t>
      </w:r>
    </w:p>
    <w:p>
      <w:r>
        <w:t>Consider allowing free learners to take one pathway at a time, while paid learners can take multiple pathways concurrently. Three pathways is a tentative suggestion, not a confirmed limit.</w:t>
      </w:r>
    </w:p>
    <w:sectPr w:rsidR="00FC693F" w:rsidRPr="0006063C" w:rsidSect="00034616">
      <w:headerReference w:type="default" r:id="rId9"/>
      <w:footerReference w:type="default" r:id="rId10"/>
      <w:pgSz w:w="11905" w:h="16838"/>
      <w:pgMar w:top="965" w:right="1037" w:bottom="936"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32" w:val="right"/>
      </w:tabs>
      <w:spacing w:after="0"/>
    </w:pPr>
    <w:r>
      <w:rPr>
        <w:rFonts w:ascii="Lato" w:hAnsi="Lato"/>
        <w:color w:val="627276"/>
        <w:sz w:val="16"/>
      </w:rPr>
      <w:t>SOURCE: REVIEW.DOCX</w:t>
    </w:r>
    <w:r>
      <w:rPr>
        <w:sz w:val="16"/>
      </w:rPr>
      <w:tab/>
    </w:r>
    <w:r>
      <w:rPr>
        <w:color w:val="627276"/>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32" w:val="right"/>
      </w:tabs>
      <w:spacing w:after="120"/>
      <w:pBdr>
        <w:bottom w:val="single" w:sz="5" w:color="D8E4E1" w:space="5"/>
      </w:pBdr>
    </w:pPr>
    <w:r>
      <w:rPr>
        <w:rFonts w:ascii="Lato" w:hAnsi="Lato"/>
        <w:b/>
        <w:color w:val="142B30"/>
        <w:sz w:val="20"/>
      </w:rPr>
      <w:t>framepath.</w:t>
    </w:r>
    <w:r>
      <w:rPr>
        <w:color w:val="627276"/>
        <w:sz w:val="16"/>
      </w:rPr>
      <w:tab/>
      <w:t>PRODUCT &amp; UX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Lato" w:hAnsi="Lato" w:cs="Lato" w:eastAsia="Lato"/>
      <w:color w:val="27363B"/>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GB"/>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G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59" w:lineRule="auto"/>
      <w:outlineLvl w:val="0"/>
    </w:pPr>
    <w:rPr>
      <w:rFonts w:asciiTheme="majorHAnsi" w:eastAsiaTheme="majorEastAsia" w:hAnsiTheme="majorHAnsi" w:cstheme="majorBidi" w:ascii="Lato" w:hAnsi="Lato" w:cs="Lato" w:eastAsia="Lato"/>
      <w:b/>
      <w:bCs/>
      <w:i w:val="0"/>
      <w:color w:val="142B30"/>
      <w:sz w:val="40"/>
      <w:szCs w:val="28"/>
      <w:lang w:val="en-GB"/>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ascii="Lato" w:hAnsi="Lato" w:cs="Lato" w:eastAsia="Lato"/>
      <w:b/>
      <w:bCs/>
      <w:i w:val="0"/>
      <w:color w:val="236369"/>
      <w:sz w:val="26"/>
      <w:szCs w:val="26"/>
      <w:lang w:val="en-GB"/>
    </w:rPr>
  </w:style>
  <w:style w:type="paragraph" w:styleId="Heading3">
    <w:name w:val="heading 3"/>
    <w:basedOn w:val="Normal"/>
    <w:next w:val="Normal"/>
    <w:link w:val="Heading3Char"/>
    <w:uiPriority w:val="9"/>
    <w:unhideWhenUsed/>
    <w:qFormat/>
    <w:rsid w:val="00FC693F"/>
    <w:pPr>
      <w:keepNext/>
      <w:keepLines/>
      <w:spacing w:before="120" w:after="60" w:line="259" w:lineRule="auto"/>
      <w:outlineLvl w:val="2"/>
    </w:pPr>
    <w:rPr>
      <w:rFonts w:asciiTheme="majorHAnsi" w:eastAsiaTheme="majorEastAsia" w:hAnsiTheme="majorHAnsi" w:cstheme="majorBidi" w:ascii="Lato" w:hAnsi="Lato" w:cs="Lato" w:eastAsia="Lato"/>
      <w:b/>
      <w:bCs/>
      <w:i w:val="0"/>
      <w:color w:val="142B30"/>
      <w:sz w:val="22"/>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G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G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GB"/>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GB"/>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G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69" w:lineRule="auto" w:before="0"/>
      <w:contextualSpacing/>
    </w:pPr>
    <w:rPr>
      <w:rFonts w:asciiTheme="majorHAnsi" w:eastAsiaTheme="majorEastAsia" w:hAnsiTheme="majorHAnsi" w:cstheme="majorBidi" w:ascii="Lato" w:hAnsi="Lato" w:cs="Lato" w:eastAsia="Lato"/>
      <w:b w:val="0"/>
      <w:i w:val="0"/>
      <w:color w:val="142B30"/>
      <w:spacing w:val="5"/>
      <w:kern w:val="28"/>
      <w:sz w:val="56"/>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69" w:lineRule="auto"/>
    </w:pPr>
    <w:rPr>
      <w:rFonts w:asciiTheme="majorHAnsi" w:eastAsiaTheme="majorEastAsia" w:hAnsiTheme="majorHAnsi" w:cstheme="majorBidi" w:ascii="Lato" w:hAnsi="Lato" w:cs="Lato" w:eastAsia="Lato"/>
      <w:b w:val="0"/>
      <w:i w:val="0"/>
      <w:iCs/>
      <w:color w:val="627276"/>
      <w:spacing w:val="15"/>
      <w:sz w:val="22"/>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GB"/>
    </w:rPr>
  </w:style>
  <w:style w:type="paragraph" w:styleId="BodyText">
    <w:name w:val="Body Text"/>
    <w:basedOn w:val="Normal"/>
    <w:link w:val="BodyTextChar"/>
    <w:uiPriority w:val="99"/>
    <w:unhideWhenUsed/>
    <w:rsid w:val="00AA1D8D"/>
    <w:pPr>
      <w:spacing w:after="120"/>
    </w:pPr>
    <w:rPr>
      <w:lang w:val="en-GB"/>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GB"/>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GB"/>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GB"/>
    </w:rPr>
  </w:style>
  <w:style w:type="paragraph" w:styleId="List2">
    <w:name w:val="List 2"/>
    <w:basedOn w:val="Normal"/>
    <w:uiPriority w:val="99"/>
    <w:unhideWhenUsed/>
    <w:rsid w:val="00326F90"/>
    <w:pPr>
      <w:ind w:left="720" w:hanging="360"/>
      <w:contextualSpacing/>
    </w:pPr>
    <w:rPr>
      <w:lang w:val="en-GB"/>
    </w:rPr>
  </w:style>
  <w:style w:type="paragraph" w:styleId="List3">
    <w:name w:val="List 3"/>
    <w:basedOn w:val="Normal"/>
    <w:uiPriority w:val="99"/>
    <w:unhideWhenUsed/>
    <w:rsid w:val="00326F90"/>
    <w:pPr>
      <w:ind w:left="1080" w:hanging="360"/>
      <w:contextualSpacing/>
    </w:pPr>
    <w:rPr>
      <w:lang w:val="en-GB"/>
    </w:rPr>
  </w:style>
  <w:style w:type="paragraph" w:styleId="ListBullet">
    <w:name w:val="List Bullet"/>
    <w:basedOn w:val="Normal"/>
    <w:uiPriority w:val="99"/>
    <w:unhideWhenUsed/>
    <w:rsid w:val="00326F90"/>
    <w:pPr>
      <w:numPr>
        <w:numId w:val="1"/>
      </w:numPr>
      <w:contextualSpacing/>
    </w:pPr>
    <w:rPr>
      <w:lang w:val="en-GB"/>
    </w:rPr>
  </w:style>
  <w:style w:type="paragraph" w:styleId="ListBullet2">
    <w:name w:val="List Bullet 2"/>
    <w:basedOn w:val="Normal"/>
    <w:uiPriority w:val="99"/>
    <w:unhideWhenUsed/>
    <w:rsid w:val="00326F90"/>
    <w:pPr>
      <w:numPr>
        <w:numId w:val="2"/>
      </w:numPr>
      <w:contextualSpacing/>
    </w:pPr>
    <w:rPr>
      <w:lang w:val="en-GB"/>
    </w:rPr>
  </w:style>
  <w:style w:type="paragraph" w:styleId="ListBullet3">
    <w:name w:val="List Bullet 3"/>
    <w:basedOn w:val="Normal"/>
    <w:uiPriority w:val="99"/>
    <w:unhideWhenUsed/>
    <w:rsid w:val="00326F90"/>
    <w:pPr>
      <w:numPr>
        <w:numId w:val="3"/>
      </w:numPr>
      <w:contextualSpacing/>
    </w:pPr>
    <w:rPr>
      <w:lang w:val="en-GB"/>
    </w:rPr>
  </w:style>
  <w:style w:type="paragraph" w:styleId="ListNumber">
    <w:name w:val="List Number"/>
    <w:basedOn w:val="Normal"/>
    <w:uiPriority w:val="99"/>
    <w:unhideWhenUsed/>
    <w:rsid w:val="00326F90"/>
    <w:pPr>
      <w:numPr>
        <w:numId w:val="5"/>
      </w:numPr>
      <w:contextualSpacing/>
    </w:pPr>
    <w:rPr>
      <w:lang w:val="en-GB"/>
    </w:rPr>
  </w:style>
  <w:style w:type="paragraph" w:styleId="ListNumber2">
    <w:name w:val="List Number 2"/>
    <w:basedOn w:val="Normal"/>
    <w:uiPriority w:val="99"/>
    <w:unhideWhenUsed/>
    <w:rsid w:val="0029639D"/>
    <w:pPr>
      <w:numPr>
        <w:numId w:val="6"/>
      </w:numPr>
      <w:contextualSpacing/>
    </w:pPr>
    <w:rPr>
      <w:lang w:val="en-GB"/>
    </w:rPr>
  </w:style>
  <w:style w:type="paragraph" w:styleId="ListNumber3">
    <w:name w:val="List Number 3"/>
    <w:basedOn w:val="Normal"/>
    <w:uiPriority w:val="99"/>
    <w:unhideWhenUsed/>
    <w:rsid w:val="0029639D"/>
    <w:pPr>
      <w:numPr>
        <w:numId w:val="7"/>
      </w:numPr>
      <w:contextualSpacing/>
    </w:pPr>
    <w:rPr>
      <w:lang w:val="en-GB"/>
    </w:rPr>
  </w:style>
  <w:style w:type="paragraph" w:styleId="ListContinue">
    <w:name w:val="List Continue"/>
    <w:basedOn w:val="Normal"/>
    <w:uiPriority w:val="99"/>
    <w:unhideWhenUsed/>
    <w:rsid w:val="0029639D"/>
    <w:pPr>
      <w:spacing w:after="120"/>
      <w:ind w:left="360"/>
      <w:contextualSpacing/>
    </w:pPr>
    <w:rPr>
      <w:lang w:val="en-GB"/>
    </w:rPr>
  </w:style>
  <w:style w:type="paragraph" w:styleId="ListContinue2">
    <w:name w:val="List Continue 2"/>
    <w:basedOn w:val="Normal"/>
    <w:uiPriority w:val="99"/>
    <w:unhideWhenUsed/>
    <w:rsid w:val="0029639D"/>
    <w:pPr>
      <w:spacing w:after="120"/>
      <w:ind w:left="720"/>
      <w:contextualSpacing/>
    </w:pPr>
    <w:rPr>
      <w:lang w:val="en-GB"/>
    </w:rPr>
  </w:style>
  <w:style w:type="paragraph" w:styleId="ListContinue3">
    <w:name w:val="List Continue 3"/>
    <w:basedOn w:val="Normal"/>
    <w:uiPriority w:val="99"/>
    <w:unhideWhenUsed/>
    <w:rsid w:val="0029639D"/>
    <w:pPr>
      <w:spacing w:after="120"/>
      <w:ind w:left="1080"/>
      <w:contextualSpacing/>
    </w:pPr>
    <w:rPr>
      <w:lang w:val="en-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GB"/>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69" w:lineRule="auto" w:before="100" w:after="160"/>
    </w:pPr>
    <w:rPr>
      <w:rFonts w:ascii="Lato" w:hAnsi="Lato" w:cs="Lato" w:eastAsia="Lato"/>
      <w:b w:val="0"/>
      <w:bCs/>
      <w:i w:val="0"/>
      <w:color w:val="627276"/>
      <w:sz w:val="18"/>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GB"/>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GB"/>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hNuAv-42jzY"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Framepath — Product &amp; UX Review</dc:title>
  <dc:subject>Organised feedback on course structure, lesson experience, review, navigation and access</dc:subject>
  <dc:creator/>
  <cp:keywords>Framepath, product review, UX, learning pathway</cp:keywords>
  <dc:description/>
  <cp:lastModifiedBy/>
  <cp:revision>1</cp:revision>
  <dcterms:created xsi:type="dcterms:W3CDTF">2013-12-23T23:15:00Z</dcterms:created>
  <dcterms:modified xsi:type="dcterms:W3CDTF">2013-12-23T23:15:00Z</dcterms:modified>
  <cp:category/>
</cp:coreProperties>
</file>