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MASTER SERVICES AGREEMENT</w:t>
      </w:r>
    </w:p>
    <w:p>
      <w:r>
        <w:t xml:space="preserve"/>
      </w:r>
    </w:p>
    <w:p>
      <w:r>
        <w:t xml:space="preserve">This Master Services Agreement ("Agreement") is entered into as of March 1, 2026 by and between Solara Health Analytics, Inc., a Delaware corporation with its principal place of business at 400 Market Street, Wilmington, Delaware ("Client"), and Vantage CloudWorks LLC, a California limited liability company with its principal place of business at 88 Mission Street, San Francisco, California ("Provider").</w:t>
      </w:r>
    </w:p>
    <w:p>
      <w:r>
        <w:t xml:space="preserve"/>
      </w:r>
    </w:p>
    <w:p>
      <w:r>
        <w:t xml:space="preserve">WHEREAS, Client desires to procure certain cloud-based software services from Provider, and Provider desires to provide such services to Client, the parties agree as follows:</w:t>
      </w:r>
    </w:p>
    <w:p/>
    <w:p>
      <w:r>
        <w:rPr>
          <w:b/>
          <w:bCs/>
        </w:rPr>
        <w:t xml:space="preserve">1. Definitions</w:t>
      </w:r>
    </w:p>
    <w:p>
      <w:r>
        <w:t xml:space="preserve">For purposes of this Agreement, the following terms have the meanings set forth below: "Services" means the cloud-based subscription platform and support described herein. "Confidential Information" means non-public information disclosed by either party that is designated confidential or should reasonably be understood as such. "Authorized Users" means Client's employees and contractors permitted to access the Services.</w:t>
      </w:r>
    </w:p>
    <w:p/>
    <w:p>
      <w:r>
        <w:rPr>
          <w:b/>
          <w:bCs/>
        </w:rPr>
        <w:t xml:space="preserve">2. Scope of Services</w:t>
      </w:r>
    </w:p>
    <w:p>
      <w:r>
        <w:t xml:space="preserve">Provider shall provide Client with access to its cloud-based workforce scheduling platform (the "Platform") and associated implementation and support services, as further described in the order form incorporated herein by reference. Provider shall perform the Services in a professional and workmanlike manner consistent with generally accepted industry standards.</w:t>
      </w:r>
    </w:p>
    <w:p/>
    <w:p>
      <w:r>
        <w:rPr>
          <w:b/>
          <w:bCs/>
        </w:rPr>
        <w:t xml:space="preserve">3. Term and Renewal</w:t>
      </w:r>
    </w:p>
    <w:p>
      <w:r>
        <w:t xml:space="preserve">This Agreement commences on the Effective Date and continues for an initial term of twelve (12) months. Thereafter, this Agreement shall automatically renew for successive twelve (12) month terms unless either party provides written notice of non-renewal at least sixty (60) days prior to the end of the then-current term.</w:t>
      </w:r>
    </w:p>
    <w:p/>
    <w:p>
      <w:r>
        <w:rPr>
          <w:b/>
          <w:bCs/>
        </w:rPr>
        <w:t xml:space="preserve">4. Termination for Cause</w:t>
      </w:r>
    </w:p>
    <w:p>
      <w:r>
        <w:t xml:space="preserve">Provider may terminate this Agreement immediately upon written notice for any reason or no reason upon five (5) days notice to Client, and Client shall not be entitled to any refund of prepaid fees or credit for unused Services. Client may only terminate this Agreement for Provider's uncured material breach following sixty (60) days written notice and an opportunity to cure.</w:t>
      </w:r>
    </w:p>
    <w:p/>
    <w:p>
      <w:r>
        <w:rPr>
          <w:b/>
          <w:bCs/>
        </w:rPr>
        <w:t xml:space="preserve">5. Fees and Payment Terms</w:t>
      </w:r>
    </w:p>
    <w:p>
      <w:r>
        <w:t xml:space="preserve">Client shall pay Provider the fees set forth in the applicable order form within thirty (30) days of the invoice date. Late payments shall accrue interest at the rate of one and one-half percent (1.5%) per month, or the maximum rate permitted by law, whichever is less.</w:t>
      </w:r>
    </w:p>
    <w:p/>
    <w:p>
      <w:r>
        <w:rPr>
          <w:b/>
          <w:bCs/>
        </w:rPr>
        <w:t xml:space="preserve">6. Confidentiality</w:t>
      </w:r>
    </w:p>
    <w:p>
      <w:r>
        <w:t xml:space="preserve">Each party shall protect the other party's Confidential Information using the same degree of care it uses to protect its own confidential information of similar nature, but in no event less than reasonable care, and shall not disclose such Confidential Information to any third party without the prior written consent of the disclosing party. This obligation shall survive termination of this Agreement for a period of three (3) years.</w:t>
      </w:r>
    </w:p>
    <w:p/>
    <w:p>
      <w:r>
        <w:rPr>
          <w:b/>
          <w:bCs/>
        </w:rPr>
        <w:t xml:space="preserve">7. Data Protection and Privacy</w:t>
      </w:r>
    </w:p>
    <w:p>
      <w:r>
        <w:t xml:space="preserve">To the extent Provider processes personal data of Client's employees or end users who are residents of the European Union or United Kingdom in connection with the Services, Provider shall process such personal data solely in accordance with Client's documented instructions and shall not transfer such personal data outside the European Economic Area or United Kingdom without implementing appropriate safeguards as required under the GDPR and UK GDPR.</w:t>
      </w:r>
    </w:p>
    <w:p/>
    <w:p>
      <w:r>
        <w:rPr>
          <w:b/>
          <w:bCs/>
        </w:rPr>
        <w:t xml:space="preserve">8. Intellectual Property Ownership</w:t>
      </w:r>
    </w:p>
    <w:p>
      <w:r>
        <w:t xml:space="preserve">As between the parties, all work product, custom configurations, and deliverables created by Provider specifically for Client under this Agreement, and fully paid for by Client, shall be deemed works made for hire and shall be the sole and exclusive property of Client, and Provider hereby assigns all right, title, and interest therein to Client. Provider retains ownership of its pre-existing platform, software, and general methodologies.</w:t>
      </w:r>
    </w:p>
    <w:p/>
    <w:p>
      <w:r>
        <w:rPr>
          <w:b/>
          <w:bCs/>
        </w:rPr>
        <w:t xml:space="preserve">9. Limitation of Liability</w:t>
      </w:r>
    </w:p>
    <w:p>
      <w:r>
        <w:t xml:space="preserve">Except for breaches of confidentiality, infringement of intellectual property rights, or a party's indemnification obligations, each party's total liability arising out of or related to this Agreement shall not exceed the total fees paid or payable under this Agreement in the twelve (12) months preceding the event giving rise to the claim. Neither party shall be liable for indirect, incidental, consequential, or punitive damages.</w:t>
      </w:r>
    </w:p>
    <w:p/>
    <w:p>
      <w:r>
        <w:rPr>
          <w:b/>
          <w:bCs/>
        </w:rPr>
        <w:t xml:space="preserve">10. Provider Indemnification</w:t>
      </w:r>
    </w:p>
    <w:p>
      <w:r>
        <w:t xml:space="preserve">Provider shall defend, indemnify, and hold harmless Client from and against any third-party claims, damages, and reasonable costs arising out of Provider's gross negligence, willful misconduct, or infringement of a third party's intellectual property rights in connection with the Services, subject to the limitation of liability set forth above.</w:t>
      </w:r>
    </w:p>
    <w:p/>
    <w:p>
      <w:r>
        <w:rPr>
          <w:b/>
          <w:bCs/>
        </w:rPr>
        <w:t xml:space="preserve">11. Client Indemnification</w:t>
      </w:r>
    </w:p>
    <w:p>
      <w:r>
        <w:t xml:space="preserve">Client shall indemnify, defend, and hold harmless Provider and its officers, directors, and employees from and against any and all claims, damages, losses, and liabilities of any kind whatsoever, including reasonable attorneys' fees, arising out of or in any way related to Client's use of the Services, without any limitation or exclusion.</w:t>
      </w:r>
    </w:p>
    <w:p/>
    <w:p>
      <w:r>
        <w:rPr>
          <w:b/>
          <w:bCs/>
        </w:rPr>
        <w:t xml:space="preserve">12. Warranty</w:t>
      </w:r>
    </w:p>
    <w:p>
      <w:r>
        <w:t xml:space="preserve">Provider warrants that the Services will perform materially in accordance with the applicable documentation. EXCEPT AS EXPRESSLY SET FORTH HEREIN, THE SERVICES ARE PROVIDED "AS IS" AND PROVIDER DISCLAIMS ALL OTHER WARRANTIES, WHETHER EXPRESS OR IMPLIED, INCLUDING WARRANTIES OF MERCHANTABILITY, FITNESS FOR A PARTICULAR PURPOSE, AND NON-INFRINGEMENT.</w:t>
      </w:r>
    </w:p>
    <w:p/>
    <w:p>
      <w:r>
        <w:rPr>
          <w:b/>
          <w:bCs/>
        </w:rPr>
        <w:t xml:space="preserve">13. Platform Description and Checkout</w:t>
      </w:r>
    </w:p>
    <w:p>
      <w:r>
        <w:t xml:space="preserve">The Platform includes an optional employee benefits marketplace through which Authorized Users may purchase third-party products using a credit card. Provider will process and transmit cardholder data submitted through the marketplace to its third-party payment processor, and Provider's systems will temporarily cache cardholder data during transaction processing before purging it in accordance with its data retention procedures.</w:t>
      </w:r>
    </w:p>
    <w:p/>
    <w:p>
      <w:r>
        <w:rPr>
          <w:b/>
          <w:bCs/>
        </w:rPr>
        <w:t xml:space="preserve">14. Patient Scheduling Module Support</w:t>
      </w:r>
    </w:p>
    <w:p>
      <w:r>
        <w:t xml:space="preserve">For Client deployments that enable the optional patient scheduling module, Provider shall maintain no less than 99.9% uptime for the module, which stores and processes Protected Health Information (PHI) on behalf of Client's healthcare provider customers, and shall notify Client of any unplanned downtime or suspected security incident affecting the module within one (1) hour of discovery.</w:t>
      </w:r>
    </w:p>
    <w:p/>
    <w:p>
      <w:r>
        <w:rPr>
          <w:b/>
          <w:bCs/>
        </w:rPr>
        <w:t xml:space="preserve">15. Governing Law</w:t>
      </w:r>
    </w:p>
    <w:p>
      <w:r>
        <w:t xml:space="preserve">This Agreement shall be governed by and construed in accordance with the laws of the State of Delaware, without regard to its conflict of laws principles.</w:t>
      </w:r>
    </w:p>
    <w:p/>
    <w:p>
      <w:r>
        <w:rPr>
          <w:b/>
          <w:bCs/>
        </w:rPr>
        <w:t xml:space="preserve">16. Dispute Resolution</w:t>
      </w:r>
    </w:p>
    <w:p>
      <w:r>
        <w:t xml:space="preserve">Any dispute arising out of or relating to this Agreement shall be resolved by binding arbitration administered under the rules of the American Arbitration Association, with each party bearing its own costs and attorneys' fees unless the arbitrator determines otherwise.</w:t>
      </w:r>
    </w:p>
    <w:p/>
    <w:p>
      <w:r>
        <w:rPr>
          <w:b/>
          <w:bCs/>
        </w:rPr>
        <w:t xml:space="preserve">17. Force Majeure</w:t>
      </w:r>
    </w:p>
    <w:p>
      <w:r>
        <w:t xml:space="preserve">Neither party shall be liable for any failure or delay in performance under this Agreement to the extent such failure or delay is caused by circumstances beyond its reasonable control, including acts of God, war, governmental action, or internet or utility failures, provided the affected party gives prompt notice and uses commercially reasonable efforts to resume performance.</w:t>
      </w:r>
    </w:p>
    <w:p/>
    <w:p>
      <w:r>
        <w:rPr>
          <w:b/>
          <w:bCs/>
        </w:rPr>
        <w:t xml:space="preserve">18. Assignment</w:t>
      </w:r>
    </w:p>
    <w:p>
      <w:r>
        <w:t xml:space="preserve">Neither party may assign this Agreement without the prior written consent of the other party, which consent shall not be unreasonably withheld; provided, however, that either party may assign this Agreement without consent in connection with a merger, acquisition, or sale of substantially all of its assets.</w:t>
      </w:r>
    </w:p>
    <w:p/>
    <w:p>
      <w:r>
        <w:t xml:space="preserve">SIGNATURE PAGE</w:t>
      </w:r>
    </w:p>
    <w:p>
      <w:r>
        <w:t xml:space="preserve">IN WITNESS WHEREOF, the parties have executed this Master Services Agreement as of the date first written above.</w:t>
      </w:r>
    </w:p>
    <w:p>
      <w:r>
        <w:t xml:space="preserve">SOLARA HEALTH ANALYTICS, INC.</w:t>
      </w:r>
    </w:p>
    <w:p>
      <w:r>
        <w:t xml:space="preserve">Signature: ___________________________</w:t>
      </w:r>
    </w:p>
    <w:p>
      <w:r>
        <w:t xml:space="preserve">VANTAGE CLOUDWORKS LLC</w:t>
      </w:r>
    </w:p>
    <w:p>
      <w:r>
        <w:t xml:space="preserve">Signature: 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2026-09-24T18:49:02.258Z</dcterms:created>
  <dcterms:modified xsi:type="dcterms:W3CDTF">2026-09-24T18:49:02.258Z</dcterms:modified>
</cp:coreProperties>
</file>

<file path=docProps/custom.xml><?xml version="1.0" encoding="utf-8"?>
<Properties xmlns="http://schemas.openxmlformats.org/officeDocument/2006/custom-properties" xmlns:vt="http://schemas.openxmlformats.org/officeDocument/2006/docPropsVTypes"/>
</file>