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b/>
          <w:bCs/>
          <w:color w:val="1F2937"/>
          <w:sz w:val="40"/>
          <w:szCs w:val="40"/>
        </w:rPr>
        <w:t xml:space="preserve">SOFTWARE SERVICES AGREEMENT</w:t>
      </w:r>
    </w:p>
    <w:p>
      <w:pPr>
        <w:spacing w:after="480"/>
        <w:jc w:val="center"/>
      </w:pPr>
      <w:r>
        <w:rPr>
          <w:i/>
          <w:iCs/>
          <w:color w:val="6B7280"/>
          <w:sz w:val="24"/>
          <w:szCs w:val="24"/>
        </w:rPr>
        <w:t xml:space="preserve">Enterprise License &amp; Professional Services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D9D9D9" w:val="clear"/>
            <w:tcMar>
              <w:top w:type="dxa" w:w="80"/>
              <w:left w:type="dxa" w:w="120"/>
              <w:bottom w:type="dxa" w:w="80"/>
              <w:right w:type="dxa" w:w="120"/>
            </w:tcMar>
          </w:tcPr>
          <w:p>
            <w:r>
              <w:rPr>
                <w:b/>
                <w:bCs/>
                <w:sz w:val="20"/>
                <w:szCs w:val="20"/>
              </w:rPr>
              <w:t xml:space="preserve">Agreement Date:</w:t>
            </w:r>
          </w:p>
        </w:tc>
        <w:tc>
          <w:tcPr>
            <w:tcW w:type="dxa" w:w="7000"/>
            <w:tcMar>
              <w:top w:type="dxa" w:w="80"/>
              <w:left w:type="dxa" w:w="120"/>
              <w:bottom w:type="dxa" w:w="80"/>
              <w:right w:type="dxa" w:w="120"/>
            </w:tcMar>
          </w:tcPr>
          <w:p>
            <w:r>
              <w:rPr>
                <w:sz w:val="20"/>
                <w:szCs w:val="20"/>
              </w:rPr>
              <w:t xml:space="preserve">June 25, 2026</w:t>
            </w:r>
          </w:p>
        </w:tc>
      </w:tr>
      <w:tr>
        <w:tc>
          <w:tcPr>
            <w:tcW w:type="dxa" w:w="3500"/>
            <w:shd w:fill="D9D9D9" w:val="clear"/>
            <w:tcMar>
              <w:top w:type="dxa" w:w="80"/>
              <w:left w:type="dxa" w:w="120"/>
              <w:bottom w:type="dxa" w:w="80"/>
              <w:right w:type="dxa" w:w="120"/>
            </w:tcMar>
          </w:tcPr>
          <w:p>
            <w:r>
              <w:rPr>
                <w:b/>
                <w:bCs/>
                <w:sz w:val="20"/>
                <w:szCs w:val="20"/>
              </w:rPr>
              <w:t xml:space="preserve">Effective Date:</w:t>
            </w:r>
          </w:p>
        </w:tc>
        <w:tc>
          <w:tcPr>
            <w:tcW w:type="dxa" w:w="7000"/>
            <w:tcMar>
              <w:top w:type="dxa" w:w="80"/>
              <w:left w:type="dxa" w:w="120"/>
              <w:bottom w:type="dxa" w:w="80"/>
              <w:right w:type="dxa" w:w="120"/>
            </w:tcMar>
          </w:tcPr>
          <w:p>
            <w:r>
              <w:rPr>
                <w:sz w:val="20"/>
                <w:szCs w:val="20"/>
              </w:rPr>
              <w:t xml:space="preserve">July 1, 2026</w:t>
            </w:r>
          </w:p>
        </w:tc>
      </w:tr>
      <w:tr>
        <w:tc>
          <w:tcPr>
            <w:tcW w:type="dxa" w:w="3500"/>
            <w:shd w:fill="D9D9D9" w:val="clear"/>
            <w:tcMar>
              <w:top w:type="dxa" w:w="80"/>
              <w:left w:type="dxa" w:w="120"/>
              <w:bottom w:type="dxa" w:w="80"/>
              <w:right w:type="dxa" w:w="120"/>
            </w:tcMar>
          </w:tcPr>
          <w:p>
            <w:r>
              <w:rPr>
                <w:b/>
                <w:bCs/>
                <w:sz w:val="20"/>
                <w:szCs w:val="20"/>
              </w:rPr>
              <w:t xml:space="preserve">Service Provider:</w:t>
            </w:r>
          </w:p>
        </w:tc>
        <w:tc>
          <w:tcPr>
            <w:tcW w:type="dxa" w:w="7000"/>
            <w:tcMar>
              <w:top w:type="dxa" w:w="80"/>
              <w:left w:type="dxa" w:w="120"/>
              <w:bottom w:type="dxa" w:w="80"/>
              <w:right w:type="dxa" w:w="120"/>
            </w:tcMar>
          </w:tcPr>
          <w:p>
            <w:r>
              <w:rPr>
                <w:sz w:val="20"/>
                <w:szCs w:val="20"/>
              </w:rPr>
              <w:t xml:space="preserve">Nexora Technologies Inc., a Delaware corporation
251 Market Street, Suite 800, San Francisco, CA 94105</w:t>
            </w:r>
          </w:p>
        </w:tc>
      </w:tr>
      <w:tr>
        <w:tc>
          <w:tcPr>
            <w:tcW w:type="dxa" w:w="3500"/>
            <w:shd w:fill="D9D9D9" w:val="clear"/>
            <w:tcMar>
              <w:top w:type="dxa" w:w="80"/>
              <w:left w:type="dxa" w:w="120"/>
              <w:bottom w:type="dxa" w:w="80"/>
              <w:right w:type="dxa" w:w="120"/>
            </w:tcMar>
          </w:tcPr>
          <w:p>
            <w:r>
              <w:rPr>
                <w:b/>
                <w:bCs/>
                <w:sz w:val="20"/>
                <w:szCs w:val="20"/>
              </w:rPr>
              <w:t xml:space="preserve">Client:</w:t>
            </w:r>
          </w:p>
        </w:tc>
        <w:tc>
          <w:tcPr>
            <w:tcW w:type="dxa" w:w="7000"/>
            <w:tcMar>
              <w:top w:type="dxa" w:w="80"/>
              <w:left w:type="dxa" w:w="120"/>
              <w:bottom w:type="dxa" w:w="80"/>
              <w:right w:type="dxa" w:w="120"/>
            </w:tcMar>
          </w:tcPr>
          <w:p>
            <w:r>
              <w:rPr>
                <w:sz w:val="20"/>
                <w:szCs w:val="20"/>
              </w:rPr>
              <w:t xml:space="preserve">Meridian Financial Group LLC, a New York LLC
1200 Avenue of the Americas, New York, NY 10036</w:t>
            </w:r>
          </w:p>
        </w:tc>
      </w:tr>
      <w:tr>
        <w:tc>
          <w:tcPr>
            <w:tcW w:type="dxa" w:w="3500"/>
            <w:shd w:fill="D9D9D9" w:val="clear"/>
            <w:tcMar>
              <w:top w:type="dxa" w:w="80"/>
              <w:left w:type="dxa" w:w="120"/>
              <w:bottom w:type="dxa" w:w="80"/>
              <w:right w:type="dxa" w:w="120"/>
            </w:tcMar>
          </w:tcPr>
          <w:p>
            <w:r>
              <w:rPr>
                <w:b/>
                <w:bCs/>
                <w:sz w:val="20"/>
                <w:szCs w:val="20"/>
              </w:rPr>
              <w:t xml:space="preserve">Contract Value:</w:t>
            </w:r>
          </w:p>
        </w:tc>
        <w:tc>
          <w:tcPr>
            <w:tcW w:type="dxa" w:w="7000"/>
            <w:tcMar>
              <w:top w:type="dxa" w:w="80"/>
              <w:left w:type="dxa" w:w="120"/>
              <w:bottom w:type="dxa" w:w="80"/>
              <w:right w:type="dxa" w:w="120"/>
            </w:tcMar>
          </w:tcPr>
          <w:p>
            <w:r>
              <w:rPr>
                <w:sz w:val="20"/>
                <w:szCs w:val="20"/>
              </w:rPr>
              <w:t xml:space="preserve">USD $480,000 (Annual)</w:t>
            </w:r>
          </w:p>
        </w:tc>
      </w:tr>
      <w:tr>
        <w:tc>
          <w:tcPr>
            <w:tcW w:type="dxa" w:w="3500"/>
            <w:shd w:fill="D9D9D9" w:val="clear"/>
            <w:tcMar>
              <w:top w:type="dxa" w:w="80"/>
              <w:left w:type="dxa" w:w="120"/>
              <w:bottom w:type="dxa" w:w="80"/>
              <w:right w:type="dxa" w:w="120"/>
            </w:tcMar>
          </w:tcPr>
          <w:p>
            <w:r>
              <w:rPr>
                <w:b/>
                <w:bCs/>
                <w:sz w:val="20"/>
                <w:szCs w:val="20"/>
              </w:rPr>
              <w:t xml:space="preserve">Initial Term:</w:t>
            </w:r>
          </w:p>
        </w:tc>
        <w:tc>
          <w:tcPr>
            <w:tcW w:type="dxa" w:w="7000"/>
            <w:tcMar>
              <w:top w:type="dxa" w:w="80"/>
              <w:left w:type="dxa" w:w="120"/>
              <w:bottom w:type="dxa" w:w="80"/>
              <w:right w:type="dxa" w:w="120"/>
            </w:tcMar>
          </w:tcPr>
          <w:p>
            <w:r>
              <w:rPr>
                <w:sz w:val="20"/>
                <w:szCs w:val="20"/>
              </w:rPr>
              <w:t xml:space="preserve">24 months from Effective Date</w:t>
            </w:r>
          </w:p>
        </w:tc>
      </w:tr>
      <w:tr>
        <w:tc>
          <w:tcPr>
            <w:tcW w:type="dxa" w:w="3500"/>
            <w:shd w:fill="D9D9D9" w:val="clear"/>
            <w:tcMar>
              <w:top w:type="dxa" w:w="80"/>
              <w:left w:type="dxa" w:w="120"/>
              <w:bottom w:type="dxa" w:w="80"/>
              <w:right w:type="dxa" w:w="120"/>
            </w:tcMar>
          </w:tcPr>
          <w:p>
            <w:r>
              <w:rPr>
                <w:b/>
                <w:bCs/>
                <w:sz w:val="20"/>
                <w:szCs w:val="20"/>
              </w:rPr>
              <w:t xml:space="preserve">Renewal:</w:t>
            </w:r>
          </w:p>
        </w:tc>
        <w:tc>
          <w:tcPr>
            <w:tcW w:type="dxa" w:w="7000"/>
            <w:tcMar>
              <w:top w:type="dxa" w:w="80"/>
              <w:left w:type="dxa" w:w="120"/>
              <w:bottom w:type="dxa" w:w="80"/>
              <w:right w:type="dxa" w:w="120"/>
            </w:tcMar>
          </w:tcPr>
          <w:p>
            <w:r>
              <w:rPr>
                <w:sz w:val="20"/>
                <w:szCs w:val="20"/>
              </w:rPr>
              <w:t xml:space="preserve">Auto-renews annually unless terminated with 90 days notice</w:t>
            </w:r>
          </w:p>
        </w:tc>
      </w:tr>
    </w:tbl>
    <w:p>
      <w:pPr>
        <w:spacing w:after="400"/>
      </w:pPr>
    </w:p>
    <w:p>
      <w:pPr>
        <w:pStyle w:val="Heading1"/>
        <w:spacing w:after="200" w:before="400"/>
        <w:rPr>
          <w:b/>
          <w:bCs/>
          <w:color w:val="1F2937"/>
          <w:sz w:val="28"/>
          <w:szCs w:val="28"/>
        </w:rPr>
      </w:pPr>
      <w:r>
        <w:t xml:space="preserve">1. DEFINITIONS</w:t>
      </w:r>
    </w:p>
    <w:p>
      <w:pPr>
        <w:spacing w:after="160"/>
        <w:jc w:val="both"/>
      </w:pPr>
      <w:r>
        <w:rPr>
          <w:color w:val="374151"/>
          <w:sz w:val="22"/>
          <w:szCs w:val="22"/>
        </w:rPr>
        <w:t xml:space="preserve">For the purposes of this Agreement, the following terms shall have the meanings set forth below:</w:t>
      </w:r>
    </w:p>
    <w:p>
      <w:pPr>
        <w:pStyle w:val="ListParagraph"/>
        <w:numPr>
          <w:ilvl w:val="0"/>
          <w:numId w:val="1"/>
        </w:numPr>
        <w:spacing w:after="100"/>
      </w:pPr>
      <w:r>
        <w:rPr>
          <w:color w:val="374151"/>
          <w:sz w:val="22"/>
          <w:szCs w:val="22"/>
        </w:rPr>
        <w:t xml:space="preserve">"Services" means the software-as-a-service platform, APIs, professional services, and support described in Exhibit A.</w:t>
      </w:r>
    </w:p>
    <w:p>
      <w:pPr>
        <w:pStyle w:val="ListParagraph"/>
        <w:numPr>
          <w:ilvl w:val="0"/>
          <w:numId w:val="1"/>
        </w:numPr>
        <w:spacing w:after="100"/>
      </w:pPr>
      <w:r>
        <w:rPr>
          <w:color w:val="374151"/>
          <w:sz w:val="22"/>
          <w:szCs w:val="22"/>
        </w:rPr>
        <w:t xml:space="preserve">"Confidential Information" means any non-public information disclosed by either party that is marked confidential or should reasonably be understood to be confidential.</w:t>
      </w:r>
    </w:p>
    <w:p>
      <w:pPr>
        <w:pStyle w:val="ListParagraph"/>
        <w:numPr>
          <w:ilvl w:val="0"/>
          <w:numId w:val="1"/>
        </w:numPr>
        <w:spacing w:after="100"/>
      </w:pPr>
      <w:r>
        <w:rPr>
          <w:color w:val="374151"/>
          <w:sz w:val="22"/>
          <w:szCs w:val="22"/>
        </w:rPr>
        <w:t xml:space="preserve">"Intellectual Property Rights" means all patents, copyrights, trademarks, trade secrets, and other proprietary rights.</w:t>
      </w:r>
    </w:p>
    <w:p>
      <w:pPr>
        <w:pStyle w:val="ListParagraph"/>
        <w:numPr>
          <w:ilvl w:val="0"/>
          <w:numId w:val="1"/>
        </w:numPr>
        <w:spacing w:after="100"/>
      </w:pPr>
      <w:r>
        <w:rPr>
          <w:color w:val="374151"/>
          <w:sz w:val="22"/>
          <w:szCs w:val="22"/>
        </w:rPr>
        <w:t xml:space="preserve">"Authorized Users" means employees and contractors of Client who are authorized to access the Services under this Agreement.</w:t>
      </w:r>
    </w:p>
    <w:p>
      <w:pPr>
        <w:pStyle w:val="ListParagraph"/>
        <w:numPr>
          <w:ilvl w:val="0"/>
          <w:numId w:val="1"/>
        </w:numPr>
        <w:spacing w:after="100"/>
      </w:pPr>
      <w:r>
        <w:rPr>
          <w:color w:val="374151"/>
          <w:sz w:val="22"/>
          <w:szCs w:val="22"/>
        </w:rPr>
        <w:t xml:space="preserve">"Service Level Agreement" or "SLA" means the performance standards set forth in Exhibit B.</w:t>
      </w:r>
    </w:p>
    <w:p>
      <w:pPr>
        <w:pStyle w:val="ListParagraph"/>
        <w:numPr>
          <w:ilvl w:val="0"/>
          <w:numId w:val="1"/>
        </w:numPr>
        <w:spacing w:after="100"/>
      </w:pPr>
      <w:r>
        <w:rPr>
          <w:color w:val="374151"/>
          <w:sz w:val="22"/>
          <w:szCs w:val="22"/>
        </w:rPr>
        <w:t xml:space="preserve">"Data Processing Agreement" or "DPA" means the data processing agreement attached hereto as Exhibit C.</w:t>
      </w:r>
    </w:p>
    <w:p>
      <w:pPr>
        <w:pStyle w:val="Heading1"/>
        <w:spacing w:after="200" w:before="400"/>
        <w:rPr>
          <w:b/>
          <w:bCs/>
          <w:color w:val="1F2937"/>
          <w:sz w:val="28"/>
          <w:szCs w:val="28"/>
        </w:rPr>
      </w:pPr>
      <w:r>
        <w:t xml:space="preserve">2. SERVICES &amp; DELIVERY</w:t>
      </w:r>
    </w:p>
    <w:p>
      <w:pPr>
        <w:pStyle w:val="Heading2"/>
        <w:spacing w:after="120" w:before="300"/>
        <w:rPr>
          <w:b/>
          <w:bCs/>
          <w:color w:val="1F2937"/>
          <w:sz w:val="24"/>
          <w:szCs w:val="24"/>
        </w:rPr>
      </w:pPr>
      <w:r>
        <w:t xml:space="preserve">2.1 Scope of Services</w:t>
      </w:r>
    </w:p>
    <w:p>
      <w:pPr>
        <w:spacing w:after="160"/>
        <w:jc w:val="both"/>
      </w:pPr>
      <w:r>
        <w:rPr>
          <w:color w:val="374151"/>
          <w:sz w:val="22"/>
          <w:szCs w:val="22"/>
        </w:rPr>
        <w:t xml:space="preserve">Nexora Technologies Inc. ("Provider") agrees to provide Client with access to its AI-powered contract analytics platform and related professional services as described in Exhibit A ("Statement of Work"). Provider shall deliver the Services in a professional and workmanlike manner consistent with industry standards.</w:t>
      </w:r>
    </w:p>
    <w:p>
      <w:pPr>
        <w:pStyle w:val="Heading2"/>
        <w:spacing w:after="120" w:before="300"/>
        <w:rPr>
          <w:b/>
          <w:bCs/>
          <w:color w:val="1F2937"/>
          <w:sz w:val="24"/>
          <w:szCs w:val="24"/>
        </w:rPr>
      </w:pPr>
      <w:r>
        <w:t xml:space="preserve">2.2 Professional Services</w:t>
      </w:r>
    </w:p>
    <w:p>
      <w:pPr>
        <w:spacing w:after="160"/>
        <w:jc w:val="both"/>
      </w:pPr>
      <w:r>
        <w:rPr>
          <w:color w:val="374151"/>
          <w:sz w:val="22"/>
          <w:szCs w:val="22"/>
        </w:rPr>
        <w:t xml:space="preserve">In addition to platform access, Provider shall deliver up to 200 hours of professional services per contract year, including implementation, training, and custom configuration. Additional hours may be purchased at Provider's then-current professional services rates.</w:t>
      </w:r>
    </w:p>
    <w:p>
      <w:pPr>
        <w:pStyle w:val="Heading2"/>
        <w:spacing w:after="120" w:before="300"/>
        <w:rPr>
          <w:b/>
          <w:bCs/>
          <w:color w:val="1F2937"/>
          <w:sz w:val="24"/>
          <w:szCs w:val="24"/>
        </w:rPr>
      </w:pPr>
      <w:r>
        <w:t xml:space="preserve">2.3 Implementation Timeline</w:t>
      </w:r>
    </w:p>
    <w:p>
      <w:pPr>
        <w:spacing w:after="160"/>
        <w:jc w:val="both"/>
      </w:pPr>
      <w:r>
        <w:rPr>
          <w:color w:val="374151"/>
          <w:sz w:val="22"/>
          <w:szCs w:val="22"/>
        </w:rPr>
        <w:t xml:space="preserve">Provider shall complete initial platform configuration and onboarding within forty-five (45) days of the Effective Date, subject to Client's timely provision of required information and access.</w:t>
      </w:r>
    </w:p>
    <w:p>
      <w:pPr>
        <w:pStyle w:val="Heading1"/>
        <w:spacing w:after="200" w:before="400"/>
        <w:rPr>
          <w:b/>
          <w:bCs/>
          <w:color w:val="1F2937"/>
          <w:sz w:val="28"/>
          <w:szCs w:val="28"/>
        </w:rPr>
      </w:pPr>
      <w:r>
        <w:t xml:space="preserve">3. FEES &amp; PAYMENT TERMS</w:t>
      </w:r>
    </w:p>
    <w:p>
      <w:pPr>
        <w:pStyle w:val="Heading2"/>
        <w:spacing w:after="120" w:before="300"/>
        <w:rPr>
          <w:b/>
          <w:bCs/>
          <w:color w:val="1F2937"/>
          <w:sz w:val="24"/>
          <w:szCs w:val="24"/>
        </w:rPr>
      </w:pPr>
      <w:r>
        <w:t xml:space="preserve">3.1 License Fees</w:t>
      </w:r>
    </w:p>
    <w:p>
      <w:pPr>
        <w:spacing w:after="160"/>
        <w:jc w:val="both"/>
      </w:pPr>
      <w:r>
        <w:rPr>
          <w:color w:val="374151"/>
          <w:sz w:val="22"/>
          <w:szCs w:val="22"/>
        </w:rPr>
        <w:t xml:space="preserve">Client shall pay Provider an annual platform license fee of USD $360,000, invoiced quarterly in advance at USD $90,000 per quarter. All fees are non-refundable except as expressly provided herein.</w:t>
      </w:r>
    </w:p>
    <w:p>
      <w:pPr>
        <w:pStyle w:val="Heading2"/>
        <w:spacing w:after="120" w:before="300"/>
        <w:rPr>
          <w:b/>
          <w:bCs/>
          <w:color w:val="1F2937"/>
          <w:sz w:val="24"/>
          <w:szCs w:val="24"/>
        </w:rPr>
      </w:pPr>
      <w:r>
        <w:t xml:space="preserve">3.2 Professional Services Fees</w:t>
      </w:r>
    </w:p>
    <w:p>
      <w:pPr>
        <w:spacing w:after="160"/>
        <w:jc w:val="both"/>
      </w:pPr>
      <w:r>
        <w:rPr>
          <w:color w:val="374151"/>
          <w:sz w:val="22"/>
          <w:szCs w:val="22"/>
        </w:rPr>
        <w:t xml:space="preserve">Professional services are included within the annual fee up to 200 hours per year. Overage hours shall be billed at USD $250 per hour for senior consultants and USD $175 per hour for standard consultants.</w:t>
      </w:r>
    </w:p>
    <w:p>
      <w:pPr>
        <w:pStyle w:val="Heading2"/>
        <w:spacing w:after="120" w:before="300"/>
        <w:rPr>
          <w:b/>
          <w:bCs/>
          <w:color w:val="1F2937"/>
          <w:sz w:val="24"/>
          <w:szCs w:val="24"/>
        </w:rPr>
      </w:pPr>
      <w:r>
        <w:t xml:space="preserve">3.3 Payment Terms</w:t>
      </w:r>
    </w:p>
    <w:p>
      <w:pPr>
        <w:spacing w:after="160"/>
        <w:jc w:val="both"/>
      </w:pPr>
      <w:r>
        <w:rPr>
          <w:color w:val="374151"/>
          <w:sz w:val="22"/>
          <w:szCs w:val="22"/>
        </w:rPr>
        <w:t xml:space="preserve">All invoices are due and payable within thirty (30) days of the invoice date. Late payments shall bear interest at the lesser of 1.5% per month or the maximum rate permitted by applicable law. Client shall reimburse Provider for all reasonable costs of collection, including attorneys' fees.</w:t>
      </w:r>
    </w:p>
    <w:p>
      <w:pPr>
        <w:pStyle w:val="Heading2"/>
        <w:spacing w:after="120" w:before="300"/>
        <w:rPr>
          <w:b/>
          <w:bCs/>
          <w:color w:val="1F2937"/>
          <w:sz w:val="24"/>
          <w:szCs w:val="24"/>
        </w:rPr>
      </w:pPr>
      <w:r>
        <w:t xml:space="preserve">3.4 Price Adjustments</w:t>
      </w:r>
    </w:p>
    <w:p>
      <w:pPr>
        <w:spacing w:after="160"/>
        <w:jc w:val="both"/>
      </w:pPr>
      <w:r>
        <w:rPr>
          <w:color w:val="374151"/>
          <w:sz w:val="22"/>
          <w:szCs w:val="22"/>
        </w:rPr>
        <w:t xml:space="preserve">Provider may increase fees annually upon renewal by no more than the greater of (a) five percent (5%) or (b) the increase in the Consumer Price Index for All Urban Consumers (CPI-U) for the preceding calendar year. Provider shall provide at least sixty (60) days written notice of any fee increase.</w:t>
      </w:r>
    </w:p>
    <w:p>
      <w:pPr>
        <w:pStyle w:val="Heading2"/>
        <w:spacing w:after="120" w:before="300"/>
        <w:rPr>
          <w:b/>
          <w:bCs/>
          <w:color w:val="1F2937"/>
          <w:sz w:val="24"/>
          <w:szCs w:val="24"/>
        </w:rPr>
      </w:pPr>
      <w:r>
        <w:t xml:space="preserve">3.5 Taxes</w:t>
      </w:r>
    </w:p>
    <w:p>
      <w:pPr>
        <w:spacing w:after="160"/>
        <w:jc w:val="both"/>
      </w:pPr>
      <w:r>
        <w:rPr>
          <w:color w:val="374151"/>
          <w:sz w:val="22"/>
          <w:szCs w:val="22"/>
        </w:rPr>
        <w:t xml:space="preserve">All fees are exclusive of taxes. Client is responsible for all applicable sales, use, VAT, and other taxes, excluding taxes on Provider's income.</w:t>
      </w:r>
    </w:p>
    <w:p>
      <w:pPr>
        <w:pStyle w:val="Heading1"/>
        <w:spacing w:after="200" w:before="400"/>
        <w:rPr>
          <w:b/>
          <w:bCs/>
          <w:color w:val="1F2937"/>
          <w:sz w:val="28"/>
          <w:szCs w:val="28"/>
        </w:rPr>
      </w:pPr>
      <w:r>
        <w:t xml:space="preserve">4. INTELLECTUAL PROPERTY</w:t>
      </w:r>
    </w:p>
    <w:p>
      <w:pPr>
        <w:pStyle w:val="Heading2"/>
        <w:spacing w:after="120" w:before="300"/>
        <w:rPr>
          <w:b/>
          <w:bCs/>
          <w:color w:val="1F2937"/>
          <w:sz w:val="24"/>
          <w:szCs w:val="24"/>
        </w:rPr>
      </w:pPr>
      <w:r>
        <w:t xml:space="preserve">4.1 Provider IP</w:t>
      </w:r>
    </w:p>
    <w:p>
      <w:pPr>
        <w:spacing w:after="160"/>
        <w:jc w:val="both"/>
      </w:pPr>
      <w:r>
        <w:rPr>
          <w:color w:val="374151"/>
          <w:sz w:val="22"/>
          <w:szCs w:val="22"/>
        </w:rPr>
        <w:t xml:space="preserve">Provider retains all Intellectual Property Rights in the Services, platform, software, algorithms, and any improvements or derivative works thereof. Nothing in this Agreement transfers ownership of Provider's Intellectual Property to Client.</w:t>
      </w:r>
    </w:p>
    <w:p>
      <w:pPr>
        <w:pStyle w:val="Heading2"/>
        <w:spacing w:after="120" w:before="300"/>
        <w:rPr>
          <w:b/>
          <w:bCs/>
          <w:color w:val="1F2937"/>
          <w:sz w:val="24"/>
          <w:szCs w:val="24"/>
        </w:rPr>
      </w:pPr>
      <w:r>
        <w:t xml:space="preserve">4.2 Client Data</w:t>
      </w:r>
    </w:p>
    <w:p>
      <w:pPr>
        <w:spacing w:after="160"/>
        <w:jc w:val="both"/>
      </w:pPr>
      <w:r>
        <w:rPr>
          <w:color w:val="374151"/>
          <w:sz w:val="22"/>
          <w:szCs w:val="22"/>
        </w:rPr>
        <w:t xml:space="preserve">Client retains all rights to Client Data uploaded to the platform. Client grants Provider a limited license to process Client Data solely for the purpose of providing the Services. Provider shall not use Client Data to train general AI models without Client's express written consent.</w:t>
      </w:r>
    </w:p>
    <w:p>
      <w:pPr>
        <w:pStyle w:val="Heading2"/>
        <w:spacing w:after="120" w:before="300"/>
        <w:rPr>
          <w:b/>
          <w:bCs/>
          <w:color w:val="1F2937"/>
          <w:sz w:val="24"/>
          <w:szCs w:val="24"/>
        </w:rPr>
      </w:pPr>
      <w:r>
        <w:t xml:space="preserve">4.3 Feedback</w:t>
      </w:r>
    </w:p>
    <w:p>
      <w:pPr>
        <w:spacing w:after="160"/>
        <w:jc w:val="both"/>
      </w:pPr>
      <w:r>
        <w:rPr>
          <w:color w:val="374151"/>
          <w:sz w:val="22"/>
          <w:szCs w:val="22"/>
        </w:rPr>
        <w:t xml:space="preserve">If Client provides feedback or suggestions regarding the Services, Provider may use such feedback without restriction or compensation to Client.</w:t>
      </w:r>
    </w:p>
    <w:p>
      <w:pPr>
        <w:pStyle w:val="Heading2"/>
        <w:spacing w:after="120" w:before="300"/>
        <w:rPr>
          <w:b/>
          <w:bCs/>
          <w:color w:val="1F2937"/>
          <w:sz w:val="24"/>
          <w:szCs w:val="24"/>
        </w:rPr>
      </w:pPr>
      <w:r>
        <w:t xml:space="preserve">4.4 Work Product</w:t>
      </w:r>
    </w:p>
    <w:p>
      <w:pPr>
        <w:spacing w:after="160"/>
        <w:jc w:val="both"/>
      </w:pPr>
      <w:r>
        <w:rPr>
          <w:color w:val="374151"/>
          <w:sz w:val="22"/>
          <w:szCs w:val="22"/>
        </w:rPr>
        <w:t xml:space="preserve">Any custom deliverables created specifically for Client under a Statement of Work and fully paid for by Client shall be considered work-for-hire and shall be owned by Client, excluding any pre-existing Provider IP incorporated therein.</w:t>
      </w:r>
    </w:p>
    <w:p>
      <w:pPr>
        <w:pStyle w:val="Heading1"/>
        <w:spacing w:after="200" w:before="400"/>
        <w:rPr>
          <w:b/>
          <w:bCs/>
          <w:color w:val="1F2937"/>
          <w:sz w:val="28"/>
          <w:szCs w:val="28"/>
        </w:rPr>
      </w:pPr>
      <w:r>
        <w:t xml:space="preserve">5. CONFIDENTIALITY</w:t>
      </w:r>
    </w:p>
    <w:p>
      <w:pPr>
        <w:spacing w:after="160"/>
        <w:jc w:val="both"/>
      </w:pPr>
      <w:r>
        <w:rPr>
          <w:color w:val="374151"/>
          <w:sz w:val="22"/>
          <w:szCs w:val="22"/>
        </w:rPr>
        <w:t xml:space="preserve">Each party agrees to: (a) keep the other party's Confidential Information strictly confidential; (b) not disclose Confidential Information to third parties without prior written consent; (c) use Confidential Information solely for the purposes of this Agreement; and (d) protect Confidential Information with at least the same degree of care used for its own confidential information, but no less than reasonable care.</w:t>
      </w:r>
    </w:p>
    <w:p>
      <w:pPr>
        <w:spacing w:after="160"/>
        <w:jc w:val="both"/>
      </w:pPr>
      <w:r>
        <w:rPr>
          <w:color w:val="374151"/>
          <w:sz w:val="22"/>
          <w:szCs w:val="22"/>
        </w:rPr>
        <w:t xml:space="preserve">These obligations shall survive termination of this Agreement for a period of five (5) years. Exceptions apply to information that is (i) publicly known through no fault of the receiving party, (ii) independently developed without use of Confidential Information, or (iii) required to be disclosed by law or court order, provided the disclosing party is given reasonable advance notice.</w:t>
      </w:r>
    </w:p>
    <w:p>
      <w:pPr>
        <w:pStyle w:val="Heading1"/>
        <w:spacing w:after="200" w:before="400"/>
        <w:rPr>
          <w:b/>
          <w:bCs/>
          <w:color w:val="1F2937"/>
          <w:sz w:val="28"/>
          <w:szCs w:val="28"/>
        </w:rPr>
      </w:pPr>
      <w:r>
        <w:t xml:space="preserve">6. DATA PROTECTION &amp; SECURITY</w:t>
      </w:r>
    </w:p>
    <w:p>
      <w:pPr>
        <w:pStyle w:val="Heading2"/>
        <w:spacing w:after="120" w:before="300"/>
        <w:rPr>
          <w:b/>
          <w:bCs/>
          <w:color w:val="1F2937"/>
          <w:sz w:val="24"/>
          <w:szCs w:val="24"/>
        </w:rPr>
      </w:pPr>
      <w:r>
        <w:t xml:space="preserve">6.1 Data Processing</w:t>
      </w:r>
    </w:p>
    <w:p>
      <w:pPr>
        <w:spacing w:after="160"/>
        <w:jc w:val="both"/>
      </w:pPr>
      <w:r>
        <w:rPr>
          <w:color w:val="374151"/>
          <w:sz w:val="22"/>
          <w:szCs w:val="22"/>
        </w:rPr>
        <w:t xml:space="preserve">Provider shall process Client Data in accordance with the Data Processing Agreement attached as Exhibit C and applicable data protection laws, including GDPR and CCPA where applicable.</w:t>
      </w:r>
    </w:p>
    <w:p>
      <w:pPr>
        <w:pStyle w:val="Heading2"/>
        <w:spacing w:after="120" w:before="300"/>
        <w:rPr>
          <w:b/>
          <w:bCs/>
          <w:color w:val="1F2937"/>
          <w:sz w:val="24"/>
          <w:szCs w:val="24"/>
        </w:rPr>
      </w:pPr>
      <w:r>
        <w:t xml:space="preserve">6.2 Security Standards</w:t>
      </w:r>
    </w:p>
    <w:p>
      <w:pPr>
        <w:spacing w:after="160"/>
        <w:jc w:val="both"/>
      </w:pPr>
      <w:r>
        <w:rPr>
          <w:color w:val="374151"/>
          <w:sz w:val="22"/>
          <w:szCs w:val="22"/>
        </w:rPr>
        <w:t xml:space="preserve">Provider maintains SOC 2 Type II certification and shall implement and maintain appropriate technical and organizational security measures, including: AES-256 encryption at rest, TLS 1.3 in transit, annual penetration testing, and multi-factor authentication for administrative access.</w:t>
      </w:r>
    </w:p>
    <w:p>
      <w:pPr>
        <w:pStyle w:val="Heading2"/>
        <w:spacing w:after="120" w:before="300"/>
        <w:rPr>
          <w:b/>
          <w:bCs/>
          <w:color w:val="1F2937"/>
          <w:sz w:val="24"/>
          <w:szCs w:val="24"/>
        </w:rPr>
      </w:pPr>
      <w:r>
        <w:t xml:space="preserve">6.3 Data Breach Notification</w:t>
      </w:r>
    </w:p>
    <w:p>
      <w:pPr>
        <w:spacing w:after="160"/>
        <w:jc w:val="both"/>
      </w:pPr>
      <w:r>
        <w:rPr>
          <w:color w:val="374151"/>
          <w:sz w:val="22"/>
          <w:szCs w:val="22"/>
        </w:rPr>
        <w:t xml:space="preserve">In the event of a confirmed security breach affecting Client Data, Provider shall notify Client within seventy-two (72) hours of discovery, consistent with applicable legal requirements.</w:t>
      </w:r>
    </w:p>
    <w:p>
      <w:pPr>
        <w:pStyle w:val="Heading2"/>
        <w:spacing w:after="120" w:before="300"/>
        <w:rPr>
          <w:b/>
          <w:bCs/>
          <w:color w:val="1F2937"/>
          <w:sz w:val="24"/>
          <w:szCs w:val="24"/>
        </w:rPr>
      </w:pPr>
      <w:r>
        <w:t xml:space="preserve">6.4 Data Retention &amp; Deletion</w:t>
      </w:r>
    </w:p>
    <w:p>
      <w:pPr>
        <w:spacing w:after="160"/>
        <w:jc w:val="both"/>
      </w:pPr>
      <w:r>
        <w:rPr>
          <w:color w:val="374151"/>
          <w:sz w:val="22"/>
          <w:szCs w:val="22"/>
        </w:rPr>
        <w:t xml:space="preserve">Upon termination of this Agreement, Provider shall, at Client's election, return or securely delete all Client Data within thirty (30) days, and provide written certification of such deletion.</w:t>
      </w:r>
    </w:p>
    <w:p>
      <w:pPr>
        <w:pStyle w:val="Heading1"/>
        <w:spacing w:after="200" w:before="400"/>
        <w:rPr>
          <w:b/>
          <w:bCs/>
          <w:color w:val="1F2937"/>
          <w:sz w:val="28"/>
          <w:szCs w:val="28"/>
        </w:rPr>
      </w:pPr>
      <w:r>
        <w:t xml:space="preserve">7. SERVICE LEVELS &amp; SUPPORT</w:t>
      </w:r>
    </w:p>
    <w:p>
      <w:pPr>
        <w:pStyle w:val="Heading2"/>
        <w:spacing w:after="120" w:before="300"/>
        <w:rPr>
          <w:b/>
          <w:bCs/>
          <w:color w:val="1F2937"/>
          <w:sz w:val="24"/>
          <w:szCs w:val="24"/>
        </w:rPr>
      </w:pPr>
      <w:r>
        <w:t xml:space="preserve">7.1 Uptime Commitment</w:t>
      </w:r>
    </w:p>
    <w:p>
      <w:pPr>
        <w:spacing w:after="160"/>
        <w:jc w:val="both"/>
      </w:pPr>
      <w:r>
        <w:rPr>
          <w:color w:val="374151"/>
          <w:sz w:val="22"/>
          <w:szCs w:val="22"/>
        </w:rPr>
        <w:t xml:space="preserve">Provider guarantees 99.9% platform availability measured monthly, excluding scheduled maintenance windows. Scheduled maintenance shall not exceed four (4) hours per month and shall occur between 2:00 AM and 6:00 AM Pacific Time on weekends.</w:t>
      </w:r>
    </w:p>
    <w:p>
      <w:pPr>
        <w:pStyle w:val="Heading2"/>
        <w:spacing w:after="120" w:before="300"/>
        <w:rPr>
          <w:b/>
          <w:bCs/>
          <w:color w:val="1F2937"/>
          <w:sz w:val="24"/>
          <w:szCs w:val="24"/>
        </w:rPr>
      </w:pPr>
      <w:r>
        <w:t xml:space="preserve">7.2 SLA Credits</w:t>
      </w:r>
    </w:p>
    <w:p>
      <w:pPr>
        <w:spacing w:after="160"/>
        <w:jc w:val="both"/>
      </w:pPr>
      <w:r>
        <w:rPr>
          <w:color w:val="374151"/>
          <w:sz w:val="22"/>
          <w:szCs w:val="22"/>
        </w:rPr>
        <w:t xml:space="preserve">In the event of downtime exceeding the SLA commitment, Client shall receive service credits as follows: 99.0%–99.9% availability: 10% monthly fee credit; 95.0%–98.9% availability: 25% monthly fee credit; below 95.0% availability: 50% monthly fee credit. Credits are Client's sole remedy for SLA failures.</w:t>
      </w:r>
    </w:p>
    <w:p>
      <w:pPr>
        <w:pStyle w:val="Heading2"/>
        <w:spacing w:after="120" w:before="300"/>
        <w:rPr>
          <w:b/>
          <w:bCs/>
          <w:color w:val="1F2937"/>
          <w:sz w:val="24"/>
          <w:szCs w:val="24"/>
        </w:rPr>
      </w:pPr>
      <w:r>
        <w:t xml:space="preserve">7.3 Support Tiers</w:t>
      </w:r>
    </w:p>
    <w:p>
      <w:pPr>
        <w:spacing w:after="160"/>
        <w:jc w:val="both"/>
      </w:pPr>
      <w:r>
        <w:rPr>
          <w:color w:val="374151"/>
          <w:sz w:val="22"/>
          <w:szCs w:val="22"/>
        </w:rPr>
        <w:t xml:space="preserve">Client shall receive Priority Support including: (a) 24/7 emergency support for critical issues via dedicated phone line; (b) 4-hour response SLA for high-severity issues during business hours; (c) 1 business day response for standard issues; and (d) dedicated Customer Success Manager.</w:t>
      </w:r>
    </w:p>
    <w:p>
      <w:pPr>
        <w:pStyle w:val="Heading1"/>
        <w:spacing w:after="200" w:before="400"/>
        <w:rPr>
          <w:b/>
          <w:bCs/>
          <w:color w:val="1F2937"/>
          <w:sz w:val="28"/>
          <w:szCs w:val="28"/>
        </w:rPr>
      </w:pPr>
      <w:r>
        <w:t xml:space="preserve">8. REPRESENTATIONS &amp; WARRANTIES</w:t>
      </w:r>
    </w:p>
    <w:p>
      <w:pPr>
        <w:pStyle w:val="Heading2"/>
        <w:spacing w:after="120" w:before="300"/>
        <w:rPr>
          <w:b/>
          <w:bCs/>
          <w:color w:val="1F2937"/>
          <w:sz w:val="24"/>
          <w:szCs w:val="24"/>
        </w:rPr>
      </w:pPr>
      <w:r>
        <w:t xml:space="preserve">8.1 Provider Warranties</w:t>
      </w:r>
    </w:p>
    <w:p>
      <w:pPr>
        <w:spacing w:after="160"/>
        <w:jc w:val="both"/>
      </w:pPr>
      <w:r>
        <w:rPr>
          <w:color w:val="374151"/>
          <w:sz w:val="22"/>
          <w:szCs w:val="22"/>
        </w:rPr>
        <w:t xml:space="preserve">Provider represents and warrants that: (a) it has the right to enter into this Agreement and provide the Services; (b) the Services will perform materially in accordance with the Documentation; (c) Provider will comply with all applicable laws in providing the Services; and (d) the Services, as provided by Provider, will not infringe any third-party intellectual property rights.</w:t>
      </w:r>
    </w:p>
    <w:p>
      <w:pPr>
        <w:pStyle w:val="Heading2"/>
        <w:spacing w:after="120" w:before="300"/>
        <w:rPr>
          <w:b/>
          <w:bCs/>
          <w:color w:val="1F2937"/>
          <w:sz w:val="24"/>
          <w:szCs w:val="24"/>
        </w:rPr>
      </w:pPr>
      <w:r>
        <w:t xml:space="preserve">8.2 Client Warranties</w:t>
      </w:r>
    </w:p>
    <w:p>
      <w:pPr>
        <w:spacing w:after="160"/>
        <w:jc w:val="both"/>
      </w:pPr>
      <w:r>
        <w:rPr>
          <w:color w:val="374151"/>
          <w:sz w:val="22"/>
          <w:szCs w:val="22"/>
        </w:rPr>
        <w:t xml:space="preserve">Client represents and warrants that: (a) it has the right to enter into this Agreement; (b) Client Data does not violate any applicable law or third-party rights; and (c) Client will use the Services only for lawful purposes.</w:t>
      </w:r>
    </w:p>
    <w:p>
      <w:pPr>
        <w:pStyle w:val="Heading2"/>
        <w:spacing w:after="120" w:before="300"/>
        <w:rPr>
          <w:b/>
          <w:bCs/>
          <w:color w:val="1F2937"/>
          <w:sz w:val="24"/>
          <w:szCs w:val="24"/>
        </w:rPr>
      </w:pPr>
      <w:r>
        <w:t xml:space="preserve">8.3 Disclaimer</w:t>
      </w:r>
    </w:p>
    <w:p>
      <w:pPr>
        <w:spacing w:after="160"/>
        <w:jc w:val="both"/>
      </w:pPr>
      <w:r>
        <w:rPr>
          <w:color w:val="374151"/>
          <w:sz w:val="22"/>
          <w:szCs w:val="22"/>
        </w:rPr>
        <w:t xml:space="preserve">EXCEPT AS EXPRESSLY SET FORTH HEREIN, THE SERVICES ARE PROVIDED "AS IS." PROVIDER DISCLAIMS ALL IMPLIED WARRANTIES, INCLUDING WARRANTIES OF MERCHANTABILITY, FITNESS FOR A PARTICULAR PURPOSE, AND NON-INFRINGEMENT.</w:t>
      </w:r>
    </w:p>
    <w:p>
      <w:pPr>
        <w:pStyle w:val="Heading1"/>
        <w:spacing w:after="200" w:before="400"/>
        <w:rPr>
          <w:b/>
          <w:bCs/>
          <w:color w:val="1F2937"/>
          <w:sz w:val="28"/>
          <w:szCs w:val="28"/>
        </w:rPr>
      </w:pPr>
      <w:r>
        <w:t xml:space="preserve">9. LIMITATION OF LIABILITY</w:t>
      </w:r>
    </w:p>
    <w:p>
      <w:pPr>
        <w:spacing w:after="160"/>
        <w:jc w:val="both"/>
      </w:pPr>
      <w:r>
        <w:rPr>
          <w:color w:val="374151"/>
          <w:sz w:val="22"/>
          <w:szCs w:val="22"/>
        </w:rPr>
        <w:t xml:space="preserve">NEITHER PARTY SHALL BE LIABLE FOR INDIRECT, INCIDENTAL, SPECIAL, CONSEQUENTIAL, OR PUNITIVE DAMAGES ARISING OUT OF OR RELATED TO THIS AGREEMENT, EVEN IF ADVISED OF THE POSSIBILITY THEREOF.</w:t>
      </w:r>
    </w:p>
    <w:p>
      <w:pPr>
        <w:spacing w:after="160"/>
        <w:jc w:val="both"/>
      </w:pPr>
      <w:r>
        <w:rPr>
          <w:color w:val="374151"/>
          <w:sz w:val="22"/>
          <w:szCs w:val="22"/>
        </w:rPr>
        <w:t xml:space="preserve">PROVIDER'S TOTAL CUMULATIVE LIABILITY ARISING OUT OF OR RELATED TO THIS AGREEMENT SHALL NOT EXCEED THE FEES PAID BY CLIENT IN THE TWELVE (12) MONTHS PRECEDING THE CLAIM. THIS LIMITATION SHALL NOT APPLY TO: (A) EITHER PARTY'S INDEMNIFICATION OBLIGATIONS; (B) PROVIDER'S BREACH OF CONFIDENTIALITY; OR (C) CLIENT'S PAYMENT OBLIGATIONS.</w:t>
      </w:r>
    </w:p>
    <w:p>
      <w:pPr>
        <w:pStyle w:val="Heading1"/>
        <w:spacing w:after="200" w:before="400"/>
        <w:rPr>
          <w:b/>
          <w:bCs/>
          <w:color w:val="1F2937"/>
          <w:sz w:val="28"/>
          <w:szCs w:val="28"/>
        </w:rPr>
      </w:pPr>
      <w:r>
        <w:t xml:space="preserve">10. INDEMNIFICATION</w:t>
      </w:r>
    </w:p>
    <w:p>
      <w:pPr>
        <w:pStyle w:val="Heading2"/>
        <w:spacing w:after="120" w:before="300"/>
        <w:rPr>
          <w:b/>
          <w:bCs/>
          <w:color w:val="1F2937"/>
          <w:sz w:val="24"/>
          <w:szCs w:val="24"/>
        </w:rPr>
      </w:pPr>
      <w:r>
        <w:t xml:space="preserve">10.1 Provider Indemnification</w:t>
      </w:r>
    </w:p>
    <w:p>
      <w:pPr>
        <w:spacing w:after="160"/>
        <w:jc w:val="both"/>
      </w:pPr>
      <w:r>
        <w:rPr>
          <w:color w:val="374151"/>
          <w:sz w:val="22"/>
          <w:szCs w:val="22"/>
        </w:rPr>
        <w:t xml:space="preserve">Provider shall defend, indemnify, and hold harmless Client from claims by third parties alleging that the Services infringe any patent, copyright, trademark, or trade secret, provided that Client: (a) promptly notifies Provider of the claim; (b) gives Provider sole control of the defense; and (c) reasonably cooperates with Provider.</w:t>
      </w:r>
    </w:p>
    <w:p>
      <w:pPr>
        <w:pStyle w:val="Heading2"/>
        <w:spacing w:after="120" w:before="300"/>
        <w:rPr>
          <w:b/>
          <w:bCs/>
          <w:color w:val="1F2937"/>
          <w:sz w:val="24"/>
          <w:szCs w:val="24"/>
        </w:rPr>
      </w:pPr>
      <w:r>
        <w:t xml:space="preserve">10.2 Client Indemnification</w:t>
      </w:r>
    </w:p>
    <w:p>
      <w:pPr>
        <w:spacing w:after="160"/>
        <w:jc w:val="both"/>
      </w:pPr>
      <w:r>
        <w:rPr>
          <w:color w:val="374151"/>
          <w:sz w:val="22"/>
          <w:szCs w:val="22"/>
        </w:rPr>
        <w:t xml:space="preserve">Client shall defend, indemnify, and hold harmless Provider from claims arising out of: (a) Client's use of the Services in violation of this Agreement; (b) Client Data; or (c) Client's breach of applicable law.</w:t>
      </w:r>
    </w:p>
    <w:p>
      <w:pPr>
        <w:pStyle w:val="Heading1"/>
        <w:spacing w:after="200" w:before="400"/>
        <w:rPr>
          <w:b/>
          <w:bCs/>
          <w:color w:val="1F2937"/>
          <w:sz w:val="28"/>
          <w:szCs w:val="28"/>
        </w:rPr>
      </w:pPr>
      <w:r>
        <w:t xml:space="preserve">11. TERM &amp; TERMINATION</w:t>
      </w:r>
    </w:p>
    <w:p>
      <w:pPr>
        <w:pStyle w:val="Heading2"/>
        <w:spacing w:after="120" w:before="300"/>
        <w:rPr>
          <w:b/>
          <w:bCs/>
          <w:color w:val="1F2937"/>
          <w:sz w:val="24"/>
          <w:szCs w:val="24"/>
        </w:rPr>
      </w:pPr>
      <w:r>
        <w:t xml:space="preserve">11.1 Term</w:t>
      </w:r>
    </w:p>
    <w:p>
      <w:pPr>
        <w:spacing w:after="160"/>
        <w:jc w:val="both"/>
      </w:pPr>
      <w:r>
        <w:rPr>
          <w:color w:val="374151"/>
          <w:sz w:val="22"/>
          <w:szCs w:val="22"/>
        </w:rPr>
        <w:t xml:space="preserve">This Agreement commences on the Effective Date and continues for an initial term of twenty-four (24) months, automatically renewing for successive one-year periods unless either party provides written notice of non-renewal at least ninety (90) days prior to the end of the then-current term.</w:t>
      </w:r>
    </w:p>
    <w:p>
      <w:pPr>
        <w:pStyle w:val="Heading2"/>
        <w:spacing w:after="120" w:before="300"/>
        <w:rPr>
          <w:b/>
          <w:bCs/>
          <w:color w:val="1F2937"/>
          <w:sz w:val="24"/>
          <w:szCs w:val="24"/>
        </w:rPr>
      </w:pPr>
      <w:r>
        <w:t xml:space="preserve">11.2 Termination for Cause</w:t>
      </w:r>
    </w:p>
    <w:p>
      <w:pPr>
        <w:spacing w:after="160"/>
        <w:jc w:val="both"/>
      </w:pPr>
      <w:r>
        <w:rPr>
          <w:color w:val="374151"/>
          <w:sz w:val="22"/>
          <w:szCs w:val="22"/>
        </w:rPr>
        <w:t xml:space="preserve">Either party may terminate this Agreement for material breach if the breaching party fails to cure such breach within thirty (30) days of written notice. Provider may terminate immediately if Client fails to make payment when due and does not cure such failure within fifteen (15) days of notice.</w:t>
      </w:r>
    </w:p>
    <w:p>
      <w:pPr>
        <w:pStyle w:val="Heading2"/>
        <w:spacing w:after="120" w:before="300"/>
        <w:rPr>
          <w:b/>
          <w:bCs/>
          <w:color w:val="1F2937"/>
          <w:sz w:val="24"/>
          <w:szCs w:val="24"/>
        </w:rPr>
      </w:pPr>
      <w:r>
        <w:t xml:space="preserve">11.3 Effect of Termination</w:t>
      </w:r>
    </w:p>
    <w:p>
      <w:pPr>
        <w:spacing w:after="160"/>
        <w:jc w:val="both"/>
      </w:pPr>
      <w:r>
        <w:rPr>
          <w:color w:val="374151"/>
          <w:sz w:val="22"/>
          <w:szCs w:val="22"/>
        </w:rPr>
        <w:t xml:space="preserve">Upon termination: (a) all licenses granted hereunder shall immediately terminate; (b) Client shall cease all use of the Services; (c) each party shall return or destroy the other's Confidential Information; and (d) Provider shall provide Client with its Data within thirty (30) days.</w:t>
      </w:r>
    </w:p>
    <w:p>
      <w:pPr>
        <w:pStyle w:val="Heading2"/>
        <w:spacing w:after="120" w:before="300"/>
        <w:rPr>
          <w:b/>
          <w:bCs/>
          <w:color w:val="1F2937"/>
          <w:sz w:val="24"/>
          <w:szCs w:val="24"/>
        </w:rPr>
      </w:pPr>
      <w:r>
        <w:t xml:space="preserve">11.4 Survival</w:t>
      </w:r>
    </w:p>
    <w:p>
      <w:pPr>
        <w:spacing w:after="160"/>
        <w:jc w:val="both"/>
      </w:pPr>
      <w:r>
        <w:rPr>
          <w:color w:val="374151"/>
          <w:sz w:val="22"/>
          <w:szCs w:val="22"/>
        </w:rPr>
        <w:t xml:space="preserve">Sections 4, 5, 8.3, 9, 10, 11.3, 11.4, and 12 shall survive termination of this Agreement.</w:t>
      </w:r>
    </w:p>
    <w:p>
      <w:pPr>
        <w:pStyle w:val="Heading1"/>
        <w:spacing w:after="200" w:before="400"/>
        <w:rPr>
          <w:b/>
          <w:bCs/>
          <w:color w:val="1F2937"/>
          <w:sz w:val="28"/>
          <w:szCs w:val="28"/>
        </w:rPr>
      </w:pPr>
      <w:r>
        <w:t xml:space="preserve">12. GENERAL PROVISIONS</w:t>
      </w:r>
    </w:p>
    <w:p>
      <w:pPr>
        <w:pStyle w:val="Heading2"/>
        <w:spacing w:after="120" w:before="300"/>
        <w:rPr>
          <w:b/>
          <w:bCs/>
          <w:color w:val="1F2937"/>
          <w:sz w:val="24"/>
          <w:szCs w:val="24"/>
        </w:rPr>
      </w:pPr>
      <w:r>
        <w:t xml:space="preserve">12.1 Governing Law &amp; Dispute Resolution</w:t>
      </w:r>
    </w:p>
    <w:p>
      <w:pPr>
        <w:spacing w:after="160"/>
        <w:jc w:val="both"/>
      </w:pPr>
      <w:r>
        <w:rPr>
          <w:color w:val="374151"/>
          <w:sz w:val="22"/>
          <w:szCs w:val="22"/>
        </w:rPr>
        <w:t xml:space="preserve">This Agreement shall be governed by the laws of the State of Delaware, without regard to conflict of law principles. Any disputes shall first be submitted to non-binding mediation. If mediation fails, disputes shall be resolved by binding arbitration under AAA Commercial Arbitration Rules in San Francisco, California.</w:t>
      </w:r>
    </w:p>
    <w:p>
      <w:pPr>
        <w:pStyle w:val="Heading2"/>
        <w:spacing w:after="120" w:before="300"/>
        <w:rPr>
          <w:b/>
          <w:bCs/>
          <w:color w:val="1F2937"/>
          <w:sz w:val="24"/>
          <w:szCs w:val="24"/>
        </w:rPr>
      </w:pPr>
      <w:r>
        <w:t xml:space="preserve">12.2 Force Majeure</w:t>
      </w:r>
    </w:p>
    <w:p>
      <w:pPr>
        <w:spacing w:after="160"/>
        <w:jc w:val="both"/>
      </w:pPr>
      <w:r>
        <w:rPr>
          <w:color w:val="374151"/>
          <w:sz w:val="22"/>
          <w:szCs w:val="22"/>
        </w:rPr>
        <w:t xml:space="preserve">Neither party shall be liable for delays or failures in performance resulting from causes beyond its reasonable control, including natural disasters, acts of government, pandemic, or internet infrastructure failures, provided the affected party provides prompt written notice and uses commercially reasonable efforts to mitigate.</w:t>
      </w:r>
    </w:p>
    <w:p>
      <w:pPr>
        <w:pStyle w:val="Heading2"/>
        <w:spacing w:after="120" w:before="300"/>
        <w:rPr>
          <w:b/>
          <w:bCs/>
          <w:color w:val="1F2937"/>
          <w:sz w:val="24"/>
          <w:szCs w:val="24"/>
        </w:rPr>
      </w:pPr>
      <w:r>
        <w:t xml:space="preserve">12.3 Assignment</w:t>
      </w:r>
    </w:p>
    <w:p>
      <w:pPr>
        <w:spacing w:after="160"/>
        <w:jc w:val="both"/>
      </w:pPr>
      <w:r>
        <w:rPr>
          <w:color w:val="374151"/>
          <w:sz w:val="22"/>
          <w:szCs w:val="22"/>
        </w:rPr>
        <w:t xml:space="preserve">Neither party may assign this Agreement without the other's prior written consent, except that either party may assign this Agreement in connection with a merger, acquisition, or sale of all or substantially all of its assets, provided the assignee agrees in writing to be bound by the terms hereof.</w:t>
      </w:r>
    </w:p>
    <w:p>
      <w:pPr>
        <w:pStyle w:val="Heading2"/>
        <w:spacing w:after="120" w:before="300"/>
        <w:rPr>
          <w:b/>
          <w:bCs/>
          <w:color w:val="1F2937"/>
          <w:sz w:val="24"/>
          <w:szCs w:val="24"/>
        </w:rPr>
      </w:pPr>
      <w:r>
        <w:t xml:space="preserve">12.4 Entire Agreement</w:t>
      </w:r>
    </w:p>
    <w:p>
      <w:pPr>
        <w:spacing w:after="160"/>
        <w:jc w:val="both"/>
      </w:pPr>
      <w:r>
        <w:rPr>
          <w:color w:val="374151"/>
          <w:sz w:val="22"/>
          <w:szCs w:val="22"/>
        </w:rPr>
        <w:t xml:space="preserve">This Agreement, together with all Exhibits, constitutes the entire agreement between the parties regarding its subject matter and supersedes all prior negotiations, representations, and agreements. This Agreement may be amended only by written instrument signed by authorized representatives of both parties.</w:t>
      </w:r>
    </w:p>
    <w:p>
      <w:pPr>
        <w:pStyle w:val="Heading2"/>
        <w:spacing w:after="120" w:before="300"/>
        <w:rPr>
          <w:b/>
          <w:bCs/>
          <w:color w:val="1F2937"/>
          <w:sz w:val="24"/>
          <w:szCs w:val="24"/>
        </w:rPr>
      </w:pPr>
      <w:r>
        <w:t xml:space="preserve">12.5 Notices</w:t>
      </w:r>
    </w:p>
    <w:p>
      <w:pPr>
        <w:spacing w:after="160"/>
        <w:jc w:val="both"/>
      </w:pPr>
      <w:r>
        <w:rPr>
          <w:color w:val="374151"/>
          <w:sz w:val="22"/>
          <w:szCs w:val="22"/>
        </w:rPr>
        <w:t xml:space="preserve">All notices under this Agreement shall be in writing and delivered by email with confirmation, overnight courier, or certified mail to the addresses set forth in the preamble, or such other address as a party may designate by notice.</w:t>
      </w:r>
    </w:p>
    <w:p>
      <w:r>
        <w:br w:type="page"/>
      </w:r>
    </w:p>
    <w:p>
      <w:pPr>
        <w:spacing w:after="400" w:before="200"/>
        <w:jc w:val="center"/>
      </w:pPr>
      <w:r>
        <w:rPr>
          <w:b/>
          <w:bCs/>
          <w:color w:val="1F2937"/>
          <w:sz w:val="28"/>
          <w:szCs w:val="28"/>
        </w:rPr>
        <w:t xml:space="preserve">SIGNATURE PAGE</w:t>
      </w:r>
    </w:p>
    <w:p>
      <w:pPr>
        <w:spacing w:after="160"/>
        <w:jc w:val="both"/>
      </w:pPr>
      <w:r>
        <w:rPr>
          <w:color w:val="374151"/>
          <w:sz w:val="22"/>
          <w:szCs w:val="22"/>
        </w:rPr>
        <w:t xml:space="preserve">IN WITNESS WHEREOF, the parties have executed this Software Services Agreement as of the date first written above.</w:t>
      </w:r>
    </w:p>
    <w:p>
      <w:pPr>
        <w:spacing w:after="2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100"/>
            <w:tcBorders>
              <w:top w:val="none"/>
              <w:left w:val="none"/>
              <w:bottom w:val="none"/>
              <w:right w:val="none"/>
            </w:tcBorders>
            <w:tcMar>
              <w:top w:type="dxa" w:w="200"/>
              <w:left w:type="dxa" w:w="200"/>
              <w:bottom w:type="dxa" w:w="200"/>
              <w:right w:type="dxa" w:w="200"/>
            </w:tcMar>
          </w:tcPr>
          <w:p>
            <w:pPr>
              <w:spacing w:after="300"/>
            </w:pPr>
            <w:r>
              <w:rPr>
                <w:b/>
                <w:bCs/>
                <w:sz w:val="22"/>
                <w:szCs w:val="22"/>
              </w:rPr>
              <w:t xml:space="preserve">NEXORA TECHNOLOGIES INC.</w:t>
            </w:r>
          </w:p>
          <w:p>
            <w:pPr>
              <w:spacing w:after="200"/>
            </w:pPr>
            <w:r>
              <w:rPr>
                <w:sz w:val="22"/>
                <w:szCs w:val="22"/>
              </w:rPr>
              <w:t xml:space="preserve">Signature: ___________________________</w:t>
            </w:r>
          </w:p>
          <w:p>
            <w:pPr>
              <w:spacing w:after="200"/>
            </w:pPr>
            <w:r>
              <w:rPr>
                <w:sz w:val="22"/>
                <w:szCs w:val="22"/>
              </w:rPr>
              <w:t xml:space="preserve">Name:      ___________________________</w:t>
            </w:r>
          </w:p>
          <w:p>
            <w:pPr>
              <w:spacing w:after="200"/>
            </w:pPr>
            <w:r>
              <w:rPr>
                <w:sz w:val="22"/>
                <w:szCs w:val="22"/>
              </w:rPr>
              <w:t xml:space="preserve">Title:       ___________________________</w:t>
            </w:r>
          </w:p>
          <w:p>
            <w:pPr>
              <w:spacing w:after="200"/>
            </w:pPr>
            <w:r>
              <w:rPr>
                <w:sz w:val="22"/>
                <w:szCs w:val="22"/>
              </w:rPr>
              <w:t xml:space="preserve">Date:        ___________________________</w:t>
            </w:r>
          </w:p>
        </w:tc>
        <w:tc>
          <w:tcPr>
            <w:tcW w:type="dxa" w:w="5400"/>
            <w:tcBorders>
              <w:top w:val="none"/>
              <w:left w:val="none"/>
              <w:bottom w:val="none"/>
              <w:right w:val="none"/>
            </w:tcBorders>
            <w:tcMar>
              <w:top w:type="dxa" w:w="200"/>
              <w:left w:type="dxa" w:w="200"/>
              <w:bottom w:type="dxa" w:w="200"/>
              <w:right w:type="dxa" w:w="200"/>
            </w:tcMar>
          </w:tcPr>
          <w:p>
            <w:pPr>
              <w:spacing w:after="300"/>
            </w:pPr>
            <w:r>
              <w:rPr>
                <w:b/>
                <w:bCs/>
                <w:sz w:val="22"/>
                <w:szCs w:val="22"/>
              </w:rPr>
              <w:t xml:space="preserve">MERIDIAN FINANCIAL GROUP LLC</w:t>
            </w:r>
          </w:p>
          <w:p>
            <w:pPr>
              <w:spacing w:after="200"/>
            </w:pPr>
            <w:r>
              <w:rPr>
                <w:sz w:val="22"/>
                <w:szCs w:val="22"/>
              </w:rPr>
              <w:t xml:space="preserve">Signature: ___________________________</w:t>
            </w:r>
          </w:p>
          <w:p>
            <w:pPr>
              <w:spacing w:after="200"/>
            </w:pPr>
            <w:r>
              <w:rPr>
                <w:sz w:val="22"/>
                <w:szCs w:val="22"/>
              </w:rPr>
              <w:t xml:space="preserve">Name:      ___________________________</w:t>
            </w:r>
          </w:p>
          <w:p>
            <w:pPr>
              <w:spacing w:after="200"/>
            </w:pPr>
            <w:r>
              <w:rPr>
                <w:sz w:val="22"/>
                <w:szCs w:val="22"/>
              </w:rPr>
              <w:t xml:space="preserve">Title:       ___________________________</w:t>
            </w:r>
          </w:p>
          <w:p>
            <w:pPr>
              <w:spacing w:after="200"/>
            </w:pPr>
            <w:r>
              <w:rPr>
                <w:sz w:val="22"/>
                <w:szCs w:val="22"/>
              </w:rPr>
              <w:t xml:space="preserve">Date:        ___________________________</w:t>
            </w:r>
          </w:p>
        </w:tc>
      </w:tr>
    </w:tbl>
    <w:p>
      <w:pPr>
        <w:spacing w:after="400"/>
      </w:pPr>
    </w:p>
    <w:p>
      <w:pPr>
        <w:pBdr>
          <w:top w:val="single" w:color="E5E7EB" w:sz="6"/>
        </w:pBdr>
        <w:spacing w:after="200" w:before="400"/>
        <w:jc w:val="center"/>
      </w:pPr>
      <w:r>
        <w:rPr>
          <w:b/>
          <w:bCs/>
          <w:color w:val="1F2937"/>
          <w:sz w:val="26"/>
          <w:szCs w:val="26"/>
        </w:rPr>
        <w:t xml:space="preserve">EXHIBIT A — STATEMENT OF WORK</w:t>
      </w:r>
    </w:p>
    <w:p>
      <w:pPr>
        <w:spacing w:after="160"/>
        <w:jc w:val="both"/>
      </w:pPr>
      <w:r>
        <w:rPr>
          <w:color w:val="374151"/>
          <w:sz w:val="22"/>
          <w:szCs w:val="22"/>
        </w:rPr>
        <w:t xml:space="preserve">Platform access includes: AI-powered contract analysis engine (clause extraction, risk scoring, compliance checking), redlining and version comparison tools, approval workflow with audit trail, document storage (up to 50,000 contracts), API access (up to 1M calls/month), SSO integration, and custom clause library.</w:t>
      </w:r>
    </w:p>
    <w:p>
      <w:pPr>
        <w:pBdr>
          <w:top w:val="single" w:color="E5E7EB" w:sz="6"/>
        </w:pBdr>
        <w:spacing w:after="200" w:before="400"/>
        <w:jc w:val="center"/>
      </w:pPr>
      <w:r>
        <w:rPr>
          <w:b/>
          <w:bCs/>
          <w:color w:val="1F2937"/>
          <w:sz w:val="26"/>
          <w:szCs w:val="26"/>
        </w:rPr>
        <w:t xml:space="preserve">EXHIBIT B — SERVICE LEVEL AGREEMENT</w:t>
      </w:r>
    </w:p>
    <w:p>
      <w:pPr>
        <w:spacing w:after="160"/>
        <w:jc w:val="both"/>
      </w:pPr>
      <w:r>
        <w:rPr>
          <w:color w:val="374151"/>
          <w:sz w:val="22"/>
          <w:szCs w:val="22"/>
        </w:rPr>
        <w:t xml:space="preserve">Uptime: 99.9% monthly. Contract analysis processing time: &lt;30 seconds per document (up to 100 pages). API response time: &lt;500ms at p95. Data backup: daily, retained 90 days. RTO: 4 hours. RPO: 1 hour.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pBdr>
      <w:spacing w:after="200"/>
      <w:jc w:val="right"/>
    </w:pPr>
    <w:r>
      <w:rPr>
        <w:color w:val="9CA3AF"/>
        <w:sz w:val="18"/>
        <w:szCs w:val="18"/>
      </w:rPr>
      <w:t xml:space="preserve">SOFTWARE SERVICES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Services Agreement</dc:title>
  <dc:creator>LegalPipeline Demo</dc:creator>
  <cp:lastModifiedBy>Un-named</cp:lastModifiedBy>
  <cp:revision>1</cp:revision>
  <dcterms:created xsi:type="dcterms:W3CDTF">2026-07-02T07:50:02.700Z</dcterms:created>
  <dcterms:modified xsi:type="dcterms:W3CDTF">2026-07-02T07:50:02.700Z</dcterms:modified>
</cp:coreProperties>
</file>

<file path=docProps/custom.xml><?xml version="1.0" encoding="utf-8"?>
<Properties xmlns="http://schemas.openxmlformats.org/officeDocument/2006/custom-properties" xmlns:vt="http://schemas.openxmlformats.org/officeDocument/2006/docPropsVTypes"/>
</file>