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Redlined Contract: Acme NDA</w:t>
      </w:r>
    </w:p>
    <w:p>
      <w:r>
        <w:rPr>
          <w:color w:val="606060"/>
        </w:rPr>
        <w:t xml:space="preserve">Generated: 2026-07-11 17:10:12 UTC  |  </w:t>
      </w:r>
      <w:r>
        <w:rPr>
          <w:color w:val="606060"/>
        </w:rPr>
        <w:t xml:space="preserve">Overall Risk Score: 35/100</w:t>
      </w:r>
    </w:p>
    <w:p/>
    <w:p>
      <w:pPr>
        <w:pStyle w:val="Heading2"/>
      </w:pPr>
      <w:r>
        <w:t xml:space="preserve">1. Confidentiality</w:t>
      </w:r>
    </w:p>
    <w:p>
      <w:r>
        <w:t xml:space="preserve">Each party shall hold the other's Confidential Information in strict confidence. The receiving party's obligation to protect Confidential Information shall survive termination of this Agreement for a period of fifteen (15) years.</w:t>
      </w:r>
    </w:p>
    <w:p/>
    <w:p>
      <w:pPr>
        <w:pStyle w:val="Heading2"/>
      </w:pPr>
      <w:r>
        <w:t xml:space="preserve">2. Governing Law</w:t>
      </w:r>
    </w:p>
    <w:p>
      <w:r>
        <w:t xml:space="preserve">This Agreement shall be governed by and construed in accordance with the laws of the State of California.</w:t>
      </w:r>
    </w:p>
    <w:p/>
    <w:p>
      <w:pPr>
        <w:pStyle w:val="Heading2"/>
      </w:pPr>
      <w:r>
        <w:t xml:space="preserve">3. Liability Cap</w:t>
      </w:r>
    </w:p>
    <w:p>
      <w:r>
        <w:rPr>
          <w:b/>
          <w:bCs/>
          <w:color w:val="C00000"/>
        </w:rPr>
        <w:t xml:space="preserve">ORIGINAL: </w:t>
      </w:r>
      <w:r>
        <w:rPr>
          <w:color w:val="C00000"/>
          <w:strike/>
        </w:rPr>
        <w:t xml:space="preserve">In no event shall Company's total cumulative liability for any and all claims arising under this Agreement exceed $10, while Client's liability under this Agreement shall be completely unlimited.</w:t>
      </w:r>
    </w:p>
    <w:p>
      <w:r>
        <w:rPr>
          <w:b/>
          <w:bCs/>
          <w:color w:val="007000"/>
        </w:rPr>
        <w:t xml:space="preserve">REVISED: </w:t>
      </w:r>
      <w:r>
        <w:rPr>
          <w:color w:val="007000"/>
        </w:rPr>
        <w:t xml:space="preserve">In no event shall Company's total cumulative liability for any and all claims arising under this Agreement exceed $10,000,000. Client's liability under this Agreement shall be capped at $10,000,000.</w:t>
      </w:r>
    </w:p>
    <w:p>
      <w:r>
        <w:rPr>
          <w:b/>
          <w:bCs/>
          <w:color w:val="606060"/>
        </w:rPr>
        <w:t xml:space="preserve">Risk Mitigation: </w:t>
      </w:r>
      <w:r>
        <w:rPr>
          <w:b/>
          <w:bCs/>
          <w:color w:val="C00000"/>
        </w:rPr>
        <w:t xml:space="preserve">85/100 → 85/100</w:t>
      </w:r>
      <w:r>
        <w:rPr>
          <w:i/>
          <w:iCs/>
          <w:color w:val="C00000"/>
        </w:rPr>
        <w:t xml:space="preserve"> (Mismatch flagged for review)</w:t>
      </w:r>
    </w:p>
    <w:p>
      <w:r>
        <w:rPr>
          <w:i/>
          <w:iCs/>
          <w:color w:val="606060"/>
          <w:sz w:val="18"/>
          <w:szCs w:val="18"/>
        </w:rPr>
        <w:t xml:space="preserve">⚖ Attorney note: This revised clause maintains a reasonable liability cap for both parties, reducing the risk of unlimited liability and one-sided liability while preserving commercial intent.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2026-07-11T17:10:12.041Z</dcterms:created>
  <dcterms:modified xsi:type="dcterms:W3CDTF">2026-07-11T17:10:12.041Z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