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SERVICES AGREEMENT</w:t>
      </w:r>
    </w:p>
    <w:p>
      <w:pPr>
        <w:jc w:val="center"/>
      </w:pPr>
      <w:r>
        <w:t>between Nimbus Analytics, Inc. ("Provider") and Harrow &amp; Vance LLP ("Client")</w:t>
      </w:r>
    </w:p>
    <w:p>
      <w:r>
        <w:t>This Master Services Agreement ("Agreement") is entered into as of July 8, 2026 ("Effective Date") by and between Nimbus Analytics, Inc., a Delaware corporation ("Provider"), and Harrow &amp; Vance LLP, a New York limited liability partnership ("Client").</w:t>
      </w:r>
    </w:p>
    <w:p>
      <w:pPr>
        <w:pStyle w:val="Heading1"/>
      </w:pPr>
      <w:r>
        <w:t>1. Definitions</w:t>
      </w:r>
    </w:p>
    <w:p>
      <w:r>
        <w:t>"Services" means the data-analytics platform and related professional services described in Exhibit A. "Client Data" means all data submitted by Client to the Platform, including case files, billing records, and client-matter metadata. "Platform" means Provider's hosted software-as-a-service offering. "Payment Data" means credit card numbers, cardholder names, expiration dates, and CVV codes processed through the Platform's billing module.</w:t>
      </w:r>
    </w:p>
    <w:p>
      <w:pPr>
        <w:pStyle w:val="Heading1"/>
      </w:pPr>
      <w:r>
        <w:t>2. Services</w:t>
      </w:r>
    </w:p>
    <w:p>
      <w:r>
        <w:t>Provider shall deliver the Services in a professional and workmanlike manner consistent with generally accepted industry standards. Provider shall use commercially reasonable efforts to perform the Services in accordance with the specifications set forth in Exhibit A.</w:t>
      </w:r>
    </w:p>
    <w:p>
      <w:pPr>
        <w:pStyle w:val="Heading1"/>
      </w:pPr>
      <w:r>
        <w:t>3. Fees and Payment</w:t>
      </w:r>
    </w:p>
    <w:p>
      <w:r>
        <w:t>Client shall pay Provider an annual platform license fee of $180,000, payable in advance in four equal quarterly installments of $45,000. All fees are non-refundable except as expressly set forth in Section 15 (Termination). Client shall also reimburse Provider for pre-approved, reasonable out-of-pocket expenses incurred in connection with the Services.</w:t>
      </w:r>
    </w:p>
    <w:p>
      <w:pPr>
        <w:pStyle w:val="Heading1"/>
      </w:pPr>
      <w:r>
        <w:t>4. Payment Card Processing</w:t>
      </w:r>
    </w:p>
    <w:p>
      <w:r>
        <w:t>To the extent Client elects to pay fees via credit card through the Platform's billing module, Provider shall process, transmit, and store Payment Data in compliance with the Payment Card Industry Data Security Standard (PCI-DSS) as in effect from time to time. Provider represents that it maintains a valid PCI-DSS Attestation of Compliance and shall provide a copy to Client upon written request. Provider shall not store the CVV code following authorization of any transaction.</w:t>
      </w:r>
    </w:p>
    <w:p>
      <w:pPr>
        <w:pStyle w:val="Heading1"/>
      </w:pPr>
      <w:r>
        <w:t>5. Intellectual Property</w:t>
      </w:r>
    </w:p>
    <w:p>
      <w:r>
        <w:t>Provider retains all right, title, and interest in and to the Platform, the Services, and all intellectual property embodied therein, including all improvements, modifications, and derivative works, whether or not developed in connection with this Agreement. Client is granted a non-exclusive, non-transferable license to use the Platform solely for its internal business purposes during the Term.</w:t>
      </w:r>
    </w:p>
    <w:p>
      <w:pPr>
        <w:pStyle w:val="Heading1"/>
      </w:pPr>
      <w:r>
        <w:t>6. Confidentiality</w:t>
      </w:r>
    </w:p>
    <w:p>
      <w:r>
        <w:t>Each party shall maintain the other party's Confidential Information in strict confidence and shall not disclose such Confidential Information to any third party without the prior written consent of the disclosing party, except as required by law or court order, in which case the receiving party shall provide prompt notice to enable the disclosing party to seek a protective order. This Section 6 shall survive termination of this Agreement for a period of five (5) years.</w:t>
      </w:r>
    </w:p>
    <w:p>
      <w:pPr>
        <w:pStyle w:val="Heading1"/>
      </w:pPr>
      <w:r>
        <w:t>7. Data Protection and Security</w:t>
      </w:r>
    </w:p>
    <w:p>
      <w:r>
        <w:t>Provider shall process Client Data solely in accordance with Client's instructions and the Data Processing Addendum attached as Exhibit C. Provider shall implement and maintain commercially reasonable administrative, physical, and technical safeguards designed to protect Client Data against unauthorized access, use, or disclosure. Provider shall notify Client without undue delay, and in no event later than seventy-two (72) hours, following discovery of any confirmed unauthorized access to Client Data. This Section does not specify data retention limits or data minimization requirements applicable to Client Data.</w:t>
      </w:r>
    </w:p>
    <w:p>
      <w:pPr>
        <w:pStyle w:val="Heading1"/>
      </w:pPr>
      <w:r>
        <w:t>8. Service Level Agreement</w:t>
      </w:r>
    </w:p>
    <w:p>
      <w:r>
        <w:t>Provider guarantees Platform availability of 99.9% measured monthly, excluding scheduled maintenance windows of which Client will receive at least 48 hours' advance notice. Provider shall use commercially reasonable efforts to respond to Severity 1 incidents within two (2) hours.</w:t>
      </w:r>
    </w:p>
    <w:p>
      <w:pPr>
        <w:pStyle w:val="Heading1"/>
      </w:pPr>
      <w:r>
        <w:t>9. Warranties</w:t>
      </w:r>
    </w:p>
    <w:p>
      <w:r>
        <w:t>Provider represents and warrants that: (a) it has the right to enter into this Agreement; (b) the Services will perform materially in accordance with the specifications in Exhibit A; and (c) the Services will not infringe any valid patent, copyright, trademark, or trade secret of any third party.</w:t>
      </w:r>
    </w:p>
    <w:p>
      <w:pPr>
        <w:pStyle w:val="Heading1"/>
      </w:pPr>
      <w:r>
        <w:t>10. Indemnification</w:t>
      </w:r>
    </w:p>
    <w:p>
      <w:r>
        <w:t>Provider shall defend, indemnify, and hold harmless Client from and against any third-party claims, damages, and reasonable expenses (including reasonable attorneys' fees) arising from allegations that the Services infringe a valid U.S. patent, copyright, trademark, or trade secret. This Section 10 does not extend to claims arising from unauthorized access to, or disclosure of, Client Data.</w:t>
      </w:r>
    </w:p>
    <w:p>
      <w:pPr>
        <w:pStyle w:val="Heading1"/>
      </w:pPr>
      <w:r>
        <w:t>11. Limitation of Liability</w:t>
      </w:r>
    </w:p>
    <w:p>
      <w:r>
        <w:t>EXCEPT FOR (I) BREACHES OF SECTION 6 (CONFIDENTIALITY), (II) A PARTY'S INDEMNIFICATION OBLIGATIONS UNDER SECTION 10, OR (III) DAMAGES ARISING FROM A PARTY'S GROSS NEGLIGENCE OR WILLFUL MISCONDUCT, NEITHER PARTY SHALL BE LIABLE FOR ANY INDIRECT, INCIDENTAL, SPECIAL, CONSEQUENTIAL, OR PUNITIVE DAMAGES ARISING OUT OF OR RELATED TO THIS AGREEMENT, EVEN IF ADVISED OF THE POSSIBILITY THEREOF. EACH PARTY'S TOTAL CUMULATIVE LIABILITY ARISING OUT OF THIS AGREEMENT SHALL NOT EXCEED THE FEES PAID BY CLIENT IN THE TWELVE (12) MONTHS PRECEDING THE CLAIM.</w:t>
      </w:r>
    </w:p>
    <w:p>
      <w:pPr>
        <w:pStyle w:val="Heading1"/>
      </w:pPr>
      <w:r>
        <w:t>12. Term and Renewal</w:t>
      </w:r>
    </w:p>
    <w:p>
      <w:r>
        <w:t>This Agreement shall commence on the Effective Date and continue for an initial term of one (1) year, automatically renewing for successive one-year terms unless either party provides written notice of non-renewal at least sixty (60) days prior to the end of the then-current term.</w:t>
      </w:r>
    </w:p>
    <w:p>
      <w:pPr>
        <w:pStyle w:val="Heading1"/>
      </w:pPr>
      <w:r>
        <w:t>13. Termination</w:t>
      </w:r>
    </w:p>
    <w:p>
      <w:r>
        <w:t>Either party may terminate this Agreement for cause upon thirty (30) days' written notice if the other party materially breaches this Agreement and fails to cure such breach within the notice period. Upon termination, Provider shall, within thirty (30) days, return or destroy all Client Data in Provider's possession, at Client's election.</w:t>
      </w:r>
    </w:p>
    <w:p>
      <w:pPr>
        <w:pStyle w:val="Heading1"/>
      </w:pPr>
      <w:r>
        <w:t>14. Assignment</w:t>
      </w:r>
    </w:p>
    <w:p>
      <w:r>
        <w:t>Neither party may assign this Agreement without the prior written consent of the other party, not to be unreasonably withheld, except that either party may assign this Agreement without consent in connection with a merger, acquisition, or sale of all or substantially all of its assets, provided the assignee agrees in writing to be bound by the terms of this Agreement.</w:t>
      </w:r>
    </w:p>
    <w:p>
      <w:pPr>
        <w:pStyle w:val="Heading1"/>
      </w:pPr>
      <w:r>
        <w:t>15. Force Majeure</w:t>
      </w:r>
    </w:p>
    <w:p>
      <w:r>
        <w:t>Neither party shall be liable for any failure or delay in performance under this Agreement to the extent such failure or delay is caused by circumstances beyond its reasonable control, including acts of God, natural disaster, war, terrorism, labor dispute, or governmental action, provided that the affected party gives prompt written notice and uses commercially reasonable efforts to mitigate the effects thereof.</w:t>
      </w:r>
    </w:p>
    <w:p>
      <w:pPr>
        <w:pStyle w:val="Heading1"/>
      </w:pPr>
      <w:r>
        <w:t>16. Governing Law and Dispute Resolution</w:t>
      </w:r>
    </w:p>
    <w:p>
      <w:r>
        <w:t>This Agreement shall be governed by the laws of the State of Delaware, without regard to its conflict of laws principles. Any dispute arising out of this Agreement shall first be submitted to non-binding mediation, and if unresolved within sixty (60) days, shall be finally resolved by binding arbitration administered by the American Arbitration Association under its Commercial Arbitration Rules, with the arbitration seated in Wilmington, Delaware.</w:t>
      </w:r>
    </w:p>
    <w:p>
      <w:pPr>
        <w:pStyle w:val="Heading1"/>
      </w:pPr>
      <w:r>
        <w:t>17. Notices</w:t>
      </w:r>
    </w:p>
    <w:p>
      <w:r>
        <w:t>All notices under this Agreement shall be in writing and delivered by email with confirmation of receipt, or by overnight courier, to the addresses set forth in Exhibit B, and shall be deemed given upon receipt.</w:t>
      </w:r>
    </w:p>
    <w:p>
      <w:pPr>
        <w:pStyle w:val="Heading1"/>
      </w:pPr>
      <w:r>
        <w:t>18. Platform Description</w:t>
      </w:r>
    </w:p>
    <w:p>
      <w:r>
        <w:t>The Platform provides AI-assisted document analysis, automated risk scoring, secure document storage, and API access of up to 500,000 calls per month for integration with Client's existing case-management systems.</w:t>
      </w:r>
    </w:p>
    <w:p>
      <w:pPr>
        <w:pStyle w:val="Heading1"/>
      </w:pPr>
      <w:r>
        <w:t>19. Entire Agreement</w:t>
      </w:r>
    </w:p>
    <w:p>
      <w:r>
        <w:t>This Agreement, together with all Exhibits referenced herein, constitutes the entire agreement between the parties with respect to its subject matter and supersedes all prior or contemporaneous negotiations, representations, and agreements, whether written or oral.</w:t>
      </w:r>
    </w:p>
    <w:p/>
    <w:p>
      <w:r>
        <w:t>IN WITNESS WHEREOF, the parties have executed this Agreement as of the Effective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