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16sdtfl w16du wne wp14">
  <w:body>
    <w:p w:rsidRPr="00CA4392" w:rsidR="00AE6C93" w:rsidP="3EB60C19" w:rsidRDefault="00CE2707" w14:paraId="1F960E65" w14:textId="4A708CA0">
      <w:pPr>
        <w:pStyle w:val="papertitle"/>
        <w:sectPr w:rsidRPr="00CA4392" w:rsidR="00AE6C93" w:rsidSect="003B4E04">
          <w:footerReference w:type="first" r:id="rId11"/>
          <w:pgSz w:w="595.3pt" w:h="841.9pt" w:orient="portrait" w:code="9"/>
          <w:pgMar w:top="27pt" w:right="44.65pt" w:bottom="72pt" w:left="44.65pt" w:header="36pt" w:footer="36pt" w:gutter="0pt"/>
          <w:cols w:space="720"/>
          <w:titlePg/>
          <w:docGrid w:linePitch="360"/>
        </w:sectPr>
      </w:pPr>
      <w:r>
        <w:t>Calibration of Selectivity Aware Semantic Reuse in Hybrid SQL and Language Model Pipelines</w:t>
      </w:r>
    </w:p>
    <w:p w:rsidRPr="00F847A6" w:rsidR="001A3B3D" w:rsidP="00C02C45" w:rsidRDefault="00BD670B" w14:paraId="11C3FF66" w14:textId="7961792F">
      <w:pPr>
        <w:pStyle w:val="Author"/>
        <w:spacing w:before="5pt" w:beforeAutospacing="1"/>
        <w:rPr>
          <w:sz w:val="18"/>
          <w:szCs w:val="18"/>
        </w:rPr>
      </w:pPr>
      <w:r>
        <w:t>Nandana Raj, Harshit Gupta, Vaishnavi Ganesan</w:t>
      </w:r>
      <w:r>
        <w:br/>
        <w:t>B.Tech. in Computer Science and Engineering</w:t>
      </w:r>
    </w:p>
    <w:p w:rsidR="009F1D79" w:rsidP="00A95633" w:rsidRDefault="009F1D79" w14:paraId="0316535E" w14:textId="2B72F62A">
      <w:pPr>
        <w:pStyle w:val="Author"/>
        <w:spacing w:before="5pt" w:beforeAutospacing="1"/>
        <w:sectPr w:rsidR="009F1D79" w:rsidSect="003B4E04">
          <w:type w:val="continuous"/>
          <w:pgSz w:w="595.3pt" w:h="841.9pt" w:orient="portrait" w:code="9"/>
          <w:pgMar w:top="22.5pt" w:right="44.65pt" w:bottom="72pt" w:left="44.65pt" w:header="36pt" w:footer="36pt" w:gutter="0pt"/>
          <w:cols w:space="720" w:num="1"/>
          <w:docGrid w:linePitch="360"/>
        </w:sectPr>
      </w:pPr>
      <w:r>
        <w:t/>
      </w: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1"/>
          <w:docGrid w:linePitch="360"/>
        </w:sectPr>
      </w:pPr>
      <w:r>
        <w:t/>
      </w:r>
    </w:p>
    <w:p>
      <w:pPr>
        <w:pStyle w:val="Abstract"/>
        <w:rPr>
          <w:i/>
          <w:iCs/>
        </w:rPr>
      </w:pPr>
      <w:r>
        <w:t xml:space="preserve">Abstract—Hybrid SQL and language model pipelines repeatedly evaluate expensive semantic predicates. We study a selectivity-aware reuse threshold added to the three-region VectorQ policy and provide a shared seven-policy evaluation framework. Controlled replay uses 64 validation and 96 test reviews with model-generated reference labels; five live API conditions provide exploratory observations. The frozen threshold remains inactive because every encountered high-region candidate score exceeds its 0.92 ceiling. A separate post-hoc sweep over 42 replay conditions demonstrates active interventions: a constant 0.99 threshold eliminates incorrect direct hits against the saved references, with lower call savings, while a validation-quantile selectivity rule still changes result sets. The analytical takeaway is that an added threshold must intersect the scores encountered in its eligible region to affect execution. Score calibration is necessary for this intervention to operate; a benefit attributable to selectivity remains an open empirical question.</w:t>
      </w:r>
    </w:p>
    <w:p>
      <w:pPr>
        <w:pStyle w:val="Keywords"/>
      </w:pPr>
      <w:r>
        <w:t xml:space="preserve">Keywords—semantic caching, VectorQ, SQL, selectivity, calibration, reproducibility</w:t>
      </w:r>
    </w:p>
    <w:p>
      <w:pPr>
        <w:pStyle w:val="Heading1"/>
        <w:numPr>
          <w:ilvl w:val="0"/>
          <w:numId w:val="25"/>
        </w:numPr>
      </w:pPr>
      <w:r>
        <w:t xml:space="preserve">Introduction</w:t>
      </w:r>
    </w:p>
    <w:p>
      <w:pPr>
        <w:pStyle w:val="BodyText"/>
      </w:pPr>
      <w:r>
        <w:t xml:space="preserve">Structured filters reduce the rows entering language model predicates, but repeated semantic decisions can still dominate inference cost. Exact caching reuses identical inputs; semantic caching also substitutes outputs from nearby embeddings. A substitution can change the rows entering a later predicate, so evaluating isolated cache hits is insufficient for a hybrid query pipeline.</w:t>
      </w:r>
    </w:p>
    <w:p>
      <w:pPr>
        <w:pStyle w:val="BodyText"/>
      </w:pPr>
      <w:r>
        <w:t xml:space="preserve">VectorQ adapts reuse through three similarity regions and correctness sampling [1]. We ask whether a stricter reuse threshold when fewer rows survive SQL filtering improves reference fidelity at acceptable inference cost. The original frozen configuration yields identical VectorQ and selectivity-policy outcomes. Its threshold never reaches the scores where it could intervene. This is a calibration failure of a specific configuration rather than evidence against every use of selectivity.</w:t>
      </w:r>
    </w:p>
    <w:p>
      <w:pPr>
        <w:pStyle w:val="BodyText"/>
      </w:pPr>
      <w:r>
        <w:t xml:space="preserve">The contributions are a conditional explanation of threshold inactivity, a reproducible SQL-first seven-policy executor with decision auditing, and an explicitly exploratory score-calibration study. The new study contrasts constant thresholds with a validation-quantile selectivity rule. It separates activating a policy from demonstrating that selectivity contributes useful information beyond similarity.</w:t>
      </w:r>
    </w:p>
    <w:p>
      <w:pPr>
        <w:pStyle w:val="Heading1"/>
        <w:numPr>
          <w:ilvl w:val="0"/>
          <w:numId w:val="25"/>
        </w:numPr>
      </w:pPr>
      <w:r>
        <w:t xml:space="preserve">Background and Related Work</w:t>
      </w:r>
    </w:p>
    <w:p>
      <w:pPr>
        <w:pStyle w:val="Heading2"/>
        <w:numPr>
          <w:ilvl w:val="0"/>
          <w:numId w:val="27"/>
        </w:numPr>
      </w:pPr>
      <w:r>
        <w:t xml:space="preserve">Semantic reuse and hybrid operators</w:t>
      </w:r>
    </w:p>
    <w:p>
      <w:pPr>
        <w:pStyle w:val="BodyText"/>
      </w:pPr>
      <w:r>
        <w:t xml:space="preserve">The original VectorQ policy rejects reuse in R1, checks candidates with inference in R2, and uses posterior correctness sampling for reuse or audit in R3 [1]. An audit is charged as inference. Our P2 baseline reimplements the paper-v1 algorithms. The inspected repository revision implements later vCache [2], whose learned embedding-specific thresholds and error guarantees belong to a different algorithm [3]. Our numerical implementation uses exact cosine search and a 1001-point posterior grid; source snapshots and conformance details are in the artifact README.</w:t>
      </w:r>
    </w:p>
    <w:p>
      <w:pPr>
        <w:pStyle w:val="BodyText"/>
      </w:pPr>
      <w:r>
        <w:t xml:space="preserve">Liu et al. study semantic-cache eviction with mismatch costs and offline-to-online adaptation [4]. Bindschaedler studies OLAP intent canonicalization [5]. These address capacity and exact intent reuse, respectively, whereas our intervention changes acceptance within R3. An exact-input control isolates savings from repetition. Palimpzest [6], Abacus [7] and iPDB [8] place expensive semantic operators inside declarative analytics and query optimization. We hold the query plan fixed to inspect one reuse decision rather than compare complete optimizer implementations.</w:t>
      </w:r>
    </w:p>
    <w:p>
      <w:pPr>
        <w:pStyle w:val="Heading2"/>
        <w:numPr>
          <w:ilvl w:val="0"/>
          <w:numId w:val="27"/>
        </w:numPr>
      </w:pPr>
      <w:r>
        <w:t xml:space="preserve">Adjacent interfaces and execution layers</w:t>
      </w:r>
    </w:p>
    <w:p>
      <w:pPr>
        <w:pStyle w:val="BodyText"/>
      </w:pPr>
      <w:r>
        <w:t xml:space="preserve">TAG [9], SUQL [10] and ZenDB [11] motivate mixed relational and unstructured reasoning. Zhao et al. review retrieval-augmented generation [12]. Retrieving a nearby review supplies a candidate, but its binary predicate label can differ. Our metrics therefore include complete query row set agreement as well as incorrect direct hits.</w:t>
      </w:r>
    </w:p>
    <w:p>
      <w:pPr>
        <w:pStyle w:val="BodyText"/>
      </w:pPr>
      <w:r>
        <w:t xml:space="preserve">Text-to-SQL surveys [13], ASKSQL [14] and PURPLE [15] concern the language-to-query boundary. Plan-similarity optimization [16] and the hybrid SQL-tuning proposal of Abed Allah [17] provide adjacent optimizer context. Explicit plans here keep translation and rewrite errors outside the cache comparison. Broader surveys of learned database optimization [18], query execution [19], language models in database systems [20], table processing [21], information extraction [22] and model architectures [23] locate this narrower execution problem.</w:t>
      </w:r>
    </w:p>
    <w:p>
      <w:pPr>
        <w:pStyle w:val="BodyText"/>
      </w:pPr>
      <w:r>
        <w:t xml:space="preserve">Product quantization [24], vector database processing [25] and ACORN [26] concern vector representation and retrieval. Exact search here removes approximate-index recall as a variable. PagedAttention [27] manages attention key-value memory within inference serving; response reuse instead avoids some inference requests. These complementary layers require separate measurements at larger scale.</w:t>
      </w:r>
    </w:p>
    <w:p>
      <w:pPr>
        <w:pStyle w:val="Heading1"/>
        <w:numPr>
          <w:ilvl w:val="0"/>
          <w:numId w:val="25"/>
        </w:numPr>
      </w:pPr>
      <w:r>
        <w:t xml:space="preserve">Selectivity Aware Reuse</w:t>
      </w:r>
    </w:p>
    <w:p>
      <w:pPr>
        <w:pStyle w:val="BodyText"/>
      </w:pPr>
      <w:r>
        <w:t xml:space="preserve">Let N be cohort size, n the rows entering a semantic stage and s = n/N the observed global selectivity. For an R3 candidate with cosine score z, P3 forces inference when z &lt; τ(s). R1 and R2 remain unchanged. The threshold is:</w:t>
      </w:r>
    </w:p>
    <w:p>
      <w:pPr>
        <w:pStyle w:val="equation"/>
        <w:tabs>
          <w:tab w:val="end" w:pos="4750"/>
        </w:tabs>
        <w:jc w:val="start"/>
        <w:ind w:firstLine="0"/>
      </w:pPr>
      <m:oMath>
        <m:r>
          <m:t>τ(s) = </m:t>
        </m:r>
        <m:sSub>
          <m:e>
            <m:r>
              <m:t>τ</m:t>
            </m:r>
          </m:e>
          <m:sub>
            <m:r>
              <m:t>min</m:t>
            </m:r>
          </m:sub>
        </m:sSub>
        <m:r>
          <m:t> + (</m:t>
        </m:r>
        <m:sSub>
          <m:e>
            <m:r>
              <m:t>τ</m:t>
            </m:r>
          </m:e>
          <m:sub>
            <m:r>
              <m:t>max</m:t>
            </m:r>
          </m:sub>
        </m:sSub>
        <m:r>
          <m:t> − </m:t>
        </m:r>
        <m:sSub>
          <m:e>
            <m:r>
              <m:t>τ</m:t>
            </m:r>
          </m:e>
          <m:sub>
            <m:r>
              <m:t>min</m:t>
            </m:r>
          </m:sub>
        </m:sSub>
        <m:r>
          <m:t>)</m:t>
        </m:r>
        <m:sSup>
          <m:e>
            <m:r>
              <m:t>(1 − s)</m:t>
            </m:r>
          </m:e>
          <m:sup>
            <m:r>
              <m:t>γ</m:t>
            </m:r>
          </m:sup>
        </m:sSup>
      </m:oMath>
      <w:r>
        <w:tab/>
        <w:t>(1)</w:t>
      </w:r>
    </w:p>
    <w:p>
      <w:pPr>
        <w:pStyle w:val="BodyText"/>
      </w:pPr>
      <w:r>
        <w:t xml:space="preserve">The frozen endpoints are τmin = 0.72 and τmax = 0.92, with γ = 1. Thus fewer surviving rows imply a stricter threshold. The hypothesis is that this additional context improves the tradeoff between simulated inference calls and reference fidelity. P4 reverses the direction using s^γ. P5 changes the extra audit probability instead of the score threshold.</w:t>
      </w:r>
    </w:p>
    <w:p>
      <w:pPr>
        <w:pStyle w:val="BodyText"/>
      </w:pPr>
      <w:r>
        <w:t xml:space="preserve">Inactivity condition. If every R3 score on a baseline trajectory satisfies z ≥ τmax, no extra check can occur because τ(s) ≤ τmax for all s in [0,1]. Under equal initial state, row order, saved-reference oracle and random seed, the first decision is identical. Inductively the posterior state, next candidate and sampling stream also remain identical. The implementation uses a separate controller random stream; an inactive P3 check consumes no posterior sample beyond the one P2 would consume. This explains trajectory equality under these conditions. A different corpus or calibrated range can violate the condition.</w:t>
      </w:r>
    </w:p>
    <w:p>
      <w:pPr>
        <w:pStyle w:val="Heading1"/>
        <w:numPr>
          <w:ilvl w:val="0"/>
          <w:numId w:val="25"/>
        </w:numPr>
      </w:pPr>
      <w:r>
        <w:t xml:space="preserve">System Design</w:t>
      </w:r>
    </w:p>
    <w:p>
      <w:pPr>
        <w:pStyle w:val="BodyText"/>
      </w:pPr>
      <w:r>
        <w:t xml:space="preserve">A versioned SQLite importer feeds explicit query plans. SQL filters run before semantic predicates; later predicates receive only preceding survivors. All seven policies share the executor, reference oracle and metric definitions. Empty SQL results cause no semantic evaluation. Table I identifies the controls.</w:t>
      </w:r>
    </w:p>
    <w:p>
      <w:pPr>
        <w:pStyle w:val="tablehead"/>
        <w:keepNext/>
        <w:numPr>
          <w:ilvl w:val="0"/>
          <w:numId w:val="0"/>
        </w:numPr>
      </w:pPr>
      <w:r>
        <w:t xml:space="preserve">TABLE I. POLICIES IN THE SHARED EXECUTOR</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450"/>
        <w:gridCol w:w="4300"/>
      </w:tblGrid>
      <w:tr>
        <w:trPr>
          <w:cantSplit/>
          <w:tblHeader/>
        </w:trPr>
        <w:tc>
          <w:tcPr>
            <w:tcW w:w="450" w:type="dxa"/>
          </w:tcPr>
          <w:p>
            <w:pPr>
              <w:spacing w:before="30" w:after="30"/>
              <w:jc w:val="center"/>
              <w:keepNext/>
            </w:pPr>
            <w:r>
              <w:rPr>
                <w:sz w:val="16"/>
                <w:b/>
              </w:rPr>
              <w:t>ID</w:t>
            </w:r>
          </w:p>
        </w:tc>
        <w:tc>
          <w:tcPr>
            <w:tcW w:w="4300" w:type="dxa"/>
          </w:tcPr>
          <w:p>
            <w:pPr>
              <w:spacing w:before="30" w:after="30"/>
              <w:jc w:val="center"/>
              <w:keepNext/>
            </w:pPr>
            <w:r>
              <w:rPr>
                <w:sz w:val="16"/>
                <w:b/>
              </w:rPr>
              <w:t>Reuse rule</w:t>
            </w:r>
          </w:p>
        </w:tc>
      </w:tr>
      <w:tr>
        <w:trPr>
          <w:cantSplit/>
        </w:trPr>
        <w:tc>
          <w:tcPr>
            <w:tcW w:w="450" w:type="dxa"/>
          </w:tcPr>
          <w:p>
            <w:pPr>
              <w:spacing w:before="30" w:after="30"/>
              <w:jc w:val="center"/>
              <w:keepNext/>
            </w:pPr>
            <w:r>
              <w:rPr>
                <w:sz w:val="16"/>
              </w:rPr>
              <w:t>P0</w:t>
            </w:r>
          </w:p>
        </w:tc>
        <w:tc>
          <w:tcPr>
            <w:tcW w:w="4300" w:type="dxa"/>
          </w:tcPr>
          <w:p>
            <w:pPr>
              <w:spacing w:before="30" w:after="30"/>
              <w:jc w:val="center"/>
              <w:keepNext/>
            </w:pPr>
            <w:r>
              <w:rPr>
                <w:sz w:val="16"/>
              </w:rPr>
              <w:t>No cache</w:t>
            </w:r>
          </w:p>
        </w:tc>
      </w:tr>
      <w:tr>
        <w:trPr>
          <w:cantSplit/>
        </w:trPr>
        <w:tc>
          <w:tcPr>
            <w:tcW w:w="450" w:type="dxa"/>
          </w:tcPr>
          <w:p>
            <w:pPr>
              <w:spacing w:before="30" w:after="30"/>
              <w:jc w:val="center"/>
              <w:keepNext/>
            </w:pPr>
            <w:r>
              <w:rPr>
                <w:sz w:val="16"/>
              </w:rPr>
              <w:t>P1</w:t>
            </w:r>
          </w:p>
        </w:tc>
        <w:tc>
          <w:tcPr>
            <w:tcW w:w="4300" w:type="dxa"/>
          </w:tcPr>
          <w:p>
            <w:pPr>
              <w:spacing w:before="30" w:after="30"/>
              <w:jc w:val="center"/>
              <w:keepNext/>
            </w:pPr>
            <w:r>
              <w:rPr>
                <w:sz w:val="16"/>
              </w:rPr>
              <w:t>Fixed similarity threshold 0.96</w:t>
            </w:r>
          </w:p>
        </w:tc>
      </w:tr>
      <w:tr>
        <w:trPr>
          <w:cantSplit/>
        </w:trPr>
        <w:tc>
          <w:tcPr>
            <w:tcW w:w="450" w:type="dxa"/>
          </w:tcPr>
          <w:p>
            <w:pPr>
              <w:spacing w:before="30" w:after="30"/>
              <w:jc w:val="center"/>
              <w:keepNext/>
            </w:pPr>
            <w:r>
              <w:rPr>
                <w:sz w:val="16"/>
              </w:rPr>
              <w:t>P2</w:t>
            </w:r>
          </w:p>
        </w:tc>
        <w:tc>
          <w:tcPr>
            <w:tcW w:w="4300" w:type="dxa"/>
          </w:tcPr>
          <w:p>
            <w:pPr>
              <w:spacing w:before="30" w:after="30"/>
              <w:jc w:val="center"/>
              <w:keepNext/>
            </w:pPr>
            <w:r>
              <w:rPr>
                <w:sz w:val="16"/>
              </w:rPr>
              <w:t>VectorQ paper-v1 regions and posterior</w:t>
            </w:r>
          </w:p>
        </w:tc>
      </w:tr>
      <w:tr>
        <w:trPr>
          <w:cantSplit/>
        </w:trPr>
        <w:tc>
          <w:tcPr>
            <w:tcW w:w="450" w:type="dxa"/>
          </w:tcPr>
          <w:p>
            <w:pPr>
              <w:spacing w:before="30" w:after="30"/>
              <w:jc w:val="center"/>
              <w:keepNext/>
            </w:pPr>
            <w:r>
              <w:rPr>
                <w:sz w:val="16"/>
              </w:rPr>
              <w:t>P3</w:t>
            </w:r>
          </w:p>
        </w:tc>
        <w:tc>
          <w:tcPr>
            <w:tcW w:w="4300" w:type="dxa"/>
          </w:tcPr>
          <w:p>
            <w:pPr>
              <w:spacing w:before="30" w:after="30"/>
              <w:jc w:val="center"/>
              <w:keepNext/>
            </w:pPr>
            <w:r>
              <w:rPr>
                <w:sz w:val="16"/>
              </w:rPr>
              <w:t>P2 with selectivity-aware reuse threshold</w:t>
            </w:r>
          </w:p>
        </w:tc>
      </w:tr>
      <w:tr>
        <w:trPr>
          <w:cantSplit/>
        </w:trPr>
        <w:tc>
          <w:tcPr>
            <w:tcW w:w="450" w:type="dxa"/>
          </w:tcPr>
          <w:p>
            <w:pPr>
              <w:spacing w:before="30" w:after="30"/>
              <w:jc w:val="center"/>
              <w:keepNext/>
            </w:pPr>
            <w:r>
              <w:rPr>
                <w:sz w:val="16"/>
              </w:rPr>
              <w:t>P4</w:t>
            </w:r>
          </w:p>
        </w:tc>
        <w:tc>
          <w:tcPr>
            <w:tcW w:w="4300" w:type="dxa"/>
          </w:tcPr>
          <w:p>
            <w:pPr>
              <w:spacing w:before="30" w:after="30"/>
              <w:jc w:val="center"/>
              <w:keepNext/>
            </w:pPr>
            <w:r>
              <w:rPr>
                <w:sz w:val="16"/>
              </w:rPr>
              <w:t>P2 with reverse selectivity direction</w:t>
            </w:r>
          </w:p>
        </w:tc>
      </w:tr>
      <w:tr>
        <w:trPr>
          <w:cantSplit/>
        </w:trPr>
        <w:tc>
          <w:tcPr>
            <w:tcW w:w="450" w:type="dxa"/>
          </w:tcPr>
          <w:p>
            <w:pPr>
              <w:spacing w:before="30" w:after="30"/>
              <w:jc w:val="center"/>
              <w:keepNext/>
            </w:pPr>
            <w:r>
              <w:rPr>
                <w:sz w:val="16"/>
              </w:rPr>
              <w:t>P5</w:t>
            </w:r>
          </w:p>
        </w:tc>
        <w:tc>
          <w:tcPr>
            <w:tcW w:w="4300" w:type="dxa"/>
          </w:tcPr>
          <w:p>
            <w:pPr>
              <w:spacing w:before="30" w:after="30"/>
              <w:jc w:val="center"/>
              <w:keepNext/>
            </w:pPr>
            <w:r>
              <w:rPr>
                <w:sz w:val="16"/>
              </w:rPr>
              <w:t>P2 with extra selectivity-dependent audits</w:t>
            </w:r>
          </w:p>
        </w:tc>
      </w:tr>
      <w:tr>
        <w:trPr>
          <w:cantSplit/>
        </w:trPr>
        <w:tc>
          <w:tcPr>
            <w:tcW w:w="450" w:type="dxa"/>
          </w:tcPr>
          <w:p>
            <w:pPr>
              <w:spacing w:before="30" w:after="30"/>
              <w:jc w:val="center"/>
            </w:pPr>
            <w:r>
              <w:rPr>
                <w:sz w:val="16"/>
              </w:rPr>
              <w:t>P6</w:t>
            </w:r>
          </w:p>
        </w:tc>
        <w:tc>
          <w:tcPr>
            <w:tcW w:w="4300" w:type="dxa"/>
          </w:tcPr>
          <w:p>
            <w:pPr>
              <w:spacing w:before="30" w:after="30"/>
              <w:jc w:val="center"/>
            </w:pPr>
            <w:r>
              <w:rPr>
                <w:sz w:val="16"/>
              </w:rPr>
              <w:t>Exact task, prompt, model and input key</w:t>
            </w:r>
          </w:p>
        </w:tc>
      </w:tr>
    </w:tbl>
    <w:p>
      <w:pPr>
        <w:pStyle w:val="tablefootnote"/>
        <w:numPr>
          <w:ilvl w:val="0"/>
          <w:numId w:val="0"/>
        </w:numPr>
      </w:pPr>
      <w:r>
        <w:t xml:space="preserve">P denotes policy. An audit is an inference, never a direct hit. All policies use the same dataset and query plans.</w:t>
      </w:r>
    </w:p>
    <w:p>
      <w:pPr>
        <w:pStyle w:val="BodyText"/>
      </w:pPr>
      <w:r>
        <w:t xml:space="preserve">Cache namespaces include dataset, predicate, prompt version, model settings, embedding identity and run. Events record stage selectivity, nearest score, region, decision reason, output, reference and timing. Failed inference never creates a cache answer. A local read-only interface exposes stage counts, decisions, figures and CSV tables; it consumes saved results without provider calls. Implementation and source-version details are retained in the artifact.</w:t>
      </w:r>
    </w:p>
    <w:p>
      <w:pPr>
        <w:pStyle w:val="Heading1"/>
        <w:numPr>
          <w:ilvl w:val="0"/>
          <w:numId w:val="25"/>
        </w:numPr>
      </w:pPr>
      <w:r>
        <w:t xml:space="preserve">Experimental Methodology</w:t>
      </w:r>
    </w:p>
    <w:p>
      <w:pPr>
        <w:pStyle w:val="Heading2"/>
        <w:numPr>
          <w:ilvl w:val="0"/>
          <w:numId w:val="30"/>
        </w:numPr>
      </w:pPr>
      <w:r>
        <w:t xml:space="preserve">Challenge data and reference standard</w:t>
      </w:r>
    </w:p>
    <w:p>
      <w:pPr>
        <w:pStyle w:val="BodyText"/>
      </w:pPr>
      <w:r>
        <w:t xml:space="preserve">The supplied CSV contains 363261 rows and 307953 canonical records after cleaning. Its upstream publisher and release are unknown. Normalized review-body hashes separate 64 validation and 96 test reviews, excluding the pilot. Eight equal challenge strata cover price/rating extremes, shipping, defect and sarcasm cues, and remaining rating groups. Cues select examples rather than assign labels. Review bodies are 20–1200 characters without truncation. This is a controlled stress workload over real text, rather than a production traffic trace or a prevalence sample.</w:t>
      </w:r>
    </w:p>
    <w:p>
      <w:pPr>
        <w:pStyle w:val="BodyText"/>
      </w:pPr>
      <w:r>
        <w:t xml:space="preserve">References are YES/NO outputs from Mistral ministral-3b-2512, temperature 0, seed 17, with a four-token response cap [28]. Prepared vectors use mistral-embed-2312 [29]. Only corrected prompt v2 is evaluated; a failed earlier prompt and its outputs are preserved separately. Validation positives are 21 defect, 15 sarcasm and 8 shipping; test positives are 24, 23 and 9. Accuracy against human labels is unknown. A 24-pair assistant check found 20 agreements among 22 scorable validation cases and two ambiguous cases. It supplies diagnostic observations rather than independent human annotation; no ambiguous labels were silently adjudicated or removed.</w:t>
      </w:r>
    </w:p>
    <w:p>
      <w:pPr>
        <w:pStyle w:val="Heading2"/>
        <w:numPr>
          <w:ilvl w:val="0"/>
          <w:numId w:val="30"/>
        </w:numPr>
      </w:pPr>
      <w:r>
        <w:t xml:space="preserve">Frozen evaluation and exploratory diagnostics</w:t>
      </w:r>
    </w:p>
    <w:p>
      <w:pPr>
        <w:pStyle w:val="BodyText"/>
      </w:pPr>
      <w:r>
        <w:t xml:space="preserve">Ten validation trials explored static thresholds, endpoints, exponents and posterior settings. None jointly reached the predeclared maximum 2% reuse error and minimum 90% query agreement. A fallback minimized incorrect direct hits, then calls. The chosen configuration, workload and model identities were frozen before test execution. The original suite contains 42 main runs (seven policies, cold/warm, seeds 17–19), 28 alternate-order runs and 40 one-factor runs, totaling 110 replay runs and 1320 measured query executions. Warm states have a separately logged population pass.</w:t>
      </w:r>
    </w:p>
    <w:p>
      <w:pPr>
        <w:pStyle w:val="BodyText"/>
      </w:pPr>
      <w:r>
        <w:t xml:space="preserve">The new calibration design was chosen after the original test result was inspected. It adds 42 post-hoc runs: six constant R3 thresholds (0.92, 0.96, 0.98, 0.99, 0.995, 1.0) and one selectivity rule, each cold/warm over three seeds. For that rule, the endpoints are the validation P2 cold R3 score quantiles q10 = 0.967664 and q90 = 1.0, from 206 events. Quantile levels were selected post hoc. The 504 additional query executions reuse the existing test cohort, not new independent samples. All original posterior settings are retained; no new API requests are made.</w:t>
      </w:r>
    </w:p>
    <w:p>
      <w:pPr>
        <w:pStyle w:val="BodyText"/>
      </w:pPr>
      <w:r>
        <w:t xml:space="preserve">Five live conditions evaluate P0/P2/P3 cold and P2/P3 warm. They provide deployment observations under sequential decisions within a run and up to three concurrent conditions. Both modes use precomputed vectors. The small, bounded model-reference study is sufficient to inspect activation and trajectories; estimating generalization requires larger independent data and human labels.</w:t>
      </w:r>
    </w:p>
    <w:p>
      <w:pPr>
        <w:pStyle w:val="Heading2"/>
        <w:numPr>
          <w:ilvl w:val="0"/>
          <w:numId w:val="30"/>
        </w:numPr>
      </w:pPr>
      <w:r>
        <w:t xml:space="preserve">Metrics and the 581-call denominator</w:t>
      </w:r>
    </w:p>
    <w:p>
      <w:pPr>
        <w:pStyle w:val="BodyText"/>
      </w:pPr>
      <w:r>
        <w:t xml:space="preserve">Incorrect direct hits disagree with saved model references. Reuse error divides that count by all direct hits and is undefined when there are no hits. Complete query row set agreement compares each final set of review IDs with the no-cache reference pipeline. Table II derives its inference denominator: 12 plans use three distinct semantic predicates and 14 declared semantic stages, one receiving zero rows.</w:t>
      </w:r>
    </w:p>
    <w:p>
      <w:pPr>
        <w:pStyle w:val="tablehead"/>
        <w:keepNext/>
        <w:numPr>
          <w:ilvl w:val="0"/>
          <w:numId w:val="0"/>
        </w:numPr>
      </w:pPr>
      <w:r>
        <w:t xml:space="preserve">TABLE II. NO-CACHE SEMANTIC STAGE INPUTS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2350"/>
        <w:gridCol w:w="600"/>
        <w:gridCol w:w="600"/>
        <w:gridCol w:w="600"/>
        <w:gridCol w:w="600"/>
      </w:tblGrid>
      <w:tr>
        <w:trPr>
          <w:cantSplit/>
          <w:tblHeader/>
        </w:trPr>
        <w:tc>
          <w:tcPr>
            <w:tcW w:w="2350" w:type="dxa"/>
          </w:tcPr>
          <w:p>
            <w:pPr>
              <w:spacing w:before="30" w:after="30"/>
              <w:jc w:val="center"/>
              <w:keepNext/>
            </w:pPr>
            <w:r>
              <w:rPr>
                <w:sz w:val="16"/>
                <w:b/>
              </w:rPr>
              <w:t>Query</w:t>
            </w:r>
          </w:p>
        </w:tc>
        <w:tc>
          <w:tcPr>
            <w:tcW w:w="600" w:type="dxa"/>
          </w:tcPr>
          <w:p>
            <w:pPr>
              <w:spacing w:before="30" w:after="30"/>
              <w:jc w:val="center"/>
              <w:keepNext/>
            </w:pPr>
            <w:r>
              <w:rPr>
                <w:sz w:val="16"/>
                <w:b/>
              </w:rPr>
              <w:t>Sh</w:t>
            </w:r>
          </w:p>
        </w:tc>
        <w:tc>
          <w:tcPr>
            <w:tcW w:w="600" w:type="dxa"/>
          </w:tcPr>
          <w:p>
            <w:pPr>
              <w:spacing w:before="30" w:after="30"/>
              <w:jc w:val="center"/>
              <w:keepNext/>
            </w:pPr>
            <w:r>
              <w:rPr>
                <w:sz w:val="16"/>
                <w:b/>
              </w:rPr>
              <w:t>De</w:t>
            </w:r>
          </w:p>
        </w:tc>
        <w:tc>
          <w:tcPr>
            <w:tcW w:w="600" w:type="dxa"/>
          </w:tcPr>
          <w:p>
            <w:pPr>
              <w:spacing w:before="30" w:after="30"/>
              <w:jc w:val="center"/>
              <w:keepNext/>
            </w:pPr>
            <w:r>
              <w:rPr>
                <w:sz w:val="16"/>
                <w:b/>
              </w:rPr>
              <w:t>Sa</w:t>
            </w:r>
          </w:p>
        </w:tc>
        <w:tc>
          <w:tcPr>
            <w:tcW w:w="600" w:type="dxa"/>
          </w:tcPr>
          <w:p>
            <w:pPr>
              <w:spacing w:before="30" w:after="30"/>
              <w:jc w:val="center"/>
              <w:keepNext/>
            </w:pPr>
            <w:r>
              <w:rPr>
                <w:sz w:val="16"/>
                <w:b/>
              </w:rPr>
              <w:t>Total</w:t>
            </w:r>
          </w:p>
        </w:tc>
      </w:tr>
      <w:tr>
        <w:trPr>
          <w:cantSplit/>
        </w:trPr>
        <w:tc>
          <w:tcPr>
            <w:tcW w:w="2350" w:type="dxa"/>
          </w:tcPr>
          <w:p>
            <w:pPr>
              <w:spacing w:before="30" w:after="30"/>
              <w:jc w:val="center"/>
              <w:keepNext/>
            </w:pPr>
            <w:r>
              <w:rPr>
                <w:sz w:val="16"/>
              </w:rPr>
              <w:t>Broad shipping</w:t>
            </w:r>
          </w:p>
        </w:tc>
        <w:tc>
          <w:tcPr>
            <w:tcW w:w="600" w:type="dxa"/>
          </w:tcPr>
          <w:p>
            <w:pPr>
              <w:spacing w:before="30" w:after="30"/>
              <w:jc w:val="center"/>
              <w:keepNext/>
            </w:pPr>
            <w:r>
              <w:rPr>
                <w:sz w:val="16"/>
              </w:rPr>
              <w:t>96</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96</w:t>
            </w:r>
          </w:p>
        </w:tc>
      </w:tr>
      <w:tr>
        <w:trPr>
          <w:cantSplit/>
        </w:trPr>
        <w:tc>
          <w:tcPr>
            <w:tcW w:w="2350" w:type="dxa"/>
          </w:tcPr>
          <w:p>
            <w:pPr>
              <w:spacing w:before="30" w:after="30"/>
              <w:jc w:val="center"/>
              <w:keepNext/>
            </w:pPr>
            <w:r>
              <w:rPr>
                <w:sz w:val="16"/>
              </w:rPr>
              <w:t>Broad defect</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96</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96</w:t>
            </w:r>
          </w:p>
        </w:tc>
      </w:tr>
      <w:tr>
        <w:trPr>
          <w:cantSplit/>
        </w:trPr>
        <w:tc>
          <w:tcPr>
            <w:tcW w:w="2350" w:type="dxa"/>
          </w:tcPr>
          <w:p>
            <w:pPr>
              <w:spacing w:before="30" w:after="30"/>
              <w:jc w:val="center"/>
              <w:keepNext/>
            </w:pPr>
            <w:r>
              <w:rPr>
                <w:sz w:val="16"/>
              </w:rPr>
              <w:t>Broad sarcasm</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96</w:t>
            </w:r>
          </w:p>
        </w:tc>
        <w:tc>
          <w:tcPr>
            <w:tcW w:w="600" w:type="dxa"/>
          </w:tcPr>
          <w:p>
            <w:pPr>
              <w:spacing w:before="30" w:after="30"/>
              <w:jc w:val="center"/>
              <w:keepNext/>
            </w:pPr>
            <w:r>
              <w:rPr>
                <w:sz w:val="16"/>
              </w:rPr>
              <w:t>96</w:t>
            </w:r>
          </w:p>
        </w:tc>
      </w:tr>
      <w:tr>
        <w:trPr>
          <w:cantSplit/>
        </w:trPr>
        <w:tc>
          <w:tcPr>
            <w:tcW w:w="2350" w:type="dxa"/>
          </w:tcPr>
          <w:p>
            <w:pPr>
              <w:spacing w:before="30" w:after="30"/>
              <w:jc w:val="center"/>
              <w:keepNext/>
            </w:pPr>
            <w:r>
              <w:rPr>
                <w:sz w:val="16"/>
              </w:rPr>
              <w:t>Low shipping</w:t>
            </w:r>
          </w:p>
        </w:tc>
        <w:tc>
          <w:tcPr>
            <w:tcW w:w="600" w:type="dxa"/>
          </w:tcPr>
          <w:p>
            <w:pPr>
              <w:spacing w:before="30" w:after="30"/>
              <w:jc w:val="center"/>
              <w:keepNext/>
            </w:pPr>
            <w:r>
              <w:rPr>
                <w:sz w:val="16"/>
              </w:rPr>
              <w:t>49</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49</w:t>
            </w:r>
          </w:p>
        </w:tc>
      </w:tr>
      <w:tr>
        <w:trPr>
          <w:cantSplit/>
        </w:trPr>
        <w:tc>
          <w:tcPr>
            <w:tcW w:w="2350" w:type="dxa"/>
          </w:tcPr>
          <w:p>
            <w:pPr>
              <w:spacing w:before="30" w:after="30"/>
              <w:jc w:val="center"/>
              <w:keepNext/>
            </w:pPr>
            <w:r>
              <w:rPr>
                <w:sz w:val="16"/>
              </w:rPr>
              <w:t>Low defect</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49</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49</w:t>
            </w:r>
          </w:p>
        </w:tc>
      </w:tr>
      <w:tr>
        <w:trPr>
          <w:cantSplit/>
        </w:trPr>
        <w:tc>
          <w:tcPr>
            <w:tcW w:w="2350" w:type="dxa"/>
          </w:tcPr>
          <w:p>
            <w:pPr>
              <w:spacing w:before="30" w:after="30"/>
              <w:jc w:val="center"/>
              <w:keepNext/>
            </w:pPr>
            <w:r>
              <w:rPr>
                <w:sz w:val="16"/>
              </w:rPr>
              <w:t>Rating 3 sarcasm</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16</w:t>
            </w:r>
          </w:p>
        </w:tc>
        <w:tc>
          <w:tcPr>
            <w:tcW w:w="600" w:type="dxa"/>
          </w:tcPr>
          <w:p>
            <w:pPr>
              <w:spacing w:before="30" w:after="30"/>
              <w:jc w:val="center"/>
              <w:keepNext/>
            </w:pPr>
            <w:r>
              <w:rPr>
                <w:sz w:val="16"/>
              </w:rPr>
              <w:t>16</w:t>
            </w:r>
          </w:p>
        </w:tc>
      </w:tr>
      <w:tr>
        <w:trPr>
          <w:cantSplit/>
        </w:trPr>
        <w:tc>
          <w:tcPr>
            <w:tcW w:w="2350" w:type="dxa"/>
          </w:tcPr>
          <w:p>
            <w:pPr>
              <w:spacing w:before="30" w:after="30"/>
              <w:jc w:val="center"/>
              <w:keepNext/>
            </w:pPr>
            <w:r>
              <w:rPr>
                <w:sz w:val="16"/>
              </w:rPr>
              <w:t>Cheap shipping</w:t>
            </w:r>
          </w:p>
        </w:tc>
        <w:tc>
          <w:tcPr>
            <w:tcW w:w="600" w:type="dxa"/>
          </w:tcPr>
          <w:p>
            <w:pPr>
              <w:spacing w:before="30" w:after="30"/>
              <w:jc w:val="center"/>
              <w:keepNext/>
            </w:pPr>
            <w:r>
              <w:rPr>
                <w:sz w:val="16"/>
              </w:rPr>
              <w:t>12</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12</w:t>
            </w:r>
          </w:p>
        </w:tc>
      </w:tr>
      <w:tr>
        <w:trPr>
          <w:cantSplit/>
        </w:trPr>
        <w:tc>
          <w:tcPr>
            <w:tcW w:w="2350" w:type="dxa"/>
          </w:tcPr>
          <w:p>
            <w:pPr>
              <w:spacing w:before="30" w:after="30"/>
              <w:jc w:val="center"/>
              <w:keepNext/>
            </w:pPr>
            <w:r>
              <w:rPr>
                <w:sz w:val="16"/>
              </w:rPr>
              <w:t>Expensive defect</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12</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12</w:t>
            </w:r>
          </w:p>
        </w:tc>
      </w:tr>
      <w:tr>
        <w:trPr>
          <w:cantSplit/>
        </w:trPr>
        <w:tc>
          <w:tcPr>
            <w:tcW w:w="2350" w:type="dxa"/>
          </w:tcPr>
          <w:p>
            <w:pPr>
              <w:spacing w:before="30" w:after="30"/>
              <w:jc w:val="center"/>
              <w:keepNext/>
            </w:pPr>
            <w:r>
              <w:rPr>
                <w:sz w:val="16"/>
              </w:rPr>
              <w:t>Empty shipping</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r>
      <w:tr>
        <w:trPr>
          <w:cantSplit/>
        </w:trPr>
        <w:tc>
          <w:tcPr>
            <w:tcW w:w="2350" w:type="dxa"/>
          </w:tcPr>
          <w:p>
            <w:pPr>
              <w:spacing w:before="30" w:after="30"/>
              <w:jc w:val="center"/>
              <w:keepNext/>
            </w:pPr>
            <w:r>
              <w:rPr>
                <w:sz w:val="16"/>
              </w:rPr>
              <w:t>Low defect then shipping</w:t>
            </w:r>
          </w:p>
        </w:tc>
        <w:tc>
          <w:tcPr>
            <w:tcW w:w="600" w:type="dxa"/>
          </w:tcPr>
          <w:p>
            <w:pPr>
              <w:spacing w:before="30" w:after="30"/>
              <w:jc w:val="center"/>
              <w:keepNext/>
            </w:pPr>
            <w:r>
              <w:rPr>
                <w:sz w:val="16"/>
              </w:rPr>
              <w:t>20</w:t>
            </w:r>
          </w:p>
        </w:tc>
        <w:tc>
          <w:tcPr>
            <w:tcW w:w="600" w:type="dxa"/>
          </w:tcPr>
          <w:p>
            <w:pPr>
              <w:spacing w:before="30" w:after="30"/>
              <w:jc w:val="center"/>
              <w:keepNext/>
            </w:pPr>
            <w:r>
              <w:rPr>
                <w:sz w:val="16"/>
              </w:rPr>
              <w:t>49</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69</w:t>
            </w:r>
          </w:p>
        </w:tc>
      </w:tr>
      <w:tr>
        <w:trPr>
          <w:cantSplit/>
        </w:trPr>
        <w:tc>
          <w:tcPr>
            <w:tcW w:w="2350" w:type="dxa"/>
          </w:tcPr>
          <w:p>
            <w:pPr>
              <w:spacing w:before="30" w:after="30"/>
              <w:jc w:val="center"/>
              <w:keepNext/>
            </w:pPr>
            <w:r>
              <w:rPr>
                <w:sz w:val="16"/>
              </w:rPr>
              <w:t>Repeat low shipping</w:t>
            </w:r>
          </w:p>
        </w:tc>
        <w:tc>
          <w:tcPr>
            <w:tcW w:w="600" w:type="dxa"/>
          </w:tcPr>
          <w:p>
            <w:pPr>
              <w:spacing w:before="30" w:after="30"/>
              <w:jc w:val="center"/>
              <w:keepNext/>
            </w:pPr>
            <w:r>
              <w:rPr>
                <w:sz w:val="16"/>
              </w:rPr>
              <w:t>49</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49</w:t>
            </w:r>
          </w:p>
        </w:tc>
      </w:tr>
      <w:tr>
        <w:trPr>
          <w:cantSplit/>
        </w:trPr>
        <w:tc>
          <w:tcPr>
            <w:tcW w:w="2350" w:type="dxa"/>
          </w:tcPr>
          <w:p>
            <w:pPr>
              <w:spacing w:before="30" w:after="30"/>
              <w:jc w:val="center"/>
              <w:keepNext/>
            </w:pPr>
            <w:r>
              <w:rPr>
                <w:sz w:val="16"/>
              </w:rPr>
              <w:t>High sarcasm then defect</w:t>
            </w:r>
          </w:p>
        </w:tc>
        <w:tc>
          <w:tcPr>
            <w:tcW w:w="600" w:type="dxa"/>
          </w:tcPr>
          <w:p>
            <w:pPr>
              <w:spacing w:before="30" w:after="30"/>
              <w:jc w:val="center"/>
              <w:keepNext/>
            </w:pPr>
            <w:r>
              <w:rPr>
                <w:sz w:val="16"/>
              </w:rPr>
              <w:t>0</w:t>
            </w:r>
          </w:p>
        </w:tc>
        <w:tc>
          <w:tcPr>
            <w:tcW w:w="600" w:type="dxa"/>
          </w:tcPr>
          <w:p>
            <w:pPr>
              <w:spacing w:before="30" w:after="30"/>
              <w:jc w:val="center"/>
              <w:keepNext/>
            </w:pPr>
            <w:r>
              <w:rPr>
                <w:sz w:val="16"/>
              </w:rPr>
              <w:t>6</w:t>
            </w:r>
          </w:p>
        </w:tc>
        <w:tc>
          <w:tcPr>
            <w:tcW w:w="600" w:type="dxa"/>
          </w:tcPr>
          <w:p>
            <w:pPr>
              <w:spacing w:before="30" w:after="30"/>
              <w:jc w:val="center"/>
              <w:keepNext/>
            </w:pPr>
            <w:r>
              <w:rPr>
                <w:sz w:val="16"/>
              </w:rPr>
              <w:t>31</w:t>
            </w:r>
          </w:p>
        </w:tc>
        <w:tc>
          <w:tcPr>
            <w:tcW w:w="600" w:type="dxa"/>
          </w:tcPr>
          <w:p>
            <w:pPr>
              <w:spacing w:before="30" w:after="30"/>
              <w:jc w:val="center"/>
              <w:keepNext/>
            </w:pPr>
            <w:r>
              <w:rPr>
                <w:sz w:val="16"/>
              </w:rPr>
              <w:t>37</w:t>
            </w:r>
          </w:p>
        </w:tc>
      </w:tr>
      <w:tr>
        <w:trPr>
          <w:cantSplit/>
        </w:trPr>
        <w:tc>
          <w:tcPr>
            <w:tcW w:w="2350" w:type="dxa"/>
          </w:tcPr>
          <w:p>
            <w:pPr>
              <w:spacing w:before="30" w:after="30"/>
              <w:jc w:val="center"/>
            </w:pPr>
            <w:r>
              <w:rPr>
                <w:sz w:val="16"/>
              </w:rPr>
              <w:t>Total</w:t>
            </w:r>
          </w:p>
        </w:tc>
        <w:tc>
          <w:tcPr>
            <w:tcW w:w="600" w:type="dxa"/>
          </w:tcPr>
          <w:p>
            <w:pPr>
              <w:spacing w:before="30" w:after="30"/>
              <w:jc w:val="center"/>
            </w:pPr>
            <w:r>
              <w:rPr>
                <w:sz w:val="16"/>
              </w:rPr>
              <w:t>226</w:t>
            </w:r>
          </w:p>
        </w:tc>
        <w:tc>
          <w:tcPr>
            <w:tcW w:w="600" w:type="dxa"/>
          </w:tcPr>
          <w:p>
            <w:pPr>
              <w:spacing w:before="30" w:after="30"/>
              <w:jc w:val="center"/>
            </w:pPr>
            <w:r>
              <w:rPr>
                <w:sz w:val="16"/>
              </w:rPr>
              <w:t>212</w:t>
            </w:r>
          </w:p>
        </w:tc>
        <w:tc>
          <w:tcPr>
            <w:tcW w:w="600" w:type="dxa"/>
          </w:tcPr>
          <w:p>
            <w:pPr>
              <w:spacing w:before="30" w:after="30"/>
              <w:jc w:val="center"/>
            </w:pPr>
            <w:r>
              <w:rPr>
                <w:sz w:val="16"/>
              </w:rPr>
              <w:t>143</w:t>
            </w:r>
          </w:p>
        </w:tc>
        <w:tc>
          <w:tcPr>
            <w:tcW w:w="600" w:type="dxa"/>
          </w:tcPr>
          <w:p>
            <w:pPr>
              <w:spacing w:before="30" w:after="30"/>
              <w:jc w:val="center"/>
            </w:pPr>
            <w:r>
              <w:rPr>
                <w:sz w:val="16"/>
              </w:rPr>
              <w:t>581</w:t>
            </w:r>
          </w:p>
        </w:tc>
      </w:tr>
    </w:tbl>
    <w:p>
      <w:pPr>
        <w:pStyle w:val="tablefootnote"/>
        <w:numPr>
          <w:ilvl w:val="0"/>
          <w:numId w:val="0"/>
        </w:numPr>
      </w:pPr>
      <w:r>
        <w:t xml:space="preserve">Sh, De and Sa are shipping, defect and sarcasm stage inputs. Total counts one simulated inference per input. In multi-predicate plans the second stage receives only reference-positive survivors.</w:t>
      </w:r>
    </w:p>
    <w:p>
      <w:pPr>
        <w:pStyle w:val="BodyText"/>
      </w:pPr>
      <w:r>
        <w:t xml:space="preserve">Call reduction is 100(581 − C)/581 for measured calls C. Earlier cache errors can change later-stage candidates, so policy candidate counts need not equal 581. Replay calls are simulated; live accounting records API request attempts. All replay summaries use mean ± sample standard deviation (SD) over three seeds. Agreement SD is in percentage points. These quantify sampling variation conditional on the same corpus, rather than population confidence.</w:t>
      </w:r>
    </w:p>
    <w:p>
      <w:pPr>
        <w:pStyle w:val="Heading1"/>
        <w:numPr>
          <w:ilvl w:val="0"/>
          <w:numId w:val="25"/>
        </w:numPr>
      </w:pPr>
      <w:r>
        <w:t xml:space="preserve">Results</w:t>
      </w:r>
    </w:p>
    <w:p>
      <w:pPr>
        <w:pStyle w:val="Heading2"/>
        <w:numPr>
          <w:ilvl w:val="0"/>
          <w:numId w:val="31"/>
        </w:numPr>
      </w:pPr>
      <w:r>
        <w:t xml:space="preserve">Original seven-policy replay</w:t>
      </w:r>
    </w:p>
    <w:p>
      <w:pPr>
        <w:pStyle w:val="BodyText"/>
      </w:pPr>
      <w:r>
        <w:t xml:space="preserve">Table III reports the original frozen main comparison. P2, P3 and P4 coincide. P2/P3 reduce simulated calls by 41.7% ± 13.3 points cold and 60.3% ± 6.1 points warm relative to 581. Exact-input P6 retains all reference result sets, benefiting from repeated inputs. P1 aggressively reduces inference at substantial reference disagreement. P5 adds audits, with fewer incorrect direct hits but changing hit denominators and result sets.</w:t>
      </w:r>
    </w:p>
    <w:p>
      <w:pPr>
        <w:pStyle w:val="tablehead"/>
        <w:keepNext/>
        <w:numPr>
          <w:ilvl w:val="0"/>
          <w:numId w:val="0"/>
        </w:numPr>
      </w:pPr>
      <w:r>
        <w:t xml:space="preserve">TABLE III. FROZEN REPLAY MEAN ± SD OVER THREE SEEDS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750"/>
        <w:gridCol w:w="1350"/>
        <w:gridCol w:w="1250"/>
        <w:gridCol w:w="1400"/>
      </w:tblGrid>
      <w:tr>
        <w:trPr>
          <w:cantSplit/>
          <w:tblHeader/>
        </w:trPr>
        <w:tc>
          <w:tcPr>
            <w:tcW w:w="750" w:type="dxa"/>
          </w:tcPr>
          <w:p>
            <w:pPr>
              <w:spacing w:before="30" w:after="30"/>
              <w:jc w:val="center"/>
              <w:keepNext/>
            </w:pPr>
            <w:r>
              <w:rPr>
                <w:sz w:val="16"/>
                <w:b/>
              </w:rPr>
              <w:t>P / state</w:t>
            </w:r>
          </w:p>
        </w:tc>
        <w:tc>
          <w:tcPr>
            <w:tcW w:w="1350" w:type="dxa"/>
          </w:tcPr>
          <w:p>
            <w:pPr>
              <w:spacing w:before="30" w:after="30"/>
              <w:jc w:val="center"/>
              <w:keepNext/>
            </w:pPr>
            <w:r>
              <w:rPr>
                <w:sz w:val="16"/>
                <w:b/>
              </w:rPr>
              <w:t>Calls</w:t>
            </w:r>
          </w:p>
        </w:tc>
        <w:tc>
          <w:tcPr>
            <w:tcW w:w="1250" w:type="dxa"/>
          </w:tcPr>
          <w:p>
            <w:pPr>
              <w:spacing w:before="30" w:after="30"/>
              <w:jc w:val="center"/>
              <w:keepNext/>
            </w:pPr>
            <w:r>
              <w:rPr>
                <w:sz w:val="16"/>
                <w:b/>
              </w:rPr>
              <w:t>IDH</w:t>
            </w:r>
          </w:p>
        </w:tc>
        <w:tc>
          <w:tcPr>
            <w:tcW w:w="1400" w:type="dxa"/>
          </w:tcPr>
          <w:p>
            <w:pPr>
              <w:spacing w:before="30" w:after="30"/>
              <w:jc w:val="center"/>
              <w:keepNext/>
            </w:pPr>
            <w:r>
              <w:rPr>
                <w:sz w:val="16"/>
                <w:b/>
              </w:rPr>
              <w:t>Set %</w:t>
            </w:r>
          </w:p>
        </w:tc>
      </w:tr>
      <w:tr>
        <w:trPr>
          <w:cantSplit/>
        </w:trPr>
        <w:tc>
          <w:tcPr>
            <w:tcW w:w="750" w:type="dxa"/>
          </w:tcPr>
          <w:p>
            <w:pPr>
              <w:spacing w:before="30" w:after="30"/>
              <w:jc w:val="center"/>
              <w:keepNext/>
            </w:pPr>
            <w:r>
              <w:rPr>
                <w:sz w:val="16"/>
              </w:rPr>
              <w:t>P0 C</w:t>
            </w:r>
          </w:p>
        </w:tc>
        <w:tc>
          <w:tcPr>
            <w:tcW w:w="1350" w:type="dxa"/>
          </w:tcPr>
          <w:p>
            <w:pPr>
              <w:spacing w:before="30" w:after="30"/>
              <w:jc w:val="center"/>
              <w:keepNext/>
            </w:pPr>
            <w:r>
              <w:rPr>
                <w:sz w:val="16"/>
              </w:rPr>
              <w:t>581.0 ± 0.0</w:t>
            </w:r>
          </w:p>
        </w:tc>
        <w:tc>
          <w:tcPr>
            <w:tcW w:w="1250" w:type="dxa"/>
          </w:tcPr>
          <w:p>
            <w:pPr>
              <w:spacing w:before="30" w:after="30"/>
              <w:jc w:val="center"/>
              <w:keepNext/>
            </w:pPr>
            <w:r>
              <w:rPr>
                <w:sz w:val="16"/>
              </w:rPr>
              <w:t>0.0 ± 0.0</w:t>
            </w:r>
          </w:p>
        </w:tc>
        <w:tc>
          <w:tcPr>
            <w:tcW w:w="1400" w:type="dxa"/>
          </w:tcPr>
          <w:p>
            <w:pPr>
              <w:spacing w:before="30" w:after="30"/>
              <w:jc w:val="center"/>
              <w:keepNext/>
            </w:pPr>
            <w:r>
              <w:rPr>
                <w:sz w:val="16"/>
              </w:rPr>
              <w:t>100.0 ± 0.0</w:t>
            </w:r>
          </w:p>
        </w:tc>
      </w:tr>
      <w:tr>
        <w:trPr>
          <w:cantSplit/>
        </w:trPr>
        <w:tc>
          <w:tcPr>
            <w:tcW w:w="750" w:type="dxa"/>
          </w:tcPr>
          <w:p>
            <w:pPr>
              <w:spacing w:before="30" w:after="30"/>
              <w:jc w:val="center"/>
              <w:keepNext/>
            </w:pPr>
            <w:r>
              <w:rPr>
                <w:sz w:val="16"/>
              </w:rPr>
              <w:t>P1 C</w:t>
            </w:r>
          </w:p>
        </w:tc>
        <w:tc>
          <w:tcPr>
            <w:tcW w:w="1350" w:type="dxa"/>
          </w:tcPr>
          <w:p>
            <w:pPr>
              <w:spacing w:before="30" w:after="30"/>
              <w:jc w:val="center"/>
              <w:keepNext/>
            </w:pPr>
            <w:r>
              <w:rPr>
                <w:sz w:val="16"/>
              </w:rPr>
              <w:t>35.0 ± 0.0</w:t>
            </w:r>
          </w:p>
        </w:tc>
        <w:tc>
          <w:tcPr>
            <w:tcW w:w="1250" w:type="dxa"/>
          </w:tcPr>
          <w:p>
            <w:pPr>
              <w:spacing w:before="30" w:after="30"/>
              <w:jc w:val="center"/>
              <w:keepNext/>
            </w:pPr>
            <w:r>
              <w:rPr>
                <w:sz w:val="16"/>
              </w:rPr>
              <w:t>138.0 ± 0.0</w:t>
            </w:r>
          </w:p>
        </w:tc>
        <w:tc>
          <w:tcPr>
            <w:tcW w:w="1400" w:type="dxa"/>
          </w:tcPr>
          <w:p>
            <w:pPr>
              <w:spacing w:before="30" w:after="30"/>
              <w:jc w:val="center"/>
              <w:keepNext/>
            </w:pPr>
            <w:r>
              <w:rPr>
                <w:sz w:val="16"/>
              </w:rPr>
              <w:t>8.3 ± 0.0</w:t>
            </w:r>
          </w:p>
        </w:tc>
      </w:tr>
      <w:tr>
        <w:trPr>
          <w:cantSplit/>
        </w:trPr>
        <w:tc>
          <w:tcPr>
            <w:tcW w:w="750" w:type="dxa"/>
          </w:tcPr>
          <w:p>
            <w:pPr>
              <w:spacing w:before="30" w:after="30"/>
              <w:jc w:val="center"/>
              <w:keepNext/>
            </w:pPr>
            <w:r>
              <w:rPr>
                <w:sz w:val="16"/>
              </w:rPr>
              <w:t>P2 C</w:t>
            </w:r>
          </w:p>
        </w:tc>
        <w:tc>
          <w:tcPr>
            <w:tcW w:w="1350" w:type="dxa"/>
          </w:tcPr>
          <w:p>
            <w:pPr>
              <w:spacing w:before="30" w:after="30"/>
              <w:jc w:val="center"/>
              <w:keepNext/>
            </w:pPr>
            <w:r>
              <w:rPr>
                <w:sz w:val="16"/>
              </w:rPr>
              <w:t>338.7 ± 77.5</w:t>
            </w:r>
          </w:p>
        </w:tc>
        <w:tc>
          <w:tcPr>
            <w:tcW w:w="1250" w:type="dxa"/>
          </w:tcPr>
          <w:p>
            <w:pPr>
              <w:spacing w:before="30" w:after="30"/>
              <w:jc w:val="center"/>
              <w:keepNext/>
            </w:pPr>
            <w:r>
              <w:rPr>
                <w:sz w:val="16"/>
              </w:rPr>
              <w:t>27.0 ± 15.7</w:t>
            </w:r>
          </w:p>
        </w:tc>
        <w:tc>
          <w:tcPr>
            <w:tcW w:w="1400" w:type="dxa"/>
          </w:tcPr>
          <w:p>
            <w:pPr>
              <w:spacing w:before="30" w:after="30"/>
              <w:jc w:val="center"/>
              <w:keepNext/>
            </w:pPr>
            <w:r>
              <w:rPr>
                <w:sz w:val="16"/>
              </w:rPr>
              <w:t>52.8 ± 21.0</w:t>
            </w:r>
          </w:p>
        </w:tc>
      </w:tr>
      <w:tr>
        <w:trPr>
          <w:cantSplit/>
        </w:trPr>
        <w:tc>
          <w:tcPr>
            <w:tcW w:w="750" w:type="dxa"/>
          </w:tcPr>
          <w:p>
            <w:pPr>
              <w:spacing w:before="30" w:after="30"/>
              <w:jc w:val="center"/>
              <w:keepNext/>
            </w:pPr>
            <w:r>
              <w:rPr>
                <w:sz w:val="16"/>
              </w:rPr>
              <w:t>P3 C</w:t>
            </w:r>
          </w:p>
        </w:tc>
        <w:tc>
          <w:tcPr>
            <w:tcW w:w="1350" w:type="dxa"/>
          </w:tcPr>
          <w:p>
            <w:pPr>
              <w:spacing w:before="30" w:after="30"/>
              <w:jc w:val="center"/>
              <w:keepNext/>
            </w:pPr>
            <w:r>
              <w:rPr>
                <w:sz w:val="16"/>
              </w:rPr>
              <w:t>338.7 ± 77.5</w:t>
            </w:r>
          </w:p>
        </w:tc>
        <w:tc>
          <w:tcPr>
            <w:tcW w:w="1250" w:type="dxa"/>
          </w:tcPr>
          <w:p>
            <w:pPr>
              <w:spacing w:before="30" w:after="30"/>
              <w:jc w:val="center"/>
              <w:keepNext/>
            </w:pPr>
            <w:r>
              <w:rPr>
                <w:sz w:val="16"/>
              </w:rPr>
              <w:t>27.0 ± 15.7</w:t>
            </w:r>
          </w:p>
        </w:tc>
        <w:tc>
          <w:tcPr>
            <w:tcW w:w="1400" w:type="dxa"/>
          </w:tcPr>
          <w:p>
            <w:pPr>
              <w:spacing w:before="30" w:after="30"/>
              <w:jc w:val="center"/>
              <w:keepNext/>
            </w:pPr>
            <w:r>
              <w:rPr>
                <w:sz w:val="16"/>
              </w:rPr>
              <w:t>52.8 ± 21.0</w:t>
            </w:r>
          </w:p>
        </w:tc>
      </w:tr>
      <w:tr>
        <w:trPr>
          <w:cantSplit/>
        </w:trPr>
        <w:tc>
          <w:tcPr>
            <w:tcW w:w="750" w:type="dxa"/>
          </w:tcPr>
          <w:p>
            <w:pPr>
              <w:spacing w:before="30" w:after="30"/>
              <w:jc w:val="center"/>
              <w:keepNext/>
            </w:pPr>
            <w:r>
              <w:rPr>
                <w:sz w:val="16"/>
              </w:rPr>
              <w:t>P4 C</w:t>
            </w:r>
          </w:p>
        </w:tc>
        <w:tc>
          <w:tcPr>
            <w:tcW w:w="1350" w:type="dxa"/>
          </w:tcPr>
          <w:p>
            <w:pPr>
              <w:spacing w:before="30" w:after="30"/>
              <w:jc w:val="center"/>
              <w:keepNext/>
            </w:pPr>
            <w:r>
              <w:rPr>
                <w:sz w:val="16"/>
              </w:rPr>
              <w:t>338.7 ± 77.5</w:t>
            </w:r>
          </w:p>
        </w:tc>
        <w:tc>
          <w:tcPr>
            <w:tcW w:w="1250" w:type="dxa"/>
          </w:tcPr>
          <w:p>
            <w:pPr>
              <w:spacing w:before="30" w:after="30"/>
              <w:jc w:val="center"/>
              <w:keepNext/>
            </w:pPr>
            <w:r>
              <w:rPr>
                <w:sz w:val="16"/>
              </w:rPr>
              <w:t>27.0 ± 15.7</w:t>
            </w:r>
          </w:p>
        </w:tc>
        <w:tc>
          <w:tcPr>
            <w:tcW w:w="1400" w:type="dxa"/>
          </w:tcPr>
          <w:p>
            <w:pPr>
              <w:spacing w:before="30" w:after="30"/>
              <w:jc w:val="center"/>
              <w:keepNext/>
            </w:pPr>
            <w:r>
              <w:rPr>
                <w:sz w:val="16"/>
              </w:rPr>
              <w:t>52.8 ± 21.0</w:t>
            </w:r>
          </w:p>
        </w:tc>
      </w:tr>
      <w:tr>
        <w:trPr>
          <w:cantSplit/>
        </w:trPr>
        <w:tc>
          <w:tcPr>
            <w:tcW w:w="750" w:type="dxa"/>
          </w:tcPr>
          <w:p>
            <w:pPr>
              <w:spacing w:before="30" w:after="30"/>
              <w:jc w:val="center"/>
              <w:keepNext/>
            </w:pPr>
            <w:r>
              <w:rPr>
                <w:sz w:val="16"/>
              </w:rPr>
              <w:t>P5 C</w:t>
            </w:r>
          </w:p>
        </w:tc>
        <w:tc>
          <w:tcPr>
            <w:tcW w:w="1350" w:type="dxa"/>
          </w:tcPr>
          <w:p>
            <w:pPr>
              <w:spacing w:before="30" w:after="30"/>
              <w:jc w:val="center"/>
              <w:keepNext/>
            </w:pPr>
            <w:r>
              <w:rPr>
                <w:sz w:val="16"/>
              </w:rPr>
              <w:t>406.3 ± 18.2</w:t>
            </w:r>
          </w:p>
        </w:tc>
        <w:tc>
          <w:tcPr>
            <w:tcW w:w="1250" w:type="dxa"/>
          </w:tcPr>
          <w:p>
            <w:pPr>
              <w:spacing w:before="30" w:after="30"/>
              <w:jc w:val="center"/>
              <w:keepNext/>
            </w:pPr>
            <w:r>
              <w:rPr>
                <w:sz w:val="16"/>
              </w:rPr>
              <w:t>22.0 ± 3.6</w:t>
            </w:r>
          </w:p>
        </w:tc>
        <w:tc>
          <w:tcPr>
            <w:tcW w:w="1400" w:type="dxa"/>
          </w:tcPr>
          <w:p>
            <w:pPr>
              <w:spacing w:before="30" w:after="30"/>
              <w:jc w:val="center"/>
              <w:keepNext/>
            </w:pPr>
            <w:r>
              <w:rPr>
                <w:sz w:val="16"/>
              </w:rPr>
              <w:t>50.0 ± 0.0</w:t>
            </w:r>
          </w:p>
        </w:tc>
      </w:tr>
      <w:tr>
        <w:trPr>
          <w:cantSplit/>
        </w:trPr>
        <w:tc>
          <w:tcPr>
            <w:tcW w:w="750" w:type="dxa"/>
          </w:tcPr>
          <w:p>
            <w:pPr>
              <w:spacing w:before="30" w:after="30"/>
              <w:jc w:val="center"/>
              <w:keepNext/>
            </w:pPr>
            <w:r>
              <w:rPr>
                <w:sz w:val="16"/>
              </w:rPr>
              <w:t>P6 C</w:t>
            </w:r>
          </w:p>
        </w:tc>
        <w:tc>
          <w:tcPr>
            <w:tcW w:w="1350" w:type="dxa"/>
          </w:tcPr>
          <w:p>
            <w:pPr>
              <w:spacing w:before="30" w:after="30"/>
              <w:jc w:val="center"/>
              <w:keepNext/>
            </w:pPr>
            <w:r>
              <w:rPr>
                <w:sz w:val="16"/>
              </w:rPr>
              <w:t>288.0 ± 0.0</w:t>
            </w:r>
          </w:p>
        </w:tc>
        <w:tc>
          <w:tcPr>
            <w:tcW w:w="1250" w:type="dxa"/>
          </w:tcPr>
          <w:p>
            <w:pPr>
              <w:spacing w:before="30" w:after="30"/>
              <w:jc w:val="center"/>
              <w:keepNext/>
            </w:pPr>
            <w:r>
              <w:rPr>
                <w:sz w:val="16"/>
              </w:rPr>
              <w:t>0.0 ± 0.0</w:t>
            </w:r>
          </w:p>
        </w:tc>
        <w:tc>
          <w:tcPr>
            <w:tcW w:w="1400" w:type="dxa"/>
          </w:tcPr>
          <w:p>
            <w:pPr>
              <w:spacing w:before="30" w:after="30"/>
              <w:jc w:val="center"/>
              <w:keepNext/>
            </w:pPr>
            <w:r>
              <w:rPr>
                <w:sz w:val="16"/>
              </w:rPr>
              <w:t>100.0 ± 0.0</w:t>
            </w:r>
          </w:p>
        </w:tc>
      </w:tr>
      <w:tr>
        <w:trPr>
          <w:cantSplit/>
        </w:trPr>
        <w:tc>
          <w:tcPr>
            <w:tcW w:w="750" w:type="dxa"/>
          </w:tcPr>
          <w:p>
            <w:pPr>
              <w:spacing w:before="30" w:after="30"/>
              <w:jc w:val="center"/>
              <w:keepNext/>
            </w:pPr>
            <w:r>
              <w:rPr>
                <w:sz w:val="16"/>
              </w:rPr>
              <w:t>P0 W</w:t>
            </w:r>
          </w:p>
        </w:tc>
        <w:tc>
          <w:tcPr>
            <w:tcW w:w="1350" w:type="dxa"/>
          </w:tcPr>
          <w:p>
            <w:pPr>
              <w:spacing w:before="30" w:after="30"/>
              <w:jc w:val="center"/>
              <w:keepNext/>
            </w:pPr>
            <w:r>
              <w:rPr>
                <w:sz w:val="16"/>
              </w:rPr>
              <w:t>581.0 ± 0.0</w:t>
            </w:r>
          </w:p>
        </w:tc>
        <w:tc>
          <w:tcPr>
            <w:tcW w:w="1250" w:type="dxa"/>
          </w:tcPr>
          <w:p>
            <w:pPr>
              <w:spacing w:before="30" w:after="30"/>
              <w:jc w:val="center"/>
              <w:keepNext/>
            </w:pPr>
            <w:r>
              <w:rPr>
                <w:sz w:val="16"/>
              </w:rPr>
              <w:t>0.0 ± 0.0</w:t>
            </w:r>
          </w:p>
        </w:tc>
        <w:tc>
          <w:tcPr>
            <w:tcW w:w="1400" w:type="dxa"/>
          </w:tcPr>
          <w:p>
            <w:pPr>
              <w:spacing w:before="30" w:after="30"/>
              <w:jc w:val="center"/>
              <w:keepNext/>
            </w:pPr>
            <w:r>
              <w:rPr>
                <w:sz w:val="16"/>
              </w:rPr>
              <w:t>100.0 ± 0.0</w:t>
            </w:r>
          </w:p>
        </w:tc>
      </w:tr>
      <w:tr>
        <w:trPr>
          <w:cantSplit/>
        </w:trPr>
        <w:tc>
          <w:tcPr>
            <w:tcW w:w="750" w:type="dxa"/>
          </w:tcPr>
          <w:p>
            <w:pPr>
              <w:spacing w:before="30" w:after="30"/>
              <w:jc w:val="center"/>
              <w:keepNext/>
            </w:pPr>
            <w:r>
              <w:rPr>
                <w:sz w:val="16"/>
              </w:rPr>
              <w:t>P1 W</w:t>
            </w:r>
          </w:p>
        </w:tc>
        <w:tc>
          <w:tcPr>
            <w:tcW w:w="1350" w:type="dxa"/>
          </w:tcPr>
          <w:p>
            <w:pPr>
              <w:spacing w:before="30" w:after="30"/>
              <w:jc w:val="center"/>
              <w:keepNext/>
            </w:pPr>
            <w:r>
              <w:rPr>
                <w:sz w:val="16"/>
              </w:rPr>
              <w:t>0.0 ± 0.0</w:t>
            </w:r>
          </w:p>
        </w:tc>
        <w:tc>
          <w:tcPr>
            <w:tcW w:w="1250" w:type="dxa"/>
          </w:tcPr>
          <w:p>
            <w:pPr>
              <w:spacing w:before="30" w:after="30"/>
              <w:jc w:val="center"/>
              <w:keepNext/>
            </w:pPr>
            <w:r>
              <w:rPr>
                <w:sz w:val="16"/>
              </w:rPr>
              <w:t>138.0 ± 0.0</w:t>
            </w:r>
          </w:p>
        </w:tc>
        <w:tc>
          <w:tcPr>
            <w:tcW w:w="1400" w:type="dxa"/>
          </w:tcPr>
          <w:p>
            <w:pPr>
              <w:spacing w:before="30" w:after="30"/>
              <w:jc w:val="center"/>
              <w:keepNext/>
            </w:pPr>
            <w:r>
              <w:rPr>
                <w:sz w:val="16"/>
              </w:rPr>
              <w:t>8.3 ± 0.0</w:t>
            </w:r>
          </w:p>
        </w:tc>
      </w:tr>
      <w:tr>
        <w:trPr>
          <w:cantSplit/>
        </w:trPr>
        <w:tc>
          <w:tcPr>
            <w:tcW w:w="750" w:type="dxa"/>
          </w:tcPr>
          <w:p>
            <w:pPr>
              <w:spacing w:before="30" w:after="30"/>
              <w:jc w:val="center"/>
              <w:keepNext/>
            </w:pPr>
            <w:r>
              <w:rPr>
                <w:sz w:val="16"/>
              </w:rPr>
              <w:t>P2 W</w:t>
            </w:r>
          </w:p>
        </w:tc>
        <w:tc>
          <w:tcPr>
            <w:tcW w:w="1350" w:type="dxa"/>
          </w:tcPr>
          <w:p>
            <w:pPr>
              <w:spacing w:before="30" w:after="30"/>
              <w:jc w:val="center"/>
              <w:keepNext/>
            </w:pPr>
            <w:r>
              <w:rPr>
                <w:sz w:val="16"/>
              </w:rPr>
              <w:t>230.7 ± 35.3</w:t>
            </w:r>
          </w:p>
        </w:tc>
        <w:tc>
          <w:tcPr>
            <w:tcW w:w="1250" w:type="dxa"/>
          </w:tcPr>
          <w:p>
            <w:pPr>
              <w:spacing w:before="30" w:after="30"/>
              <w:jc w:val="center"/>
              <w:keepNext/>
            </w:pPr>
            <w:r>
              <w:rPr>
                <w:sz w:val="16"/>
              </w:rPr>
              <w:t>15.3 ± 9.6</w:t>
            </w:r>
          </w:p>
        </w:tc>
        <w:tc>
          <w:tcPr>
            <w:tcW w:w="1400" w:type="dxa"/>
          </w:tcPr>
          <w:p>
            <w:pPr>
              <w:spacing w:before="30" w:after="30"/>
              <w:jc w:val="center"/>
              <w:keepNext/>
            </w:pPr>
            <w:r>
              <w:rPr>
                <w:sz w:val="16"/>
              </w:rPr>
              <w:t>61.1 ± 21.0</w:t>
            </w:r>
          </w:p>
        </w:tc>
      </w:tr>
      <w:tr>
        <w:trPr>
          <w:cantSplit/>
        </w:trPr>
        <w:tc>
          <w:tcPr>
            <w:tcW w:w="750" w:type="dxa"/>
          </w:tcPr>
          <w:p>
            <w:pPr>
              <w:spacing w:before="30" w:after="30"/>
              <w:jc w:val="center"/>
              <w:keepNext/>
            </w:pPr>
            <w:r>
              <w:rPr>
                <w:sz w:val="16"/>
              </w:rPr>
              <w:t>P3 W</w:t>
            </w:r>
          </w:p>
        </w:tc>
        <w:tc>
          <w:tcPr>
            <w:tcW w:w="1350" w:type="dxa"/>
          </w:tcPr>
          <w:p>
            <w:pPr>
              <w:spacing w:before="30" w:after="30"/>
              <w:jc w:val="center"/>
              <w:keepNext/>
            </w:pPr>
            <w:r>
              <w:rPr>
                <w:sz w:val="16"/>
              </w:rPr>
              <w:t>230.7 ± 35.3</w:t>
            </w:r>
          </w:p>
        </w:tc>
        <w:tc>
          <w:tcPr>
            <w:tcW w:w="1250" w:type="dxa"/>
          </w:tcPr>
          <w:p>
            <w:pPr>
              <w:spacing w:before="30" w:after="30"/>
              <w:jc w:val="center"/>
              <w:keepNext/>
            </w:pPr>
            <w:r>
              <w:rPr>
                <w:sz w:val="16"/>
              </w:rPr>
              <w:t>15.3 ± 9.6</w:t>
            </w:r>
          </w:p>
        </w:tc>
        <w:tc>
          <w:tcPr>
            <w:tcW w:w="1400" w:type="dxa"/>
          </w:tcPr>
          <w:p>
            <w:pPr>
              <w:spacing w:before="30" w:after="30"/>
              <w:jc w:val="center"/>
              <w:keepNext/>
            </w:pPr>
            <w:r>
              <w:rPr>
                <w:sz w:val="16"/>
              </w:rPr>
              <w:t>61.1 ± 21.0</w:t>
            </w:r>
          </w:p>
        </w:tc>
      </w:tr>
      <w:tr>
        <w:trPr>
          <w:cantSplit/>
        </w:trPr>
        <w:tc>
          <w:tcPr>
            <w:tcW w:w="750" w:type="dxa"/>
          </w:tcPr>
          <w:p>
            <w:pPr>
              <w:spacing w:before="30" w:after="30"/>
              <w:jc w:val="center"/>
              <w:keepNext/>
            </w:pPr>
            <w:r>
              <w:rPr>
                <w:sz w:val="16"/>
              </w:rPr>
              <w:t>P4 W</w:t>
            </w:r>
          </w:p>
        </w:tc>
        <w:tc>
          <w:tcPr>
            <w:tcW w:w="1350" w:type="dxa"/>
          </w:tcPr>
          <w:p>
            <w:pPr>
              <w:spacing w:before="30" w:after="30"/>
              <w:jc w:val="center"/>
              <w:keepNext/>
            </w:pPr>
            <w:r>
              <w:rPr>
                <w:sz w:val="16"/>
              </w:rPr>
              <w:t>230.7 ± 35.3</w:t>
            </w:r>
          </w:p>
        </w:tc>
        <w:tc>
          <w:tcPr>
            <w:tcW w:w="1250" w:type="dxa"/>
          </w:tcPr>
          <w:p>
            <w:pPr>
              <w:spacing w:before="30" w:after="30"/>
              <w:jc w:val="center"/>
              <w:keepNext/>
            </w:pPr>
            <w:r>
              <w:rPr>
                <w:sz w:val="16"/>
              </w:rPr>
              <w:t>15.3 ± 9.6</w:t>
            </w:r>
          </w:p>
        </w:tc>
        <w:tc>
          <w:tcPr>
            <w:tcW w:w="1400" w:type="dxa"/>
          </w:tcPr>
          <w:p>
            <w:pPr>
              <w:spacing w:before="30" w:after="30"/>
              <w:jc w:val="center"/>
              <w:keepNext/>
            </w:pPr>
            <w:r>
              <w:rPr>
                <w:sz w:val="16"/>
              </w:rPr>
              <w:t>61.1 ± 21.0</w:t>
            </w:r>
          </w:p>
        </w:tc>
      </w:tr>
      <w:tr>
        <w:trPr>
          <w:cantSplit/>
        </w:trPr>
        <w:tc>
          <w:tcPr>
            <w:tcW w:w="750" w:type="dxa"/>
          </w:tcPr>
          <w:p>
            <w:pPr>
              <w:spacing w:before="30" w:after="30"/>
              <w:jc w:val="center"/>
              <w:keepNext/>
            </w:pPr>
            <w:r>
              <w:rPr>
                <w:sz w:val="16"/>
              </w:rPr>
              <w:t>P5 W</w:t>
            </w:r>
          </w:p>
        </w:tc>
        <w:tc>
          <w:tcPr>
            <w:tcW w:w="1350" w:type="dxa"/>
          </w:tcPr>
          <w:p>
            <w:pPr>
              <w:spacing w:before="30" w:after="30"/>
              <w:jc w:val="center"/>
              <w:keepNext/>
            </w:pPr>
            <w:r>
              <w:rPr>
                <w:sz w:val="16"/>
              </w:rPr>
              <w:t>338.3 ± 22.4</w:t>
            </w:r>
          </w:p>
        </w:tc>
        <w:tc>
          <w:tcPr>
            <w:tcW w:w="1250" w:type="dxa"/>
          </w:tcPr>
          <w:p>
            <w:pPr>
              <w:spacing w:before="30" w:after="30"/>
              <w:jc w:val="center"/>
              <w:keepNext/>
            </w:pPr>
            <w:r>
              <w:rPr>
                <w:sz w:val="16"/>
              </w:rPr>
              <w:t>7.3 ± 1.2</w:t>
            </w:r>
          </w:p>
        </w:tc>
        <w:tc>
          <w:tcPr>
            <w:tcW w:w="1400" w:type="dxa"/>
          </w:tcPr>
          <w:p>
            <w:pPr>
              <w:spacing w:before="30" w:after="30"/>
              <w:jc w:val="center"/>
              <w:keepNext/>
            </w:pPr>
            <w:r>
              <w:rPr>
                <w:sz w:val="16"/>
              </w:rPr>
              <w:t>72.2 ± 12.7</w:t>
            </w:r>
          </w:p>
        </w:tc>
      </w:tr>
      <w:tr>
        <w:trPr>
          <w:cantSplit/>
        </w:trPr>
        <w:tc>
          <w:tcPr>
            <w:tcW w:w="750" w:type="dxa"/>
          </w:tcPr>
          <w:p>
            <w:pPr>
              <w:spacing w:before="30" w:after="30"/>
              <w:jc w:val="center"/>
            </w:pPr>
            <w:r>
              <w:rPr>
                <w:sz w:val="16"/>
              </w:rPr>
              <w:t>P6 W</w:t>
            </w:r>
          </w:p>
        </w:tc>
        <w:tc>
          <w:tcPr>
            <w:tcW w:w="1350" w:type="dxa"/>
          </w:tcPr>
          <w:p>
            <w:pPr>
              <w:spacing w:before="30" w:after="30"/>
              <w:jc w:val="center"/>
            </w:pPr>
            <w:r>
              <w:rPr>
                <w:sz w:val="16"/>
              </w:rPr>
              <w:t>0.0 ± 0.0</w:t>
            </w:r>
          </w:p>
        </w:tc>
        <w:tc>
          <w:tcPr>
            <w:tcW w:w="1250" w:type="dxa"/>
          </w:tcPr>
          <w:p>
            <w:pPr>
              <w:spacing w:before="30" w:after="30"/>
              <w:jc w:val="center"/>
            </w:pPr>
            <w:r>
              <w:rPr>
                <w:sz w:val="16"/>
              </w:rPr>
              <w:t>0.0 ± 0.0</w:t>
            </w:r>
          </w:p>
        </w:tc>
        <w:tc>
          <w:tcPr>
            <w:tcW w:w="1400" w:type="dxa"/>
          </w:tcPr>
          <w:p>
            <w:pPr>
              <w:spacing w:before="30" w:after="30"/>
              <w:jc w:val="center"/>
            </w:pPr>
            <w:r>
              <w:rPr>
                <w:sz w:val="16"/>
              </w:rPr>
              <w:t>100.0 ± 0.0</w:t>
            </w:r>
          </w:p>
        </w:tc>
      </w:tr>
    </w:tbl>
    <w:p>
      <w:pPr>
        <w:pStyle w:val="tablefootnote"/>
        <w:numPr>
          <w:ilvl w:val="0"/>
          <w:numId w:val="0"/>
        </w:numPr>
      </w:pPr>
      <w:r>
        <w:t xml:space="preserve">P is policy; C/W are cold/warm. Calls are measured simulated inference calls, excluding warmup. IDH means incorrect direct hits. Set % is complete query row set agreement as a percentage; its SD is in percentage points.</w:t>
      </w:r>
    </w:p>
    <w:p>
      <w:pPr>
        <w:pStyle w:val="BodyText"/>
      </w:pPr>
      <w:r>
        <w:t xml:space="preserve">Across all six paired main seed/state conditions, P3 minus P2 is zero for calls, incorrect direct hits and result agreement. Their mean reuse error is 10.8% cold and 4.4% warm. The absence of extra checks identifies the need to inspect the eligible score range before interpreting this as a test of selectivity information.</w:t>
      </w:r>
    </w:p>
    <w:p>
      <w:pPr>
        <w:pStyle w:val="Heading2"/>
        <w:numPr>
          <w:ilvl w:val="0"/>
          <w:numId w:val="31"/>
        </w:numPr>
      </w:pPr>
      <w:r>
        <w:t xml:space="preserve">Why the frozen threshold is inactive</w:t>
      </w:r>
    </w:p>
    <w:p>
      <w:pPr>
        <w:pStyle w:val="BodyText"/>
      </w:pPr>
      <w:r>
        <w:t xml:space="preserve">On P2 trajectories, all encountered R3 similarities exceed 0.92: the pooled cold minimum is 0.947187 and warm minimum 0.954605. Thus the inactivity condition holds for the controlled main comparison. These are actual intervention opportunities, rather than arbitrary pairwise review similarities. Table IV shows the cold distributions by predicate and query type. Warm quantiles and full minima/maxima are supplied in the artifact CSV. Events repeat rows across seeds and queries and are dependent.</w:t>
      </w:r>
    </w:p>
    <w:p>
      <w:pPr>
        <w:pStyle w:val="tablehead"/>
        <w:keepNext/>
        <w:numPr>
          <w:ilvl w:val="0"/>
          <w:numId w:val="0"/>
        </w:numPr>
      </w:pPr>
      <w:r>
        <w:t xml:space="preserve">TABLE IV. COLD R3 SCORE DISTRIBUTIONS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1550"/>
        <w:gridCol w:w="500"/>
        <w:gridCol w:w="900"/>
        <w:gridCol w:w="900"/>
        <w:gridCol w:w="900"/>
      </w:tblGrid>
      <w:tr>
        <w:trPr>
          <w:cantSplit/>
          <w:tblHeader/>
        </w:trPr>
        <w:tc>
          <w:tcPr>
            <w:tcW w:w="1550" w:type="dxa"/>
          </w:tcPr>
          <w:p>
            <w:pPr>
              <w:spacing w:before="30" w:after="30"/>
              <w:jc w:val="center"/>
              <w:keepNext/>
            </w:pPr>
            <w:r>
              <w:rPr>
                <w:sz w:val="16"/>
                <w:b/>
              </w:rPr>
              <w:t>Group</w:t>
            </w:r>
          </w:p>
        </w:tc>
        <w:tc>
          <w:tcPr>
            <w:tcW w:w="500" w:type="dxa"/>
          </w:tcPr>
          <w:p>
            <w:pPr>
              <w:spacing w:before="30" w:after="30"/>
              <w:jc w:val="center"/>
              <w:keepNext/>
            </w:pPr>
            <w:r>
              <w:rPr>
                <w:sz w:val="16"/>
                <w:b/>
              </w:rPr>
              <w:t>n</w:t>
            </w:r>
          </w:p>
        </w:tc>
        <w:tc>
          <w:tcPr>
            <w:tcW w:w="900" w:type="dxa"/>
          </w:tcPr>
          <w:p>
            <w:pPr>
              <w:spacing w:before="30" w:after="30"/>
              <w:jc w:val="center"/>
              <w:keepNext/>
            </w:pPr>
            <w:r>
              <w:rPr>
                <w:sz w:val="16"/>
                <w:b/>
              </w:rPr>
              <w:t>q10</w:t>
            </w:r>
          </w:p>
        </w:tc>
        <w:tc>
          <w:tcPr>
            <w:tcW w:w="900" w:type="dxa"/>
          </w:tcPr>
          <w:p>
            <w:pPr>
              <w:spacing w:before="30" w:after="30"/>
              <w:jc w:val="center"/>
              <w:keepNext/>
            </w:pPr>
            <w:r>
              <w:rPr>
                <w:sz w:val="16"/>
                <w:b/>
              </w:rPr>
              <w:t>Median</w:t>
            </w:r>
          </w:p>
        </w:tc>
        <w:tc>
          <w:tcPr>
            <w:tcW w:w="900" w:type="dxa"/>
          </w:tcPr>
          <w:p>
            <w:pPr>
              <w:spacing w:before="30" w:after="30"/>
              <w:jc w:val="center"/>
              <w:keepNext/>
            </w:pPr>
            <w:r>
              <w:rPr>
                <w:sz w:val="16"/>
                <w:b/>
              </w:rPr>
              <w:t>q90</w:t>
            </w:r>
          </w:p>
        </w:tc>
      </w:tr>
      <w:tr>
        <w:trPr>
          <w:cantSplit/>
        </w:trPr>
        <w:tc>
          <w:tcPr>
            <w:tcW w:w="1550" w:type="dxa"/>
          </w:tcPr>
          <w:p>
            <w:pPr>
              <w:spacing w:before="30" w:after="30"/>
              <w:jc w:val="center"/>
              <w:keepNext/>
            </w:pPr>
            <w:r>
              <w:rPr>
                <w:sz w:val="16"/>
              </w:rPr>
              <w:t>shipping</w:t>
            </w:r>
          </w:p>
        </w:tc>
        <w:tc>
          <w:tcPr>
            <w:tcW w:w="500" w:type="dxa"/>
          </w:tcPr>
          <w:p>
            <w:pPr>
              <w:spacing w:before="30" w:after="30"/>
              <w:jc w:val="center"/>
              <w:keepNext/>
            </w:pPr>
            <w:r>
              <w:rPr>
                <w:sz w:val="16"/>
              </w:rPr>
              <w:t>536</w:t>
            </w:r>
          </w:p>
        </w:tc>
        <w:tc>
          <w:tcPr>
            <w:tcW w:w="900" w:type="dxa"/>
          </w:tcPr>
          <w:p>
            <w:pPr>
              <w:spacing w:before="30" w:after="30"/>
              <w:jc w:val="center"/>
              <w:keepNext/>
            </w:pPr>
            <w:r>
              <w:rPr>
                <w:sz w:val="16"/>
              </w:rPr>
              <w:t>0.9660</w:t>
            </w:r>
          </w:p>
        </w:tc>
        <w:tc>
          <w:tcPr>
            <w:tcW w:w="900" w:type="dxa"/>
          </w:tcPr>
          <w:p>
            <w:pPr>
              <w:spacing w:before="30" w:after="30"/>
              <w:jc w:val="center"/>
              <w:keepNext/>
            </w:pPr>
            <w:r>
              <w:rPr>
                <w:sz w:val="16"/>
              </w:rPr>
              <w:t>0.9758</w:t>
            </w:r>
          </w:p>
        </w:tc>
        <w:tc>
          <w:tcPr>
            <w:tcW w:w="900" w:type="dxa"/>
          </w:tcPr>
          <w:p>
            <w:pPr>
              <w:spacing w:before="30" w:after="30"/>
              <w:jc w:val="center"/>
              <w:keepNext/>
            </w:pPr>
            <w:r>
              <w:rPr>
                <w:sz w:val="16"/>
              </w:rPr>
              <w:t>0.9943</w:t>
            </w:r>
          </w:p>
        </w:tc>
      </w:tr>
      <w:tr>
        <w:trPr>
          <w:cantSplit/>
        </w:trPr>
        <w:tc>
          <w:tcPr>
            <w:tcW w:w="1550" w:type="dxa"/>
          </w:tcPr>
          <w:p>
            <w:pPr>
              <w:spacing w:before="30" w:after="30"/>
              <w:jc w:val="center"/>
              <w:keepNext/>
            </w:pPr>
            <w:r>
              <w:rPr>
                <w:sz w:val="16"/>
              </w:rPr>
              <w:t>broad</w:t>
            </w:r>
          </w:p>
        </w:tc>
        <w:tc>
          <w:tcPr>
            <w:tcW w:w="500" w:type="dxa"/>
          </w:tcPr>
          <w:p>
            <w:pPr>
              <w:spacing w:before="30" w:after="30"/>
              <w:jc w:val="center"/>
              <w:keepNext/>
            </w:pPr>
            <w:r>
              <w:rPr>
                <w:sz w:val="16"/>
              </w:rPr>
              <w:t>424</w:t>
            </w:r>
          </w:p>
        </w:tc>
        <w:tc>
          <w:tcPr>
            <w:tcW w:w="900" w:type="dxa"/>
          </w:tcPr>
          <w:p>
            <w:pPr>
              <w:spacing w:before="30" w:after="30"/>
              <w:jc w:val="center"/>
              <w:keepNext/>
            </w:pPr>
            <w:r>
              <w:rPr>
                <w:sz w:val="16"/>
              </w:rPr>
              <w:t>0.9653</w:t>
            </w:r>
          </w:p>
        </w:tc>
        <w:tc>
          <w:tcPr>
            <w:tcW w:w="900" w:type="dxa"/>
          </w:tcPr>
          <w:p>
            <w:pPr>
              <w:spacing w:before="30" w:after="30"/>
              <w:jc w:val="center"/>
              <w:keepNext/>
            </w:pPr>
            <w:r>
              <w:rPr>
                <w:sz w:val="16"/>
              </w:rPr>
              <w:t>0.9748</w:t>
            </w:r>
          </w:p>
        </w:tc>
        <w:tc>
          <w:tcPr>
            <w:tcW w:w="900" w:type="dxa"/>
          </w:tcPr>
          <w:p>
            <w:pPr>
              <w:spacing w:before="30" w:after="30"/>
              <w:jc w:val="center"/>
              <w:keepNext/>
            </w:pPr>
            <w:r>
              <w:rPr>
                <w:sz w:val="16"/>
              </w:rPr>
              <w:t>0.9848</w:t>
            </w:r>
          </w:p>
        </w:tc>
      </w:tr>
      <w:tr>
        <w:trPr>
          <w:cantSplit/>
        </w:trPr>
        <w:tc>
          <w:tcPr>
            <w:tcW w:w="1550" w:type="dxa"/>
          </w:tcPr>
          <w:p>
            <w:pPr>
              <w:spacing w:before="30" w:after="30"/>
              <w:jc w:val="center"/>
              <w:keepNext/>
            </w:pPr>
            <w:r>
              <w:rPr>
                <w:sz w:val="16"/>
              </w:rPr>
              <w:t>defect</w:t>
            </w:r>
          </w:p>
        </w:tc>
        <w:tc>
          <w:tcPr>
            <w:tcW w:w="500" w:type="dxa"/>
          </w:tcPr>
          <w:p>
            <w:pPr>
              <w:spacing w:before="30" w:after="30"/>
              <w:jc w:val="center"/>
              <w:keepNext/>
            </w:pPr>
            <w:r>
              <w:rPr>
                <w:sz w:val="16"/>
              </w:rPr>
              <w:t>311</w:t>
            </w:r>
          </w:p>
        </w:tc>
        <w:tc>
          <w:tcPr>
            <w:tcW w:w="900" w:type="dxa"/>
          </w:tcPr>
          <w:p>
            <w:pPr>
              <w:spacing w:before="30" w:after="30"/>
              <w:jc w:val="center"/>
              <w:keepNext/>
            </w:pPr>
            <w:r>
              <w:rPr>
                <w:sz w:val="16"/>
              </w:rPr>
              <w:t>0.9708</w:t>
            </w:r>
          </w:p>
        </w:tc>
        <w:tc>
          <w:tcPr>
            <w:tcW w:w="900" w:type="dxa"/>
          </w:tcPr>
          <w:p>
            <w:pPr>
              <w:spacing w:before="30" w:after="30"/>
              <w:jc w:val="center"/>
              <w:keepNext/>
            </w:pPr>
            <w:r>
              <w:rPr>
                <w:sz w:val="16"/>
              </w:rPr>
              <w:t>0.9875</w:t>
            </w:r>
          </w:p>
        </w:tc>
        <w:tc>
          <w:tcPr>
            <w:tcW w:w="900" w:type="dxa"/>
          </w:tcPr>
          <w:p>
            <w:pPr>
              <w:spacing w:before="30" w:after="30"/>
              <w:jc w:val="center"/>
              <w:keepNext/>
            </w:pPr>
            <w:r>
              <w:rPr>
                <w:sz w:val="16"/>
              </w:rPr>
              <w:t>1.0000</w:t>
            </w:r>
          </w:p>
        </w:tc>
      </w:tr>
      <w:tr>
        <w:trPr>
          <w:cantSplit/>
        </w:trPr>
        <w:tc>
          <w:tcPr>
            <w:tcW w:w="1550" w:type="dxa"/>
          </w:tcPr>
          <w:p>
            <w:pPr>
              <w:spacing w:before="30" w:after="30"/>
              <w:jc w:val="center"/>
              <w:keepNext/>
            </w:pPr>
            <w:r>
              <w:rPr>
                <w:sz w:val="16"/>
              </w:rPr>
              <w:t>sarcasm</w:t>
            </w:r>
          </w:p>
        </w:tc>
        <w:tc>
          <w:tcPr>
            <w:tcW w:w="500" w:type="dxa"/>
          </w:tcPr>
          <w:p>
            <w:pPr>
              <w:spacing w:before="30" w:after="30"/>
              <w:jc w:val="center"/>
              <w:keepNext/>
            </w:pPr>
            <w:r>
              <w:rPr>
                <w:sz w:val="16"/>
              </w:rPr>
              <w:t>195</w:t>
            </w:r>
          </w:p>
        </w:tc>
        <w:tc>
          <w:tcPr>
            <w:tcW w:w="900" w:type="dxa"/>
          </w:tcPr>
          <w:p>
            <w:pPr>
              <w:spacing w:before="30" w:after="30"/>
              <w:jc w:val="center"/>
              <w:keepNext/>
            </w:pPr>
            <w:r>
              <w:rPr>
                <w:sz w:val="16"/>
              </w:rPr>
              <w:t>0.9689</w:t>
            </w:r>
          </w:p>
        </w:tc>
        <w:tc>
          <w:tcPr>
            <w:tcW w:w="900" w:type="dxa"/>
          </w:tcPr>
          <w:p>
            <w:pPr>
              <w:spacing w:before="30" w:after="30"/>
              <w:jc w:val="center"/>
              <w:keepNext/>
            </w:pPr>
            <w:r>
              <w:rPr>
                <w:sz w:val="16"/>
              </w:rPr>
              <w:t>0.9772</w:t>
            </w:r>
          </w:p>
        </w:tc>
        <w:tc>
          <w:tcPr>
            <w:tcW w:w="900" w:type="dxa"/>
          </w:tcPr>
          <w:p>
            <w:pPr>
              <w:spacing w:before="30" w:after="30"/>
              <w:jc w:val="center"/>
              <w:keepNext/>
            </w:pPr>
            <w:r>
              <w:rPr>
                <w:sz w:val="16"/>
              </w:rPr>
              <w:t>1.0000</w:t>
            </w:r>
          </w:p>
        </w:tc>
      </w:tr>
      <w:tr>
        <w:trPr>
          <w:cantSplit/>
        </w:trPr>
        <w:tc>
          <w:tcPr>
            <w:tcW w:w="1550" w:type="dxa"/>
          </w:tcPr>
          <w:p>
            <w:pPr>
              <w:spacing w:before="30" w:after="30"/>
              <w:jc w:val="center"/>
              <w:keepNext/>
            </w:pPr>
            <w:r>
              <w:rPr>
                <w:sz w:val="16"/>
              </w:rPr>
              <w:t>medium</w:t>
            </w:r>
          </w:p>
        </w:tc>
        <w:tc>
          <w:tcPr>
            <w:tcW w:w="500" w:type="dxa"/>
          </w:tcPr>
          <w:p>
            <w:pPr>
              <w:spacing w:before="30" w:after="30"/>
              <w:jc w:val="center"/>
              <w:keepNext/>
            </w:pPr>
            <w:r>
              <w:rPr>
                <w:sz w:val="16"/>
              </w:rPr>
              <w:t>187</w:t>
            </w:r>
          </w:p>
        </w:tc>
        <w:tc>
          <w:tcPr>
            <w:tcW w:w="900" w:type="dxa"/>
          </w:tcPr>
          <w:p>
            <w:pPr>
              <w:spacing w:before="30" w:after="30"/>
              <w:jc w:val="center"/>
              <w:keepNext/>
            </w:pPr>
            <w:r>
              <w:rPr>
                <w:sz w:val="16"/>
              </w:rPr>
              <w:t>0.9687</w:t>
            </w:r>
          </w:p>
        </w:tc>
        <w:tc>
          <w:tcPr>
            <w:tcW w:w="900" w:type="dxa"/>
          </w:tcPr>
          <w:p>
            <w:pPr>
              <w:spacing w:before="30" w:after="30"/>
              <w:jc w:val="center"/>
              <w:keepNext/>
            </w:pPr>
            <w:r>
              <w:rPr>
                <w:sz w:val="16"/>
              </w:rPr>
              <w:t>0.9785</w:t>
            </w:r>
          </w:p>
        </w:tc>
        <w:tc>
          <w:tcPr>
            <w:tcW w:w="900" w:type="dxa"/>
          </w:tcPr>
          <w:p>
            <w:pPr>
              <w:spacing w:before="30" w:after="30"/>
              <w:jc w:val="center"/>
              <w:keepNext/>
            </w:pPr>
            <w:r>
              <w:rPr>
                <w:sz w:val="16"/>
              </w:rPr>
              <w:t>1.0000</w:t>
            </w:r>
          </w:p>
        </w:tc>
      </w:tr>
      <w:tr>
        <w:trPr>
          <w:cantSplit/>
        </w:trPr>
        <w:tc>
          <w:tcPr>
            <w:tcW w:w="1550" w:type="dxa"/>
          </w:tcPr>
          <w:p>
            <w:pPr>
              <w:spacing w:before="30" w:after="30"/>
              <w:jc w:val="center"/>
              <w:keepNext/>
            </w:pPr>
            <w:r>
              <w:rPr>
                <w:sz w:val="16"/>
              </w:rPr>
              <w:t>narrow</w:t>
            </w:r>
          </w:p>
        </w:tc>
        <w:tc>
          <w:tcPr>
            <w:tcW w:w="500" w:type="dxa"/>
          </w:tcPr>
          <w:p>
            <w:pPr>
              <w:spacing w:before="30" w:after="30"/>
              <w:jc w:val="center"/>
              <w:keepNext/>
            </w:pPr>
            <w:r>
              <w:rPr>
                <w:sz w:val="16"/>
              </w:rPr>
              <w:t>59</w:t>
            </w:r>
          </w:p>
        </w:tc>
        <w:tc>
          <w:tcPr>
            <w:tcW w:w="900" w:type="dxa"/>
          </w:tcPr>
          <w:p>
            <w:pPr>
              <w:spacing w:before="30" w:after="30"/>
              <w:jc w:val="center"/>
              <w:keepNext/>
            </w:pPr>
            <w:r>
              <w:rPr>
                <w:sz w:val="16"/>
              </w:rPr>
              <w:t>0.9715</w:t>
            </w:r>
          </w:p>
        </w:tc>
        <w:tc>
          <w:tcPr>
            <w:tcW w:w="900" w:type="dxa"/>
          </w:tcPr>
          <w:p>
            <w:pPr>
              <w:spacing w:before="30" w:after="30"/>
              <w:jc w:val="center"/>
              <w:keepNext/>
            </w:pPr>
            <w:r>
              <w:rPr>
                <w:sz w:val="16"/>
              </w:rPr>
              <w:t>0.9869</w:t>
            </w:r>
          </w:p>
        </w:tc>
        <w:tc>
          <w:tcPr>
            <w:tcW w:w="900" w:type="dxa"/>
          </w:tcPr>
          <w:p>
            <w:pPr>
              <w:spacing w:before="30" w:after="30"/>
              <w:jc w:val="center"/>
              <w:keepNext/>
            </w:pPr>
            <w:r>
              <w:rPr>
                <w:sz w:val="16"/>
              </w:rPr>
              <w:t>1.0000</w:t>
            </w:r>
          </w:p>
        </w:tc>
      </w:tr>
      <w:tr>
        <w:trPr>
          <w:cantSplit/>
        </w:trPr>
        <w:tc>
          <w:tcPr>
            <w:tcW w:w="1550" w:type="dxa"/>
          </w:tcPr>
          <w:p>
            <w:pPr>
              <w:spacing w:before="30" w:after="30"/>
              <w:jc w:val="center"/>
              <w:keepNext/>
            </w:pPr>
            <w:r>
              <w:rPr>
                <w:sz w:val="16"/>
              </w:rPr>
              <w:t>multi</w:t>
            </w:r>
          </w:p>
        </w:tc>
        <w:tc>
          <w:tcPr>
            <w:tcW w:w="500" w:type="dxa"/>
          </w:tcPr>
          <w:p>
            <w:pPr>
              <w:spacing w:before="30" w:after="30"/>
              <w:jc w:val="center"/>
              <w:keepNext/>
            </w:pPr>
            <w:r>
              <w:rPr>
                <w:sz w:val="16"/>
              </w:rPr>
              <w:t>230</w:t>
            </w:r>
          </w:p>
        </w:tc>
        <w:tc>
          <w:tcPr>
            <w:tcW w:w="900" w:type="dxa"/>
          </w:tcPr>
          <w:p>
            <w:pPr>
              <w:spacing w:before="30" w:after="30"/>
              <w:jc w:val="center"/>
              <w:keepNext/>
            </w:pPr>
            <w:r>
              <w:rPr>
                <w:sz w:val="16"/>
              </w:rPr>
              <w:t>0.9729</w:t>
            </w:r>
          </w:p>
        </w:tc>
        <w:tc>
          <w:tcPr>
            <w:tcW w:w="900" w:type="dxa"/>
          </w:tcPr>
          <w:p>
            <w:pPr>
              <w:spacing w:before="30" w:after="30"/>
              <w:jc w:val="center"/>
              <w:keepNext/>
            </w:pPr>
            <w:r>
              <w:rPr>
                <w:sz w:val="16"/>
              </w:rPr>
              <w:t>0.9899</w:t>
            </w:r>
          </w:p>
        </w:tc>
        <w:tc>
          <w:tcPr>
            <w:tcW w:w="900" w:type="dxa"/>
          </w:tcPr>
          <w:p>
            <w:pPr>
              <w:spacing w:before="30" w:after="30"/>
              <w:jc w:val="center"/>
              <w:keepNext/>
            </w:pPr>
            <w:r>
              <w:rPr>
                <w:sz w:val="16"/>
              </w:rPr>
              <w:t>1.0000</w:t>
            </w:r>
          </w:p>
        </w:tc>
      </w:tr>
      <w:tr>
        <w:trPr>
          <w:cantSplit/>
        </w:trPr>
        <w:tc>
          <w:tcPr>
            <w:tcW w:w="1550" w:type="dxa"/>
          </w:tcPr>
          <w:p>
            <w:pPr>
              <w:spacing w:before="30" w:after="30"/>
              <w:jc w:val="center"/>
            </w:pPr>
            <w:r>
              <w:rPr>
                <w:sz w:val="16"/>
              </w:rPr>
              <w:t>repeat</w:t>
            </w:r>
          </w:p>
        </w:tc>
        <w:tc>
          <w:tcPr>
            <w:tcW w:w="500" w:type="dxa"/>
          </w:tcPr>
          <w:p>
            <w:pPr>
              <w:spacing w:before="30" w:after="30"/>
              <w:jc w:val="center"/>
            </w:pPr>
            <w:r>
              <w:rPr>
                <w:sz w:val="16"/>
              </w:rPr>
              <w:t>142</w:t>
            </w:r>
          </w:p>
        </w:tc>
        <w:tc>
          <w:tcPr>
            <w:tcW w:w="900" w:type="dxa"/>
          </w:tcPr>
          <w:p>
            <w:pPr>
              <w:spacing w:before="30" w:after="30"/>
              <w:jc w:val="center"/>
            </w:pPr>
            <w:r>
              <w:rPr>
                <w:sz w:val="16"/>
              </w:rPr>
              <w:t>0.9687</w:t>
            </w:r>
          </w:p>
        </w:tc>
        <w:tc>
          <w:tcPr>
            <w:tcW w:w="900" w:type="dxa"/>
          </w:tcPr>
          <w:p>
            <w:pPr>
              <w:spacing w:before="30" w:after="30"/>
              <w:jc w:val="center"/>
            </w:pPr>
            <w:r>
              <w:rPr>
                <w:sz w:val="16"/>
              </w:rPr>
              <w:t>0.9778</w:t>
            </w:r>
          </w:p>
        </w:tc>
        <w:tc>
          <w:tcPr>
            <w:tcW w:w="900" w:type="dxa"/>
          </w:tcPr>
          <w:p>
            <w:pPr>
              <w:spacing w:before="30" w:after="30"/>
              <w:jc w:val="center"/>
            </w:pPr>
            <w:r>
              <w:rPr>
                <w:sz w:val="16"/>
              </w:rPr>
              <w:t>1.0000</w:t>
            </w:r>
          </w:p>
        </w:tc>
      </w:tr>
    </w:tbl>
    <w:p>
      <w:pPr>
        <w:pStyle w:val="tablefootnote"/>
        <w:numPr>
          <w:ilvl w:val="0"/>
          <w:numId w:val="0"/>
        </w:numPr>
      </w:pPr>
      <w:r>
        <w:t xml:space="preserve">n counts R3 events pooled over three seeds, not independent reviews. q10/q90 are empirical score quantiles. Predicate and query-type groups partition the same events in two different ways. Empty queries have no R3 events.</w:t>
      </w:r>
    </w:p>
    <w:p>
      <w:pPr>
        <w:pStyle w:val="Heading2"/>
        <w:numPr>
          <w:ilvl w:val="0"/>
          <w:numId w:val="31"/>
        </w:numPr>
      </w:pPr>
      <w:r>
        <w:t xml:space="preserve">Active threshold interventions</w:t>
      </w:r>
    </w:p>
    <w:p>
      <w:pPr>
        <w:pStyle w:val="BodyText"/>
      </w:pPr>
      <w:r>
        <w:t xml:space="preserve">Table V summarizes the post-hoc sweep. The constant 0.92 control reproduces P2 event signatures. At 0.96 the threshold begins to activate sparsely (one forced check per state on average); 0.98 produces many checks and reduces incorrect direct hits. A constant 0.99 preserves every saved reference result set in these runs, while saving only 5.6% ± 0.3 points cold and 31.6% ± 1.6 points warm calls. This is a score-calibration control, not a selectivity rule or an optimum.</w:t>
      </w:r>
    </w:p>
    <w:p>
      <w:pPr>
        <w:pStyle w:val="tablehead"/>
        <w:keepNext/>
        <w:numPr>
          <w:ilvl w:val="0"/>
          <w:numId w:val="0"/>
        </w:numPr>
      </w:pPr>
      <w:r>
        <w:t xml:space="preserve">TABLE V. EXPLORATORY CALIBRATION MEAN ± SD</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1150"/>
        <w:gridCol w:w="1200"/>
        <w:gridCol w:w="1200"/>
        <w:gridCol w:w="1200"/>
      </w:tblGrid>
      <w:tr>
        <w:trPr>
          <w:cantSplit/>
          <w:tblHeader/>
        </w:trPr>
        <w:tc>
          <w:tcPr>
            <w:tcW w:w="1150" w:type="dxa"/>
          </w:tcPr>
          <w:p>
            <w:pPr>
              <w:spacing w:before="30" w:after="30"/>
              <w:jc w:val="center"/>
              <w:keepNext/>
            </w:pPr>
            <w:r>
              <w:rPr>
                <w:sz w:val="16"/>
                <w:b/>
              </w:rPr>
              <w:t>Rule / state</w:t>
            </w:r>
          </w:p>
        </w:tc>
        <w:tc>
          <w:tcPr>
            <w:tcW w:w="1200" w:type="dxa"/>
          </w:tcPr>
          <w:p>
            <w:pPr>
              <w:spacing w:before="30" w:after="30"/>
              <w:jc w:val="center"/>
              <w:keepNext/>
            </w:pPr>
            <w:r>
              <w:rPr>
                <w:sz w:val="16"/>
                <w:b/>
              </w:rPr>
              <w:t>Calls</w:t>
            </w:r>
          </w:p>
        </w:tc>
        <w:tc>
          <w:tcPr>
            <w:tcW w:w="1200" w:type="dxa"/>
          </w:tcPr>
          <w:p>
            <w:pPr>
              <w:spacing w:before="30" w:after="30"/>
              <w:jc w:val="center"/>
              <w:keepNext/>
            </w:pPr>
            <w:r>
              <w:rPr>
                <w:sz w:val="16"/>
                <w:b/>
              </w:rPr>
              <w:t>IDH</w:t>
            </w:r>
          </w:p>
        </w:tc>
        <w:tc>
          <w:tcPr>
            <w:tcW w:w="1200" w:type="dxa"/>
          </w:tcPr>
          <w:p>
            <w:pPr>
              <w:spacing w:before="30" w:after="30"/>
              <w:jc w:val="center"/>
              <w:keepNext/>
            </w:pPr>
            <w:r>
              <w:rPr>
                <w:sz w:val="16"/>
                <w:b/>
              </w:rPr>
              <w:t>Checks</w:t>
            </w:r>
          </w:p>
        </w:tc>
      </w:tr>
      <w:tr>
        <w:trPr>
          <w:cantSplit/>
        </w:trPr>
        <w:tc>
          <w:tcPr>
            <w:tcW w:w="1150" w:type="dxa"/>
          </w:tcPr>
          <w:p>
            <w:pPr>
              <w:spacing w:before="30" w:after="30"/>
              <w:jc w:val="center"/>
              <w:keepNext/>
            </w:pPr>
            <w:r>
              <w:rPr>
                <w:sz w:val="16"/>
              </w:rPr>
              <w:t>.92 C</w:t>
            </w:r>
          </w:p>
        </w:tc>
        <w:tc>
          <w:tcPr>
            <w:tcW w:w="1200" w:type="dxa"/>
          </w:tcPr>
          <w:p>
            <w:pPr>
              <w:spacing w:before="30" w:after="30"/>
              <w:jc w:val="center"/>
              <w:keepNext/>
            </w:pPr>
            <w:r>
              <w:rPr>
                <w:sz w:val="16"/>
              </w:rPr>
              <w:t>338.7 ± 77.5</w:t>
            </w:r>
          </w:p>
        </w:tc>
        <w:tc>
          <w:tcPr>
            <w:tcW w:w="1200" w:type="dxa"/>
          </w:tcPr>
          <w:p>
            <w:pPr>
              <w:spacing w:before="30" w:after="30"/>
              <w:jc w:val="center"/>
              <w:keepNext/>
            </w:pPr>
            <w:r>
              <w:rPr>
                <w:sz w:val="16"/>
              </w:rPr>
              <w:t>27.0 ± 15.7</w:t>
            </w:r>
          </w:p>
        </w:tc>
        <w:tc>
          <w:tcPr>
            <w:tcW w:w="1200" w:type="dxa"/>
          </w:tcPr>
          <w:p>
            <w:pPr>
              <w:spacing w:before="30" w:after="30"/>
              <w:jc w:val="center"/>
              <w:keepNext/>
            </w:pPr>
            <w:r>
              <w:rPr>
                <w:sz w:val="16"/>
              </w:rPr>
              <w:t>0.0 ± 0.0</w:t>
            </w:r>
          </w:p>
        </w:tc>
      </w:tr>
      <w:tr>
        <w:trPr>
          <w:cantSplit/>
        </w:trPr>
        <w:tc>
          <w:tcPr>
            <w:tcW w:w="1150" w:type="dxa"/>
          </w:tcPr>
          <w:p>
            <w:pPr>
              <w:spacing w:before="30" w:after="30"/>
              <w:jc w:val="center"/>
              <w:keepNext/>
            </w:pPr>
            <w:r>
              <w:rPr>
                <w:sz w:val="16"/>
              </w:rPr>
              <w:t>.92 W</w:t>
            </w:r>
          </w:p>
        </w:tc>
        <w:tc>
          <w:tcPr>
            <w:tcW w:w="1200" w:type="dxa"/>
          </w:tcPr>
          <w:p>
            <w:pPr>
              <w:spacing w:before="30" w:after="30"/>
              <w:jc w:val="center"/>
              <w:keepNext/>
            </w:pPr>
            <w:r>
              <w:rPr>
                <w:sz w:val="16"/>
              </w:rPr>
              <w:t>230.7 ± 35.3</w:t>
            </w:r>
          </w:p>
        </w:tc>
        <w:tc>
          <w:tcPr>
            <w:tcW w:w="1200" w:type="dxa"/>
          </w:tcPr>
          <w:p>
            <w:pPr>
              <w:spacing w:before="30" w:after="30"/>
              <w:jc w:val="center"/>
              <w:keepNext/>
            </w:pPr>
            <w:r>
              <w:rPr>
                <w:sz w:val="16"/>
              </w:rPr>
              <w:t>15.3 ± 9.6</w:t>
            </w:r>
          </w:p>
        </w:tc>
        <w:tc>
          <w:tcPr>
            <w:tcW w:w="1200" w:type="dxa"/>
          </w:tcPr>
          <w:p>
            <w:pPr>
              <w:spacing w:before="30" w:after="30"/>
              <w:jc w:val="center"/>
              <w:keepNext/>
            </w:pPr>
            <w:r>
              <w:rPr>
                <w:sz w:val="16"/>
              </w:rPr>
              <w:t>0.0 ± 0.0</w:t>
            </w:r>
          </w:p>
        </w:tc>
      </w:tr>
      <w:tr>
        <w:trPr>
          <w:cantSplit/>
        </w:trPr>
        <w:tc>
          <w:tcPr>
            <w:tcW w:w="1150" w:type="dxa"/>
          </w:tcPr>
          <w:p>
            <w:pPr>
              <w:spacing w:before="30" w:after="30"/>
              <w:jc w:val="center"/>
              <w:keepNext/>
            </w:pPr>
            <w:r>
              <w:rPr>
                <w:sz w:val="16"/>
              </w:rPr>
              <w:t>.98 C</w:t>
            </w:r>
          </w:p>
        </w:tc>
        <w:tc>
          <w:tcPr>
            <w:tcW w:w="1200" w:type="dxa"/>
          </w:tcPr>
          <w:p>
            <w:pPr>
              <w:spacing w:before="30" w:after="30"/>
              <w:jc w:val="center"/>
              <w:keepNext/>
            </w:pPr>
            <w:r>
              <w:rPr>
                <w:sz w:val="16"/>
              </w:rPr>
              <w:t>492.0 ± 6.6</w:t>
            </w:r>
          </w:p>
        </w:tc>
        <w:tc>
          <w:tcPr>
            <w:tcW w:w="1200" w:type="dxa"/>
          </w:tcPr>
          <w:p>
            <w:pPr>
              <w:spacing w:before="30" w:after="30"/>
              <w:jc w:val="center"/>
              <w:keepNext/>
            </w:pPr>
            <w:r>
              <w:rPr>
                <w:sz w:val="16"/>
              </w:rPr>
              <w:t>4.7 ± 1.5</w:t>
            </w:r>
          </w:p>
        </w:tc>
        <w:tc>
          <w:tcPr>
            <w:tcW w:w="1200" w:type="dxa"/>
          </w:tcPr>
          <w:p>
            <w:pPr>
              <w:spacing w:before="30" w:after="30"/>
              <w:jc w:val="center"/>
              <w:keepNext/>
            </w:pPr>
            <w:r>
              <w:rPr>
                <w:sz w:val="16"/>
              </w:rPr>
              <w:t>94.0 ± 6.2</w:t>
            </w:r>
          </w:p>
        </w:tc>
      </w:tr>
      <w:tr>
        <w:trPr>
          <w:cantSplit/>
        </w:trPr>
        <w:tc>
          <w:tcPr>
            <w:tcW w:w="1150" w:type="dxa"/>
          </w:tcPr>
          <w:p>
            <w:pPr>
              <w:spacing w:before="30" w:after="30"/>
              <w:jc w:val="center"/>
              <w:keepNext/>
            </w:pPr>
            <w:r>
              <w:rPr>
                <w:sz w:val="16"/>
              </w:rPr>
              <w:t>.98 W</w:t>
            </w:r>
          </w:p>
        </w:tc>
        <w:tc>
          <w:tcPr>
            <w:tcW w:w="1200" w:type="dxa"/>
          </w:tcPr>
          <w:p>
            <w:pPr>
              <w:spacing w:before="30" w:after="30"/>
              <w:jc w:val="center"/>
              <w:keepNext/>
            </w:pPr>
            <w:r>
              <w:rPr>
                <w:sz w:val="16"/>
              </w:rPr>
              <w:t>321.7 ± 8.7</w:t>
            </w:r>
          </w:p>
        </w:tc>
        <w:tc>
          <w:tcPr>
            <w:tcW w:w="1200" w:type="dxa"/>
          </w:tcPr>
          <w:p>
            <w:pPr>
              <w:spacing w:before="30" w:after="30"/>
              <w:jc w:val="center"/>
              <w:keepNext/>
            </w:pPr>
            <w:r>
              <w:rPr>
                <w:sz w:val="16"/>
              </w:rPr>
              <w:t>1.3 ± 2.3</w:t>
            </w:r>
          </w:p>
        </w:tc>
        <w:tc>
          <w:tcPr>
            <w:tcW w:w="1200" w:type="dxa"/>
          </w:tcPr>
          <w:p>
            <w:pPr>
              <w:spacing w:before="30" w:after="30"/>
              <w:jc w:val="center"/>
              <w:keepNext/>
            </w:pPr>
            <w:r>
              <w:rPr>
                <w:sz w:val="16"/>
              </w:rPr>
              <w:t>59.0 ± 2.0</w:t>
            </w:r>
          </w:p>
        </w:tc>
      </w:tr>
      <w:tr>
        <w:trPr>
          <w:cantSplit/>
        </w:trPr>
        <w:tc>
          <w:tcPr>
            <w:tcW w:w="1150" w:type="dxa"/>
          </w:tcPr>
          <w:p>
            <w:pPr>
              <w:spacing w:before="30" w:after="30"/>
              <w:jc w:val="center"/>
              <w:keepNext/>
            </w:pPr>
            <w:r>
              <w:rPr>
                <w:sz w:val="16"/>
              </w:rPr>
              <w:t>.99 C</w:t>
            </w:r>
          </w:p>
        </w:tc>
        <w:tc>
          <w:tcPr>
            <w:tcW w:w="1200" w:type="dxa"/>
          </w:tcPr>
          <w:p>
            <w:pPr>
              <w:spacing w:before="30" w:after="30"/>
              <w:jc w:val="center"/>
              <w:keepNext/>
            </w:pPr>
            <w:r>
              <w:rPr>
                <w:sz w:val="16"/>
              </w:rPr>
              <w:t>548.3 ± 1.5</w:t>
            </w:r>
          </w:p>
        </w:tc>
        <w:tc>
          <w:tcPr>
            <w:tcW w:w="1200" w:type="dxa"/>
          </w:tcPr>
          <w:p>
            <w:pPr>
              <w:spacing w:before="30" w:after="30"/>
              <w:jc w:val="center"/>
              <w:keepNext/>
            </w:pPr>
            <w:r>
              <w:rPr>
                <w:sz w:val="16"/>
              </w:rPr>
              <w:t>0.0 ± 0.0</w:t>
            </w:r>
          </w:p>
        </w:tc>
        <w:tc>
          <w:tcPr>
            <w:tcW w:w="1200" w:type="dxa"/>
          </w:tcPr>
          <w:p>
            <w:pPr>
              <w:spacing w:before="30" w:after="30"/>
              <w:jc w:val="center"/>
              <w:keepNext/>
            </w:pPr>
            <w:r>
              <w:rPr>
                <w:sz w:val="16"/>
              </w:rPr>
              <w:t>157.0 ± 0.0</w:t>
            </w:r>
          </w:p>
        </w:tc>
      </w:tr>
      <w:tr>
        <w:trPr>
          <w:cantSplit/>
        </w:trPr>
        <w:tc>
          <w:tcPr>
            <w:tcW w:w="1150" w:type="dxa"/>
          </w:tcPr>
          <w:p>
            <w:pPr>
              <w:spacing w:before="30" w:after="30"/>
              <w:jc w:val="center"/>
              <w:keepNext/>
            </w:pPr>
            <w:r>
              <w:rPr>
                <w:sz w:val="16"/>
              </w:rPr>
              <w:t>.99 W</w:t>
            </w:r>
          </w:p>
        </w:tc>
        <w:tc>
          <w:tcPr>
            <w:tcW w:w="1200" w:type="dxa"/>
          </w:tcPr>
          <w:p>
            <w:pPr>
              <w:spacing w:before="30" w:after="30"/>
              <w:jc w:val="center"/>
              <w:keepNext/>
            </w:pPr>
            <w:r>
              <w:rPr>
                <w:sz w:val="16"/>
              </w:rPr>
              <w:t>397.3 ± 9.5</w:t>
            </w:r>
          </w:p>
        </w:tc>
        <w:tc>
          <w:tcPr>
            <w:tcW w:w="1200" w:type="dxa"/>
          </w:tcPr>
          <w:p>
            <w:pPr>
              <w:spacing w:before="30" w:after="30"/>
              <w:jc w:val="center"/>
              <w:keepNext/>
            </w:pPr>
            <w:r>
              <w:rPr>
                <w:sz w:val="16"/>
              </w:rPr>
              <w:t>0.0 ± 0.0</w:t>
            </w:r>
          </w:p>
        </w:tc>
        <w:tc>
          <w:tcPr>
            <w:tcW w:w="1200" w:type="dxa"/>
          </w:tcPr>
          <w:p>
            <w:pPr>
              <w:spacing w:before="30" w:after="30"/>
              <w:jc w:val="center"/>
              <w:keepNext/>
            </w:pPr>
            <w:r>
              <w:rPr>
                <w:sz w:val="16"/>
              </w:rPr>
              <w:t>175.0 ± 0.0</w:t>
            </w:r>
          </w:p>
        </w:tc>
      </w:tr>
      <w:tr>
        <w:trPr>
          <w:cantSplit/>
        </w:trPr>
        <w:tc>
          <w:tcPr>
            <w:tcW w:w="1150" w:type="dxa"/>
          </w:tcPr>
          <w:p>
            <w:pPr>
              <w:spacing w:before="30" w:after="30"/>
              <w:jc w:val="center"/>
              <w:keepNext/>
            </w:pPr>
            <w:r>
              <w:rPr>
                <w:sz w:val="16"/>
              </w:rPr>
              <w:t>Quantile C</w:t>
            </w:r>
          </w:p>
        </w:tc>
        <w:tc>
          <w:tcPr>
            <w:tcW w:w="1200" w:type="dxa"/>
          </w:tcPr>
          <w:p>
            <w:pPr>
              <w:spacing w:before="30" w:after="30"/>
              <w:jc w:val="center"/>
              <w:keepNext/>
            </w:pPr>
            <w:r>
              <w:rPr>
                <w:sz w:val="16"/>
              </w:rPr>
              <w:t>447.0 ± 2.0</w:t>
            </w:r>
          </w:p>
        </w:tc>
        <w:tc>
          <w:tcPr>
            <w:tcW w:w="1200" w:type="dxa"/>
          </w:tcPr>
          <w:p>
            <w:pPr>
              <w:spacing w:before="30" w:after="30"/>
              <w:jc w:val="center"/>
              <w:keepNext/>
            </w:pPr>
            <w:r>
              <w:rPr>
                <w:sz w:val="16"/>
              </w:rPr>
              <w:t>18.3 ± 0.6</w:t>
            </w:r>
          </w:p>
        </w:tc>
        <w:tc>
          <w:tcPr>
            <w:tcW w:w="1200" w:type="dxa"/>
          </w:tcPr>
          <w:p>
            <w:pPr>
              <w:spacing w:before="30" w:after="30"/>
              <w:jc w:val="center"/>
              <w:keepNext/>
            </w:pPr>
            <w:r>
              <w:rPr>
                <w:sz w:val="16"/>
              </w:rPr>
              <w:t>119.7 ± 1.2</w:t>
            </w:r>
          </w:p>
        </w:tc>
      </w:tr>
      <w:tr>
        <w:trPr>
          <w:cantSplit/>
        </w:trPr>
        <w:tc>
          <w:tcPr>
            <w:tcW w:w="1150" w:type="dxa"/>
          </w:tcPr>
          <w:p>
            <w:pPr>
              <w:spacing w:before="30" w:after="30"/>
              <w:jc w:val="center"/>
            </w:pPr>
            <w:r>
              <w:rPr>
                <w:sz w:val="16"/>
              </w:rPr>
              <w:t>Quantile W</w:t>
            </w:r>
          </w:p>
        </w:tc>
        <w:tc>
          <w:tcPr>
            <w:tcW w:w="1200" w:type="dxa"/>
          </w:tcPr>
          <w:p>
            <w:pPr>
              <w:spacing w:before="30" w:after="30"/>
              <w:jc w:val="center"/>
            </w:pPr>
            <w:r>
              <w:rPr>
                <w:sz w:val="16"/>
              </w:rPr>
              <w:t>335.0 ± 15.6</w:t>
            </w:r>
          </w:p>
        </w:tc>
        <w:tc>
          <w:tcPr>
            <w:tcW w:w="1200" w:type="dxa"/>
          </w:tcPr>
          <w:p>
            <w:pPr>
              <w:spacing w:before="30" w:after="30"/>
              <w:jc w:val="center"/>
            </w:pPr>
            <w:r>
              <w:rPr>
                <w:sz w:val="16"/>
              </w:rPr>
              <w:t>7.3 ± 2.3</w:t>
            </w:r>
          </w:p>
        </w:tc>
        <w:tc>
          <w:tcPr>
            <w:tcW w:w="1200" w:type="dxa"/>
          </w:tcPr>
          <w:p>
            <w:pPr>
              <w:spacing w:before="30" w:after="30"/>
              <w:jc w:val="center"/>
            </w:pPr>
            <w:r>
              <w:rPr>
                <w:sz w:val="16"/>
              </w:rPr>
              <w:t>84.0 ± 19.1</w:t>
            </w:r>
          </w:p>
        </w:tc>
      </w:tr>
    </w:tbl>
    <w:p>
      <w:pPr>
        <w:pStyle w:val="tablefootnote"/>
        <w:numPr>
          <w:ilvl w:val="0"/>
          <w:numId w:val="0"/>
        </w:numPr>
      </w:pPr>
      <w:r>
        <w:t xml:space="preserve">Rules .92/.98/.99 are constant R3 thresholds; Quantile uses validation endpoints with the selectivity formula. C/W, Calls and IDH follow Table III. Checks are extra forced inferences. All entries are mean ± SD over three seeds.</w:t>
      </w:r>
    </w:p>
    <w:p>
      <w:pPr>
        <w:pStyle w:val="BodyText"/>
      </w:pPr>
      <w:r>
        <w:t xml:space="preserve">The quantile rule forces 119.7 ± 1.2 extra checks cold and 84.0 ± 19.1 warm, so it tests an active selectivity intervention. Nevertheless, complete query row set agreement is only 52.8% ± 4.8 points cold and 58.3% ± 8.3 points warm. Constant thresholds offer a different quality/cost tradeoff. Activation alone therefore supplies no evidence that selectivity improves acceptance decisions. Higher thresholds alter learning histories and posterior sampling, making the whole-pipeline replay essential; calls need not increase monotonically at every setting. Full results include 0.995 and 1.0, where floating-point scores near exact equality require care.</w:t>
      </w:r>
    </w:p>
    <w:p>
      <w:pPr>
        <w:pStyle w:val="Heading2"/>
        <w:numPr>
          <w:ilvl w:val="0"/>
          <w:numId w:val="31"/>
        </w:numPr>
      </w:pPr>
      <w:r>
        <w:t xml:space="preserve">Exploratory live observations and runtime</w:t>
      </w:r>
    </w:p>
    <w:p>
      <w:pPr>
        <w:pStyle w:val="BodyText"/>
      </w:pPr>
      <w:r>
        <w:t xml:space="preserve">Cold P2 and P3 each make 426 API request attempts with 13 incorrect direct hits and 75.0% complete query row set agreement. Warm P2 uses 245 attempts and eight incorrect direct hits (75.0% agreement); warm P3 uses 248 and five (83.3%). The threshold is inactive, so fresh inference variation and different learning histories explain why these observations cannot identify a selectivity effect. P0 itself changes one reference output, yielding 91.7% agreement.</w:t>
      </w:r>
    </w:p>
    <w:p>
      <w:pPr>
        <w:pStyle w:val="tablehead"/>
        <w:keepNext/>
        <w:numPr>
          <w:ilvl w:val="0"/>
          <w:numId w:val="0"/>
        </w:numPr>
      </w:pPr>
      <w:r>
        <w:t xml:space="preserve">TABLE VI. EXPLORATORY LIVE MEASURED RUNTIME</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750"/>
        <w:gridCol w:w="1050"/>
        <w:gridCol w:w="1050"/>
        <w:gridCol w:w="950"/>
        <w:gridCol w:w="1050"/>
      </w:tblGrid>
      <w:tr>
        <w:trPr>
          <w:cantSplit/>
          <w:tblHeader/>
        </w:trPr>
        <w:tc>
          <w:tcPr>
            <w:tcW w:w="750" w:type="dxa"/>
          </w:tcPr>
          <w:p>
            <w:pPr>
              <w:spacing w:before="30" w:after="30"/>
              <w:jc w:val="center"/>
              <w:keepNext/>
            </w:pPr>
            <w:r>
              <w:rPr>
                <w:sz w:val="16"/>
                <w:b/>
              </w:rPr>
              <w:t>P / state</w:t>
            </w:r>
          </w:p>
        </w:tc>
        <w:tc>
          <w:tcPr>
            <w:tcW w:w="1050" w:type="dxa"/>
          </w:tcPr>
          <w:p>
            <w:pPr>
              <w:spacing w:before="30" w:after="30"/>
              <w:jc w:val="center"/>
              <w:keepNext/>
            </w:pPr>
            <w:r>
              <w:rPr>
                <w:sz w:val="16"/>
                <w:b/>
              </w:rPr>
              <w:t>Pipeline s</w:t>
            </w:r>
          </w:p>
        </w:tc>
        <w:tc>
          <w:tcPr>
            <w:tcW w:w="1050" w:type="dxa"/>
          </w:tcPr>
          <w:p>
            <w:pPr>
              <w:spacing w:before="30" w:after="30"/>
              <w:jc w:val="center"/>
              <w:keepNext/>
            </w:pPr>
            <w:r>
              <w:rPr>
                <w:sz w:val="16"/>
                <w:b/>
              </w:rPr>
              <w:t>LLM s</w:t>
            </w:r>
          </w:p>
        </w:tc>
        <w:tc>
          <w:tcPr>
            <w:tcW w:w="950" w:type="dxa"/>
          </w:tcPr>
          <w:p>
            <w:pPr>
              <w:spacing w:before="30" w:after="30"/>
              <w:jc w:val="center"/>
              <w:keepNext/>
            </w:pPr>
            <w:r>
              <w:rPr>
                <w:sz w:val="16"/>
                <w:b/>
              </w:rPr>
              <w:t>Search s</w:t>
            </w:r>
          </w:p>
        </w:tc>
        <w:tc>
          <w:tcPr>
            <w:tcW w:w="1050" w:type="dxa"/>
          </w:tcPr>
          <w:p>
            <w:pPr>
              <w:spacing w:before="30" w:after="30"/>
              <w:jc w:val="center"/>
              <w:keepNext/>
            </w:pPr>
            <w:r>
              <w:rPr>
                <w:sz w:val="16"/>
                <w:b/>
              </w:rPr>
              <w:t>Vector ms</w:t>
            </w:r>
          </w:p>
        </w:tc>
      </w:tr>
      <w:tr>
        <w:trPr>
          <w:cantSplit/>
        </w:trPr>
        <w:tc>
          <w:tcPr>
            <w:tcW w:w="750" w:type="dxa"/>
          </w:tcPr>
          <w:p>
            <w:pPr>
              <w:spacing w:before="30" w:after="30"/>
              <w:jc w:val="center"/>
              <w:keepNext/>
            </w:pPr>
            <w:r>
              <w:rPr>
                <w:sz w:val="16"/>
              </w:rPr>
              <w:t>P0 C</w:t>
            </w:r>
          </w:p>
        </w:tc>
        <w:tc>
          <w:tcPr>
            <w:tcW w:w="1050" w:type="dxa"/>
          </w:tcPr>
          <w:p>
            <w:pPr>
              <w:spacing w:before="30" w:after="30"/>
              <w:jc w:val="center"/>
              <w:keepNext/>
            </w:pPr>
            <w:r>
              <w:rPr>
                <w:sz w:val="16"/>
              </w:rPr>
              <w:t>289.08</w:t>
            </w:r>
          </w:p>
        </w:tc>
        <w:tc>
          <w:tcPr>
            <w:tcW w:w="1050" w:type="dxa"/>
          </w:tcPr>
          <w:p>
            <w:pPr>
              <w:spacing w:before="30" w:after="30"/>
              <w:jc w:val="center"/>
              <w:keepNext/>
            </w:pPr>
            <w:r>
              <w:rPr>
                <w:sz w:val="16"/>
              </w:rPr>
              <w:t>281.73</w:t>
            </w:r>
          </w:p>
        </w:tc>
        <w:tc>
          <w:tcPr>
            <w:tcW w:w="950" w:type="dxa"/>
          </w:tcPr>
          <w:p>
            <w:pPr>
              <w:spacing w:before="30" w:after="30"/>
              <w:jc w:val="center"/>
              <w:keepNext/>
            </w:pPr>
            <w:r>
              <w:rPr>
                <w:sz w:val="16"/>
              </w:rPr>
              <w:t>0.000</w:t>
            </w:r>
          </w:p>
        </w:tc>
        <w:tc>
          <w:tcPr>
            <w:tcW w:w="1050" w:type="dxa"/>
          </w:tcPr>
          <w:p>
            <w:pPr>
              <w:spacing w:before="30" w:after="30"/>
              <w:jc w:val="center"/>
              <w:keepNext/>
            </w:pPr>
            <w:r>
              <w:rPr>
                <w:sz w:val="16"/>
              </w:rPr>
              <w:t>0.00</w:t>
            </w:r>
          </w:p>
        </w:tc>
      </w:tr>
      <w:tr>
        <w:trPr>
          <w:cantSplit/>
        </w:trPr>
        <w:tc>
          <w:tcPr>
            <w:tcW w:w="750" w:type="dxa"/>
          </w:tcPr>
          <w:p>
            <w:pPr>
              <w:spacing w:before="30" w:after="30"/>
              <w:jc w:val="center"/>
              <w:keepNext/>
            </w:pPr>
            <w:r>
              <w:rPr>
                <w:sz w:val="16"/>
              </w:rPr>
              <w:t>P2 C</w:t>
            </w:r>
          </w:p>
        </w:tc>
        <w:tc>
          <w:tcPr>
            <w:tcW w:w="1050" w:type="dxa"/>
          </w:tcPr>
          <w:p>
            <w:pPr>
              <w:spacing w:before="30" w:after="30"/>
              <w:jc w:val="center"/>
              <w:keepNext/>
            </w:pPr>
            <w:r>
              <w:rPr>
                <w:sz w:val="16"/>
              </w:rPr>
              <w:t>230.88</w:t>
            </w:r>
          </w:p>
        </w:tc>
        <w:tc>
          <w:tcPr>
            <w:tcW w:w="1050" w:type="dxa"/>
          </w:tcPr>
          <w:p>
            <w:pPr>
              <w:spacing w:before="30" w:after="30"/>
              <w:jc w:val="center"/>
              <w:keepNext/>
            </w:pPr>
            <w:r>
              <w:rPr>
                <w:sz w:val="16"/>
              </w:rPr>
              <w:t>222.59</w:t>
            </w:r>
          </w:p>
        </w:tc>
        <w:tc>
          <w:tcPr>
            <w:tcW w:w="950" w:type="dxa"/>
          </w:tcPr>
          <w:p>
            <w:pPr>
              <w:spacing w:before="30" w:after="30"/>
              <w:jc w:val="center"/>
              <w:keepNext/>
            </w:pPr>
            <w:r>
              <w:rPr>
                <w:sz w:val="16"/>
              </w:rPr>
              <w:t>1.980</w:t>
            </w:r>
          </w:p>
        </w:tc>
        <w:tc>
          <w:tcPr>
            <w:tcW w:w="1050" w:type="dxa"/>
          </w:tcPr>
          <w:p>
            <w:pPr>
              <w:spacing w:before="30" w:after="30"/>
              <w:jc w:val="center"/>
              <w:keepNext/>
            </w:pPr>
            <w:r>
              <w:rPr>
                <w:sz w:val="16"/>
              </w:rPr>
              <w:t>1.60</w:t>
            </w:r>
          </w:p>
        </w:tc>
      </w:tr>
      <w:tr>
        <w:trPr>
          <w:cantSplit/>
        </w:trPr>
        <w:tc>
          <w:tcPr>
            <w:tcW w:w="750" w:type="dxa"/>
          </w:tcPr>
          <w:p>
            <w:pPr>
              <w:spacing w:before="30" w:after="30"/>
              <w:jc w:val="center"/>
              <w:keepNext/>
            </w:pPr>
            <w:r>
              <w:rPr>
                <w:sz w:val="16"/>
              </w:rPr>
              <w:t>P3 C</w:t>
            </w:r>
          </w:p>
        </w:tc>
        <w:tc>
          <w:tcPr>
            <w:tcW w:w="1050" w:type="dxa"/>
          </w:tcPr>
          <w:p>
            <w:pPr>
              <w:spacing w:before="30" w:after="30"/>
              <w:jc w:val="center"/>
              <w:keepNext/>
            </w:pPr>
            <w:r>
              <w:rPr>
                <w:sz w:val="16"/>
              </w:rPr>
              <w:t>227.18</w:t>
            </w:r>
          </w:p>
        </w:tc>
        <w:tc>
          <w:tcPr>
            <w:tcW w:w="1050" w:type="dxa"/>
          </w:tcPr>
          <w:p>
            <w:pPr>
              <w:spacing w:before="30" w:after="30"/>
              <w:jc w:val="center"/>
              <w:keepNext/>
            </w:pPr>
            <w:r>
              <w:rPr>
                <w:sz w:val="16"/>
              </w:rPr>
              <w:t>218.40</w:t>
            </w:r>
          </w:p>
        </w:tc>
        <w:tc>
          <w:tcPr>
            <w:tcW w:w="950" w:type="dxa"/>
          </w:tcPr>
          <w:p>
            <w:pPr>
              <w:spacing w:before="30" w:after="30"/>
              <w:jc w:val="center"/>
              <w:keepNext/>
            </w:pPr>
            <w:r>
              <w:rPr>
                <w:sz w:val="16"/>
              </w:rPr>
              <w:t>1.936</w:t>
            </w:r>
          </w:p>
        </w:tc>
        <w:tc>
          <w:tcPr>
            <w:tcW w:w="1050" w:type="dxa"/>
          </w:tcPr>
          <w:p>
            <w:pPr>
              <w:spacing w:before="30" w:after="30"/>
              <w:jc w:val="center"/>
              <w:keepNext/>
            </w:pPr>
            <w:r>
              <w:rPr>
                <w:sz w:val="16"/>
              </w:rPr>
              <w:t>1.55</w:t>
            </w:r>
          </w:p>
        </w:tc>
      </w:tr>
      <w:tr>
        <w:trPr>
          <w:cantSplit/>
        </w:trPr>
        <w:tc>
          <w:tcPr>
            <w:tcW w:w="750" w:type="dxa"/>
          </w:tcPr>
          <w:p>
            <w:pPr>
              <w:spacing w:before="30" w:after="30"/>
              <w:jc w:val="center"/>
              <w:keepNext/>
            </w:pPr>
            <w:r>
              <w:rPr>
                <w:sz w:val="16"/>
              </w:rPr>
              <w:t>P2 W</w:t>
            </w:r>
          </w:p>
        </w:tc>
        <w:tc>
          <w:tcPr>
            <w:tcW w:w="1050" w:type="dxa"/>
          </w:tcPr>
          <w:p>
            <w:pPr>
              <w:spacing w:before="30" w:after="30"/>
              <w:jc w:val="center"/>
              <w:keepNext/>
            </w:pPr>
            <w:r>
              <w:rPr>
                <w:sz w:val="16"/>
              </w:rPr>
              <w:t>131.71</w:t>
            </w:r>
          </w:p>
        </w:tc>
        <w:tc>
          <w:tcPr>
            <w:tcW w:w="1050" w:type="dxa"/>
          </w:tcPr>
          <w:p>
            <w:pPr>
              <w:spacing w:before="30" w:after="30"/>
              <w:jc w:val="center"/>
              <w:keepNext/>
            </w:pPr>
            <w:r>
              <w:rPr>
                <w:sz w:val="16"/>
              </w:rPr>
              <w:t>125.42</w:t>
            </w:r>
          </w:p>
        </w:tc>
        <w:tc>
          <w:tcPr>
            <w:tcW w:w="950" w:type="dxa"/>
          </w:tcPr>
          <w:p>
            <w:pPr>
              <w:spacing w:before="30" w:after="30"/>
              <w:jc w:val="center"/>
              <w:keepNext/>
            </w:pPr>
            <w:r>
              <w:rPr>
                <w:sz w:val="16"/>
              </w:rPr>
              <w:t>2.325</w:t>
            </w:r>
          </w:p>
        </w:tc>
        <w:tc>
          <w:tcPr>
            <w:tcW w:w="1050" w:type="dxa"/>
          </w:tcPr>
          <w:p>
            <w:pPr>
              <w:spacing w:before="30" w:after="30"/>
              <w:jc w:val="center"/>
              <w:keepNext/>
            </w:pPr>
            <w:r>
              <w:rPr>
                <w:sz w:val="16"/>
              </w:rPr>
              <w:t>1.52</w:t>
            </w:r>
          </w:p>
        </w:tc>
      </w:tr>
      <w:tr>
        <w:trPr>
          <w:cantSplit/>
        </w:trPr>
        <w:tc>
          <w:tcPr>
            <w:tcW w:w="750" w:type="dxa"/>
          </w:tcPr>
          <w:p>
            <w:pPr>
              <w:spacing w:before="30" w:after="30"/>
              <w:jc w:val="center"/>
            </w:pPr>
            <w:r>
              <w:rPr>
                <w:sz w:val="16"/>
              </w:rPr>
              <w:t>P3 W</w:t>
            </w:r>
          </w:p>
        </w:tc>
        <w:tc>
          <w:tcPr>
            <w:tcW w:w="1050" w:type="dxa"/>
          </w:tcPr>
          <w:p>
            <w:pPr>
              <w:spacing w:before="30" w:after="30"/>
              <w:jc w:val="center"/>
            </w:pPr>
            <w:r>
              <w:rPr>
                <w:sz w:val="16"/>
              </w:rPr>
              <w:t>131.57</w:t>
            </w:r>
          </w:p>
        </w:tc>
        <w:tc>
          <w:tcPr>
            <w:tcW w:w="1050" w:type="dxa"/>
          </w:tcPr>
          <w:p>
            <w:pPr>
              <w:spacing w:before="30" w:after="30"/>
              <w:jc w:val="center"/>
            </w:pPr>
            <w:r>
              <w:rPr>
                <w:sz w:val="16"/>
              </w:rPr>
              <w:t>125.17</w:t>
            </w:r>
          </w:p>
        </w:tc>
        <w:tc>
          <w:tcPr>
            <w:tcW w:w="950" w:type="dxa"/>
          </w:tcPr>
          <w:p>
            <w:pPr>
              <w:spacing w:before="30" w:after="30"/>
              <w:jc w:val="center"/>
            </w:pPr>
            <w:r>
              <w:rPr>
                <w:sz w:val="16"/>
              </w:rPr>
              <w:t>2.291</w:t>
            </w:r>
          </w:p>
        </w:tc>
        <w:tc>
          <w:tcPr>
            <w:tcW w:w="1050" w:type="dxa"/>
          </w:tcPr>
          <w:p>
            <w:pPr>
              <w:spacing w:before="30" w:after="30"/>
              <w:jc w:val="center"/>
            </w:pPr>
            <w:r>
              <w:rPr>
                <w:sz w:val="16"/>
              </w:rPr>
              <w:t>1.66</w:t>
            </w:r>
          </w:p>
        </w:tc>
      </w:tr>
    </w:tbl>
    <w:p>
      <w:pPr>
        <w:pStyle w:val="tablefootnote"/>
        <w:numPr>
          <w:ilvl w:val="0"/>
          <w:numId w:val="0"/>
        </w:numPr>
      </w:pPr>
      <w:r>
        <w:t xml:space="preserve">Pipeline is summed query execution time; LLM is measured inference time, Search is cache lookup, Vector is prepared-vector retrieval. s/ms denote seconds/milliseconds. One run per condition; warmup and setup are excluded. These components do not exhaust pipeline work.</w:t>
      </w:r>
    </w:p>
    <w:p>
      <w:pPr>
        <w:pStyle w:val="BodyText"/>
      </w:pPr>
      <w:r>
        <w:t xml:space="preserve">Pipeline runtime includes SQL, cache work and inference. Prepared-vector retrieval omits remote embedding computation. Concurrent provider contention and one observation per condition make latency exploratory. Including warmup, live inference consumed 2779 request attempts, 214011 input and 5558 output tokens. Its configured token-price estimate is USD 0.0219569; encoding, reference generation and interrupted setup billing remain separate costs.</w:t>
      </w:r>
    </w:p>
    <w:p>
      <w:pPr>
        <w:pStyle w:val="Heading1"/>
        <w:numPr>
          <w:ilvl w:val="0"/>
          <w:numId w:val="25"/>
        </w:numPr>
      </w:pPr>
      <w:r>
        <w:t xml:space="preserve">Limitations</w:t>
      </w:r>
    </w:p>
    <w:p>
      <w:pPr>
        <w:pStyle w:val="BodyText"/>
      </w:pPr>
      <w:r>
        <w:t xml:space="preserve">The single enriched review source, 96 test reviews and 12 query plans support a mechanism study rather than production generalization. The 1824 replay query executions across the original and diagnostic suites repeatedly use that corpus; alternate orders assess sequence sensitivity, not new datasets. Model-reference agreement measures fidelity to saved outputs, with unknown human accuracy and documented ambiguity. A larger independent evaluation needs blinded human labels, adjudication, representative traffic and separate challenge traffic.</w:t>
      </w:r>
    </w:p>
    <w:p>
      <w:pPr>
        <w:pStyle w:val="BodyText"/>
      </w:pPr>
      <w:r>
        <w:t xml:space="preserve">The diagnostic design was chosen after viewing test results. Validation-derived endpoints do not restore an untouched test set, and no diagnostic setting replaces the original freeze. Neither validation targets nor a human error guarantee were achieved. One model/embedding pair, a numerical paper-v1 reimplementation, exact vector search, precomputed embeddings and limited live replication further restrict transfer. Future confirmatory comparisons should freeze calibrated constant and selectivity rules on fresh validation data before testing new corpora, query drift, online encoding and isolated runtime.</w:t>
      </w:r>
    </w:p>
    <w:p>
      <w:pPr>
        <w:pStyle w:val="Heading1"/>
        <w:numPr>
          <w:ilvl w:val="0"/>
          <w:numId w:val="25"/>
        </w:numPr>
      </w:pPr>
      <w:r>
        <w:t xml:space="preserve">Conclusion and Future Work</w:t>
      </w:r>
    </w:p>
    <w:p>
      <w:pPr>
        <w:pStyle w:val="BodyText"/>
      </w:pPr>
      <w:r>
        <w:t xml:space="preserve">The original selectivity-aware reuse threshold does not alter VectorQ decisions because every eligible score exceeds its ceiling. The score-support condition explains this equality and provides a practical activation check before costly evaluation. A post-hoc sweep demonstrates that active thresholds change reference fidelity and inference cost; the active quantile selectivity rule still changes result sets. The supported contribution is a calibration diagnosis and auditable evaluation framework. Establishing a selectivity-specific advantage requires fresh, human-verified evidence against calibrated constant controls.</w:t>
      </w:r>
    </w:p>
    <w:p>
      <w:pPr>
        <w:pStyle w:val="Heading5"/>
        <w:numPr>
          <w:ilvl w:val="0"/>
          <w:numId w:val="0"/>
        </w:numPr>
      </w:pPr>
      <w:r>
        <w:t xml:space="preserve">Acknowledgment</w:t>
      </w:r>
    </w:p>
    <w:p>
      <w:pPr>
        <w:pStyle w:val="BodyText"/>
      </w:pPr>
      <w:r>
        <w:t xml:space="preserve">The authors thank faculty guide Dr. Saritha Murali for guidance on the Database Systems project.</w:t>
      </w:r>
    </w:p>
    <w:p>
      <w:pPr>
        <w:pStyle w:val="Heading5"/>
        <w:numPr>
          <w:ilvl w:val="0"/>
          <w:numId w:val="0"/>
        </w:numPr>
      </w:pPr>
      <w:r>
        <w:t xml:space="preserve">References</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 L. G. Schroeder et al., “Adaptive semantic prompt caching with VectorQ,” arXiv:2502.03771, version 1, 2025. [Online]. Available: https://arxiv.org/html/2502.03771v1</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 vCache Project, “vCache,” inspected revision 50694eebf0c870231030f73707cb6543d47f0411. [Online]. Available: https://github.com/vcache-project/vCache/tree/50694eebf0c870231030f73707cb6543d47f0411. Accessed: Oct. 26, 2026.</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[3] L. G. Schroeder, A. Desai, A. Cuadron Lafuente, K. Chu, S. Liu, M. Zhao, S. Krusche, A. Kemper, M. Zaharia, and J. E. Gonzalez, “vCache: Verified Semantic Prompt Caching,” in Proc. International Conference on Learning Representations (ICLR), 2026. [Online]. Available: https://proceedings.iclr.cc/paper_files/paper/2026/hash/9559cd2116de7a8f5672eac3fcd232cc-Abstract-Conference.html</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[4] X. Liu, B. Atalar, X. Dai, J. Zuo, S. Wang, J. C. S. Lui, W. Chen, and C. Joe-Wong, “Semantic Caching for Low-Cost LLM Serving: From Offline Learning to Online Adaptation,” in Proc. IEEE INFOCOM 2026—IEEE Conference on Computer Communications, pp. 1–10, May 2026, doi: 10.1109/INFOCOM59046.2026.11571467.</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[5] L. Bindschaedler, “Semantic caching for OLAP via LLM-based query canonicalization (extended version),” arXiv preprint arXiv:2602.19811, Feb. 2026, doi: 10.48550/arXiv.2602.19811.</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[6] C. Liu, M. Russo, M. Cafarella, L. Cao, P. B. Chen, Z. Chen, M. Franklin, T. Kraska, S. Madden, R. Shahout, and G. Vitagliano, "Palimpzest: Optimizing AI-powered analytics with declarative query processing," in Proc. 15th Annual Conf. on Innovative Data Systems Research (CIDR), Amsterdam, Netherlands, 2025. [Online]. Available: https://www.vldb.org/cidrdb/papers/2025/p12-liu.pdf</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[7] M. Russo, C. Liu, S. Sudhir, G. Vitagliano, M. Cafarella, T. Kraska, and S. Madden, "Abacus: A cost-based optimizer for semantic operator systems," Proc. VLDB Endowment, vol. 19, no. 5, pp. 1060–1073, 2026, doi: 10.14778/3796195.3796215.</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[8] U. Kumarasinghe, T. Liu, A. R. Mahmood, C. Liu, and W. G. Aref, “iPDB—Optimizing Semantic SQL Queries,” arXiv preprint arXiv:2601.16432v4, Apr. 2026, doi: 10.48550/arXiv.2601.16432</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[9] A. Biswal, L. Patel, S. Jha, A. Kamsetty, S. Liu, J. E. Gonzalez, C. Guestrin, and M. Zaharia, "Text2SQL is not enough: Unifying AI and databases with TAG," arXiv preprint arXiv:2408.14717, 2024. [Online]. Available: https://arxiv.org/abs/2408.14717</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[10] S. Liu, J. Xu, W. Tjangnaka, S. J. Semnani, C. J. Yu, and M. S. Lam, "SUQL: Conversational search over structured and unstructured data with large language models," in Findings of the Association for Computational Linguistics: NAACL 2024, Mexico City, Mexico, 2024, pp. 4535–4555, doi: 10.18653/v1/2024.findings-naacl.283.</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[11] Y. Lin, M. Hulsebos, R. Ma, S. Shankar, S. Zeighami, A. G. Parameswaran, and E. Wu, "Towards accurate and efficient document analytics with large language models," arXiv preprint arXiv:2405.04674, 2024. [Online]. Available: https://arxiv.org/abs/2405.04674</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[12] P. Zhao, H. Zhang, Q. Yu, Z. Wang, Y. Geng, F. Fu, L. Yang, et al., “Retrieval-augmented generation for AI-generated content: A survey,” Data Science and Engineering, vol. 11, pp. 1–29, 2026, doi: 10.1007/s41019-025-00335-5.</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[13] G. Katsogiannis-Meimarakis and G. Koutrika, “A survey on deep learning approaches for text-to-SQL,” The VLDB Journal, vol. 32, pp. 905–936, 2023, doi: 10.1007/s00778-022-00776-8.</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[14] A. Bajgoti, R. Gupta, and R. Dwivedi, "ASKSQL: Enabling cost-effective natural language to SQL conversion for enhanced analytics and search," Mach. Learn. Appl., vol. 20, Art. no. 100641, Jun. 2025, doi: 10.1016/j.mlwa.2025.100641.</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[15] T. Ren et al., “PURPLE: Making a large language model a better SQL writer,” in Proc. ICDE, pp. 15–28, 2024, doi: 10.1109/ICDE60146.2024.00009.</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[16] N. Vasilenko, A. Demin, and V. Boorlakov, “Training-Free Query Optimization via LLM-Based Plan Similarity,” arXiv preprint arXiv:2506.05853v2, Jul. 2025, doi: 10.48550/arXiv.2506.05853</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[17] H. A. A. Abed Allah, “LLM-augmented query optimization: A hybrid framework for intelligent SQL performance tuning,” BOHR Int. J. Internet Things, Artif. Intell. Mach. Learn., vol. 5, no. 1, pp. 6–18, Jul. 2026, doi: 10.54646/bijiam.2026.34.</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[18] S.-J. Qiao, H.-L. Fan, N. Han, L. Du, Y.-H. Peng, R.-M. Tang, and X. Qin, “Learning database optimization techniques: The state-of-the-art and prospects,” Frontiers of Computer Science, vol. 19, no. 12, Art. no. 1912612, 2025, doi: 10.1007/s11704-025-41116-7.</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[19] B. Milicevic and Z. Babovic, “A systematic review of deep learning applications in database query execution,” Journal of Big Data, vol. 11, Art. no. 173, 2024, doi: 10.1186/s40537-024-01025-1.</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[20] S. Bagui, M. Malagutti, R. Morelli, and M. Tamascelli, “Large language models in database management system optimization: A survey,” ACM Transactions on Intelligent Systems and Technology, vol. 17, no. 5, Art. no. 119, pp. 1–37, 2026, doi: 10.1145/3829078.</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[21] W. Lu, J. Zhang, J. Fan, Z. Fu, Y. Chen, and X. Du, “Large language model for table processing: A survey,” Frontiers of Computer Science, vol. 19, no. 2, Art. no. 192350, 2025, doi: 10.1007/s11704-024-40763-6.</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[22] D. Xu, W. Chen, W. Peng, C. Zhang, T. Xu, X. Zhao, X. Wu, Y. Zheng, Y. Wang, and E. Chen, “Large language models for generative information extraction: A survey,” Frontiers of Computer Science, vol. 18, Art. no. 186357, 2024, doi: 10.1007/s11704-024-40555-y.</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[23] P. Kumar, “Large language models (LLMs): Survey, technical frameworks, and future challenges,” Artificial Intelligence Review, vol. 57, no. 9, Art. no. 260, 2024, doi: 10.1007/s10462-024-10888-y.</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[24] H. Jégou, M. Douze, and C. Schmid, "Product quantization for nearest neighbor search," IEEE Trans. Pattern Anal. Mach. Intell., vol. 33, no. 1, pp. 117–128, 2011, doi: 10.1109/TPAMI.2010.57.</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[25] J. J. Pan, J. Wang, and G. Li, “Vector database management techniques and systems,” in Companion of SIGMOD, pp. 597–604, 2024, doi: 10.1145/3626246.3654691.</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[26] L. Patel, P. Kraft, C. Guestrin, and M. Zaharia, "ACORN: Performant and predicate-agnostic search over vector embeddings and structured data," Proc. ACM Manag. Data, vol. 2, no. 3, pp. 1–27, 2024. [Online]. Available: https://arxiv.org/abs/2403.04871</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[27] W. Kwon, Z. Li, S. Zhuang, Y. Sheng, L. Zheng, C. H. Yu, J. E. Gonzalez, H. Zhang, and I. Stoica, "Efficient memory management for large language model serving with PagedAttention," in Proc. 29th ACM Symp. on Operating Systems Principles (SOSP), 2023, pp. 611–626, doi: 10.1145/3600006.3613165.</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[28] Mistral AI, “ministral-3b-2512,” model documentation. [Online]. Available: https://docs.mistral.ai/models/ministral-3-3b-25-12. Accessed: Oct. 26, 2026.</w:t>
      </w:r>
    </w:p>
    <w:p>
      <w:pPr>
        <w:pStyle w:val="references"/>
        <w:spacing w:line="12pt" w:lineRule="auto"/>
        <w:rPr>
          <w:rFonts w:eastAsia="SimSun"/>
          <w:b/>
          <w:noProof w:val="0"/>
          <w:color w:val="FF0000"/>
          <w:spacing w:val="-1"/>
          <w:sz w:val="20"/>
          <w:szCs w:val="20"/>
          <w:lang w:val="x-none" w:eastAsia="x-none"/>
        </w:rPr>
        <w:numPr>
          <w:numId w:val="0"/>
        </w:numPr>
        <w:jc w:val="start"/>
        <w:ind w:left="240" w:hanging="240"/>
      </w:pPr>
      <w:r>
        <w:rPr>
          <w:b w:val="0"/>
          <w:bCs w:val="0"/>
        </w:rPr>
        <w:t xml:space="preserve">[29] Mistral AI, “mistral-embed-2312,” model documentation. [Online]. Available: https://docs.mistral.ai/models/mistral-embed-23-12. Accessed: Oct. 26, 2026.</w:t>
      </w:r>
    </w:p>
    <w:p w:rsidRPr="00F96569" w:rsidR="00836367" w:rsidP="008B6524" w:rsidRDefault="00836367" w14:paraId="2CBC4D6A" w14:textId="77777777">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Pr="00F96569" w:rsidR="00836367" w:rsidSect="003B4E04">
          <w:type w:val="continuous"/>
          <w:pgSz w:w="595.3pt" w:h="841.9pt" w:orient="portrait" w:code="9"/>
          <w:pgMar w:top="54pt" w:right="45.35pt" w:bottom="72pt" w:left="45.35pt" w:header="36pt" w:footer="36pt" w:gutter="0pt"/>
          <w:cols w:space="360" w:num="2"/>
          <w:docGrid w:linePitch="360"/>
        </w:sectPr>
      </w:pPr>
      <w:r>
        <w:t/>
      </w:r>
    </w:p>
    <w:sectPr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285286" w:rsidP="001A3B3D" w:rsidRDefault="00285286" w14:paraId="08794493" w14:textId="77777777">
      <w:r>
        <w:separator/>
      </w:r>
    </w:p>
  </w:endnote>
  <w:endnote w:type="continuationSeparator" w:id="0">
    <w:p w:rsidR="00285286" w:rsidP="001A3B3D" w:rsidRDefault="00285286" w14:paraId="07A4ACFE"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69E75918" w14:textId="77777777">
    <w:pPr>
      <w:pStyle w:val="Footer"/>
      <w:jc w:val="start"/>
      <w:rPr>
        <w:sz w:val="16"/>
        <w:szCs w:val="16"/>
      </w:rPr>
    </w:pPr>
    <w:r w:rsidRPr="006F6D3D">
      <w:rPr>
        <w:sz w:val="16"/>
        <w:szCs w:val="16"/>
      </w:rPr>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285286" w:rsidP="001A3B3D" w:rsidRDefault="00285286" w14:paraId="33527506" w14:textId="77777777">
      <w:r>
        <w:separator/>
      </w:r>
    </w:p>
  </w:footnote>
  <w:footnote w:type="continuationSeparator" w:id="0">
    <w:p w:rsidR="00285286" w:rsidP="001A3B3D" w:rsidRDefault="00285286" w14:paraId="6F8E9B4A"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abstractNum w:abstractNumId="21">
    <w:multiLevelType w:val="singleLevel"/>
    <w:lvl w:ilvl="0">
      <w:start w:val="1"/>
      <w:numFmt w:val="upperRoman"/>
      <w:lvlText w:val="%1."/>
      <w:suff w:val="space"/>
      <w:lvlJc w:val="start"/>
    </w:lvl>
  </w:abstractNum>
  <w:abstractNum w:abstractNumId="22">
    <w:multiLevelType w:val="singleLevel"/>
    <w:lvl w:ilvl="0">
      <w:start w:val="1"/>
      <w:numFmt w:val="upperLetter"/>
      <w:lvlText w:val="%1."/>
      <w:suff w:val="space"/>
      <w:lvlJc w:val="start"/>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abstractNumId w:val="21"/>
  </w:num>
  <w:num w:numId="26">
    <w:abstractNumId w:val="22"/>
    <w:lvlOverride w:ilvl="0">
      <w:startOverride w:val="1"/>
    </w:lvlOverride>
  </w:num>
  <w:num w:numId="27">
    <w:abstractNumId w:val="22"/>
    <w:lvlOverride w:ilvl="0">
      <w:startOverride w:val="1"/>
    </w:lvlOverride>
  </w:num>
  <w:num w:numId="28">
    <w:abstractNumId w:val="22"/>
    <w:lvlOverride w:ilvl="0">
      <w:startOverride w:val="1"/>
    </w:lvlOverride>
  </w:num>
  <w:num w:numId="29">
    <w:abstractNumId w:val="22"/>
    <w:lvlOverride w:ilvl="0">
      <w:startOverride w:val="1"/>
    </w:lvlOverride>
  </w:num>
  <w:num w:numId="30">
    <w:abstractNumId w:val="22"/>
    <w:lvlOverride w:ilvl="0">
      <w:startOverride w:val="1"/>
    </w:lvlOverride>
  </w:num>
  <w:num w:numId="31">
    <w:abstractNumId w:val="22"/>
    <w:lvlOverride w:ilvl="0">
      <w:startOverride w:val="1"/>
    </w:lvlOverride>
  </w:num>
  <w:num w:numId="32">
    <w:abstractNumId w:val="22"/>
    <w:lvlOverride w:ilvl="0">
      <w:startOverride w:val="1"/>
    </w:lvlOverride>
  </w:num>
  <w:num w:numId="33">
    <w:abstractNumId w:val="2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p14">
  <w:zoom w:percent="100%"/>
  <w:embedSystemFont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287E"/>
    <w:rsid w:val="000C1E68"/>
    <w:rsid w:val="000E609D"/>
    <w:rsid w:val="000E616A"/>
    <w:rsid w:val="001A2EFD"/>
    <w:rsid w:val="001A3B3D"/>
    <w:rsid w:val="001B67DC"/>
    <w:rsid w:val="002254A9"/>
    <w:rsid w:val="00233D97"/>
    <w:rsid w:val="002347A2"/>
    <w:rsid w:val="002850E3"/>
    <w:rsid w:val="00285286"/>
    <w:rsid w:val="002D25CE"/>
    <w:rsid w:val="00354FCF"/>
    <w:rsid w:val="003A19E2"/>
    <w:rsid w:val="003A6D87"/>
    <w:rsid w:val="003B2B40"/>
    <w:rsid w:val="003B4E04"/>
    <w:rsid w:val="003F5A08"/>
    <w:rsid w:val="00420716"/>
    <w:rsid w:val="004325FB"/>
    <w:rsid w:val="004432BA"/>
    <w:rsid w:val="0044407E"/>
    <w:rsid w:val="00447BB9"/>
    <w:rsid w:val="0046031D"/>
    <w:rsid w:val="00473AC9"/>
    <w:rsid w:val="0047608D"/>
    <w:rsid w:val="004D72B5"/>
    <w:rsid w:val="00551B7F"/>
    <w:rsid w:val="0056610F"/>
    <w:rsid w:val="00575BCA"/>
    <w:rsid w:val="005B0344"/>
    <w:rsid w:val="005B520E"/>
    <w:rsid w:val="005E2800"/>
    <w:rsid w:val="00605825"/>
    <w:rsid w:val="00645D22"/>
    <w:rsid w:val="00651A08"/>
    <w:rsid w:val="00654204"/>
    <w:rsid w:val="00665247"/>
    <w:rsid w:val="00670434"/>
    <w:rsid w:val="00682D06"/>
    <w:rsid w:val="0069501F"/>
    <w:rsid w:val="006A5D82"/>
    <w:rsid w:val="006B6B66"/>
    <w:rsid w:val="006F6D3D"/>
    <w:rsid w:val="00715BEA"/>
    <w:rsid w:val="00740EEA"/>
    <w:rsid w:val="0078157F"/>
    <w:rsid w:val="00785AE5"/>
    <w:rsid w:val="00794804"/>
    <w:rsid w:val="007B33F1"/>
    <w:rsid w:val="007B6DDA"/>
    <w:rsid w:val="007C0308"/>
    <w:rsid w:val="007C2FF2"/>
    <w:rsid w:val="007D6232"/>
    <w:rsid w:val="007E63AB"/>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95633"/>
    <w:rsid w:val="00AE3409"/>
    <w:rsid w:val="00AE6C93"/>
    <w:rsid w:val="00B11A60"/>
    <w:rsid w:val="00B22613"/>
    <w:rsid w:val="00B44A76"/>
    <w:rsid w:val="00B768D1"/>
    <w:rsid w:val="00B82405"/>
    <w:rsid w:val="00BA1025"/>
    <w:rsid w:val="00BC3420"/>
    <w:rsid w:val="00BD670B"/>
    <w:rsid w:val="00BE7D3C"/>
    <w:rsid w:val="00BF5FF6"/>
    <w:rsid w:val="00C0207F"/>
    <w:rsid w:val="00C02C45"/>
    <w:rsid w:val="00C12AD1"/>
    <w:rsid w:val="00C16117"/>
    <w:rsid w:val="00C3075A"/>
    <w:rsid w:val="00C35DE0"/>
    <w:rsid w:val="00C72BF3"/>
    <w:rsid w:val="00C919A4"/>
    <w:rsid w:val="00CA4392"/>
    <w:rsid w:val="00CC393F"/>
    <w:rsid w:val="00CE2707"/>
    <w:rsid w:val="00D2176E"/>
    <w:rsid w:val="00D632BE"/>
    <w:rsid w:val="00D72D06"/>
    <w:rsid w:val="00D7522C"/>
    <w:rsid w:val="00D7536F"/>
    <w:rsid w:val="00D76668"/>
    <w:rsid w:val="00E07383"/>
    <w:rsid w:val="00E165BC"/>
    <w:rsid w:val="00E61E12"/>
    <w:rsid w:val="00E642DB"/>
    <w:rsid w:val="00E7596C"/>
    <w:rsid w:val="00E878F2"/>
    <w:rsid w:val="00E922A3"/>
    <w:rsid w:val="00ED0149"/>
    <w:rsid w:val="00ED4008"/>
    <w:rsid w:val="00EF7DE3"/>
    <w:rsid w:val="00F03103"/>
    <w:rsid w:val="00F271DE"/>
    <w:rsid w:val="00F627DA"/>
    <w:rsid w:val="00F7288F"/>
    <w:rsid w:val="00F847A6"/>
    <w:rsid w:val="00F9441B"/>
    <w:rsid w:val="00FA4C32"/>
    <w:rsid w:val="00FD0D4A"/>
    <w:rsid w:val="00FE7114"/>
    <w:rsid w:val="37B89BF5"/>
    <w:rsid w:val="3EB60C19"/>
    <w:rsid w:val="4988F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purl.oclc.org/ooxml/officeDocument/relationships/webSettings" Target="webSettings.xml" Id="rId8" /><Relationship Type="http://purl.oclc.org/ooxml/officeDocument/relationships/hyperlink" Target="https://arxiv.org/abs/1312.6114" TargetMode="External" Id="rId13" /><Relationship Type="http://purl.oclc.org/ooxml/officeDocument/relationships/customXml" Target="../customXml/item3.xml" Id="rId3" /><Relationship Type="http://purl.oclc.org/ooxml/officeDocument/relationships/settings" Target="settings.xml" Id="rId7" /><Relationship Type="http://purl.oclc.org/ooxml/officeDocument/relationships/hyperlink" Target="https://codeocean.com/capsule/4989235/tree" TargetMode="External" Id="rId12" /><Relationship Type="http://purl.oclc.org/ooxml/officeDocument/relationships/customXml" Target="../customXml/item2.xml" Id="rId2" /><Relationship Type="http://purl.oclc.org/ooxml/officeDocument/relationships/customXml" Target="../customXml/item1.xml" Id="rId1" /><Relationship Type="http://purl.oclc.org/ooxml/officeDocument/relationships/styles" Target="styles.xml" Id="rId6" /><Relationship Type="http://purl.oclc.org/ooxml/officeDocument/relationships/footer" Target="footer1.xml" Id="rId11" /><Relationship Type="http://purl.oclc.org/ooxml/officeDocument/relationships/numbering" Target="numbering.xml" Id="rId5" /><Relationship Type="http://purl.oclc.org/ooxml/officeDocument/relationships/theme" Target="theme/theme1.xml" Id="rId15" /><Relationship Type="http://purl.oclc.org/ooxml/officeDocument/relationships/endnotes" Target="endnotes.xml" Id="rId10" /><Relationship Type="http://purl.oclc.org/ooxml/officeDocument/relationships/customXml" Target="../customXml/item4.xml" Id="rId4" /><Relationship Type="http://purl.oclc.org/ooxml/officeDocument/relationships/footnotes" Target="footnotes.xml" Id="rId9" /><Relationship Type="http://purl.oclc.org/ooxml/officeDocument/relationships/fontTable" Target="fontTable.xml" Id="rId14"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d091abb-7854-48e8-a479-5ce1825d480b" xsi:nil="true"/>
    <lcf76f155ced4ddcb4097134ff3c332f xmlns="1a7a26f8-2c60-4d6c-98b1-e191a531c45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C52D72F979A384D830AF2556F5890C7" ma:contentTypeVersion="10" ma:contentTypeDescription="Create a new document." ma:contentTypeScope="" ma:versionID="7d1f47a0a48745a586072954e19c07fc">
  <xsd:schema xmlns:xsd="http://www.w3.org/2001/XMLSchema" xmlns:xs="http://www.w3.org/2001/XMLSchema" xmlns:p="http://schemas.microsoft.com/office/2006/metadata/properties" xmlns:ns2="1a7a26f8-2c60-4d6c-98b1-e191a531c455" xmlns:ns3="fd091abb-7854-48e8-a479-5ce1825d480b" targetNamespace="http://schemas.microsoft.com/office/2006/metadata/properties" ma:root="true" ma:fieldsID="078746ae1c8d5def193a85be32f3545b" ns2:_="" ns3:_="">
    <xsd:import namespace="1a7a26f8-2c60-4d6c-98b1-e191a531c455"/>
    <xsd:import namespace="fd091abb-7854-48e8-a479-5ce1825d48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a26f8-2c60-4d6c-98b1-e191a531c4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91abb-7854-48e8-a479-5ce1825d48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76b3c3-0249-48e0-86fb-a945577a82c9}" ma:internalName="TaxCatchAll" ma:showField="CatchAllData" ma:web="fd091abb-7854-48e8-a479-5ce1825d4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purl.oclc.org/ooxml/officeDocument/customXml" ds:itemID="{8B02C74B-6F96-47AD-8933-5002C6F698DB}">
  <ds:schemaRefs>
    <ds:schemaRef ds:uri="http://schemas.microsoft.com/office/2006/metadata/properties"/>
    <ds:schemaRef ds:uri="http://schemas.microsoft.com/office/infopath/2007/PartnerControls"/>
    <ds:schemaRef ds:uri="fd091abb-7854-48e8-a479-5ce1825d480b"/>
    <ds:schemaRef ds:uri="1a7a26f8-2c60-4d6c-98b1-e191a531c455"/>
  </ds:schemaRefs>
</ds:datastoreItem>
</file>

<file path=customXml/itemProps2.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3.xml><?xml version="1.0" encoding="utf-8"?>
<ds:datastoreItem xmlns:ds="http://purl.oclc.org/ooxml/officeDocument/customXml" ds:itemID="{5BBFE8A6-1722-4A66-B56B-B5DC87C87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7a26f8-2c60-4d6c-98b1-e191a531c455"/>
    <ds:schemaRef ds:uri="fd091abb-7854-48e8-a479-5ce1825d4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purl.oclc.org/ooxml/officeDocument/customXml" ds:itemID="{683BEA41-6D2C-43FC-8F0D-66726824D2A3}">
  <ds:schemaRefs>
    <ds:schemaRef ds:uri="http://schemas.microsoft.com/sharepoint/v3/contenttype/forms"/>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Calibration of Selectivity Aware Semantic Reuse in Hybrid SQL and Language Model Pipelines</dc:title>
  <dc:subject/>
  <dc:creator>Nandana Raj; Harshit Gupta; Vaishnavi Ganesan</dc:creator>
  <keywords/>
  <lastModifiedBy>Nandana Raj; Harshit Gupta; Vaishnavi Ganesan</lastModifiedBy>
  <revision>22</revision>
  <dcterms:created xsi:type="dcterms:W3CDTF">2024-07-16T13:42:00.0000000Z</dcterms:created>
  <dcterms:modified xsi:type="dcterms:W3CDTF">2026-10-19T15:02:33.1418787Z</dcterms:modified>
</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0x010100AC52D72F979A384D830AF2556F5890C7</vt:lpwstr>
  </property>
  <property fmtid="{D5CDD505-2E9C-101B-9397-08002B2CF9AE}" pid="3" name="MediaServiceImageTags">
    <vt:lpwstr/>
  </property>
</Properties>
</file>