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Default Extension="png" ContentType="image/png"/>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officeDocument" Target="/word/document.xml" Id="Rcd6679c839224448" /><Relationship Type="http://schemas.openxmlformats.org/package/2006/relationships/metadata/core-properties" Target="/docProps/core.xml" Id="R655d03e9a5df4c88" /><Relationship Type="http://schemas.openxmlformats.org/officeDocument/2006/relationships/extended-properties" Target="/docProps/app.xml" Id="Re40ac965a5834e72" /><Relationship Type="http://schemas.openxmlformats.org/officeDocument/2006/relationships/custom-properties" Target="/docProps/custom.xml" Id="R33889da050934302"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Title"/>
        <w:spacing w:after="120"/>
        <w:jc w:val="center"/>
      </w:pPr>
      <w:r>
        <w:rPr>
          <w:b/>
          <w:sz w:val="56"/>
        </w:rPr>
        <w:t xml:space="preserve">CareFlow AI</w:t>
      </w:r>
    </w:p>
    <w:p w14:paraId="00100002" w14:textId="00100003">
      <w:pPr>
        <w:pStyle w:val="Subtitle"/>
        <w:spacing w:after="80"/>
        <w:jc w:val="center"/>
      </w:pPr>
      <w:r>
        <w:rPr>
          <w:sz w:val="32"/>
        </w:rPr>
        <w:t xml:space="preserve">Healthcare Readmission Analytics &amp; Decision Support</w:t>
      </w:r>
    </w:p>
    <w:p w14:paraId="00100004" w14:textId="00100005">
      <w:pPr>
        <w:spacing w:after="80"/>
        <w:jc w:val="center"/>
      </w:pPr>
      <w:r>
        <w:rPr>
          <w:sz w:val="24"/>
        </w:rPr>
        <w:t xml:space="preserve">Project Report — Prepared by Sameer</w:t>
      </w:r>
    </w:p>
    <w:p w14:paraId="00100006" w14:textId="00100007">
      <w:pPr>
        <w:spacing w:after="480"/>
        <w:jc w:val="center"/>
      </w:pPr>
      <w:r>
        <w:rPr>
          <w:sz w:val="22"/>
        </w:rPr>
        <w:t xml:space="preserve">Dataset: UCI ML Repository — Diabetes 130-US Hospitals (1999–2008)</w:t>
      </w:r>
    </w:p>
    <w:p w14:paraId="00100008" w14:textId="00100009">
      <w:pPr>
        <w:pStyle w:val="Heading1"/>
        <w:spacing w:before="240" w:after="160"/>
      </w:pPr>
      <w:r>
        <w:rPr>
          <w:b/>
          <w:sz w:val="32"/>
        </w:rPr>
        <w:t xml:space="preserve">1. Executive Summary</w:t>
      </w:r>
    </w:p>
    <w:p w14:paraId="0010000A" w14:textId="0010000B">
      <w:pPr>
        <w:spacing w:after="160"/>
      </w:pPr>
      <w:r>
        <w:rPr>
          <w:sz w:val="22"/>
        </w:rPr>
        <w:t xml:space="preserve">CareFlow AI is a portfolio-quality healthcare analytics application built on the UCI Diabetes 130-US Hospitals dataset (1999–2008). The application enables hospital administrators and quality improvement teams to track early readmission KPIs, identify clinical and operational risk patterns, evaluate a predictive model, and act on evidence-based recommendations — all through an interactive Streamlit interface.</w:t>
      </w:r>
    </w:p>
    <w:p w14:paraId="0010000C" w14:textId="0010000D">
      <w:pPr>
        <w:spacing w:after="160"/>
      </w:pPr>
      <w:r>
        <w:rPr>
          <w:sz w:val="22"/>
        </w:rPr>
        <w:t xml:space="preserve">Key findings from the analysis: the eligible population of 99,340 encounters shows an overall early (within-30-day) readmission rate of 11.39%. Prior inpatient utilisation is the single strongest predictor, with patients having 3+ prior inpatient stays reaching a 26.4% early readmission rate. Only 16.95% of encounters have an A1C result documented. The Random Forest classifier achieved a ROC-AUC of 0.6639, meaningfully above the 0.50 majority-class baseline.</w:t>
      </w:r>
    </w:p>
    <w:p w14:paraId="001002ED" w14:textId="001002EE">
      <w:pPr>
        <w:spacing w:before="160" w:after="80"/>
        <w:jc w:val="center"/>
      </w:pPr>
      <w:r>
        <w:rPr>
          <w:color w:val="57606A"/>
          <w:sz w:val="20"/>
        </w:rPr>
        <w:t xml:space="preserve">Figure 1: Executive Dashboard — KPI cards (99,340 eligible encounters, 11.39% early readmission rate, 69,987 unique patients, 16.9% A1C coverage), readmission outcome donut chart, and early readmission rate by age group. Dark notice box confirms the eligible-population definition.</w:t>
      </w:r>
    </w:p>
    <w:p w14:paraId="001002EF" w14:textId="001002F0">
      <w:pPr>
        <w:spacing w:line="240" w:lineRule="auto"/>
      </w:pPr>
      <w:r>
        <w:rPr/>
        <w:drawing>
          <wp:inline distT="0" distB="0" distL="0" distR="0">
            <wp:extent cx="5400000" cy="3240000"/>
            <wp:effectExtent l="0" t="0" r="0" b="0"/>
            <wp:docPr id="1" name="tab1_executive_dashboard.png" descr=""/>
            <wp:cNvGraphicFramePr>
              <a:graphicFrameLocks noChangeAspect="1"/>
            </wp:cNvGraphicFramePr>
            <a:graphic>
              <a:graphicData uri="http://schemas.openxmlformats.org/drawingml/2006/picture">
                <pic:pic>
                  <pic:nvPicPr>
                    <pic:cNvPr id="1" name="tab1_executive_dashboard.png"/>
                    <pic:cNvPicPr/>
                  </pic:nvPicPr>
                  <pic:blipFill>
                    <a:blip r:embed="R0e0ae7053e814eef" cstate="print"/>
                    <a:stretch>
                      <a:fillRect/>
                    </a:stretch>
                  </pic:blipFill>
                  <pic:spPr>
                    <a:xfrm>
                      <a:off x="0" y="0"/>
                      <a:ext cx="5400000" cy="3240000"/>
                    </a:xfrm>
                    <a:prstGeom prst="rect">
                      <a:avLst/>
                    </a:prstGeom>
                  </pic:spPr>
                </pic:pic>
              </a:graphicData>
            </a:graphic>
          </wp:inline>
        </w:drawing>
      </w:r>
    </w:p>
    <w:p w14:paraId="001002F1" w14:textId="001002F2">
      <w:pPr>
        <w:spacing w:after="200"/>
      </w:pPr>
      <w:r>
        <w:rPr/>
        <w:t xml:space="preserve"/>
      </w:r>
    </w:p>
    <w:p w14:paraId="0010000E" w14:textId="0010000F">
      <w:pPr>
        <w:pStyle w:val="Heading1"/>
        <w:spacing w:before="240" w:after="160"/>
      </w:pPr>
      <w:r>
        <w:rPr>
          <w:b/>
          <w:sz w:val="32"/>
        </w:rPr>
        <w:t xml:space="preserve">2. Problem Statement &amp; Objectives</w:t>
      </w:r>
    </w:p>
    <w:p w14:paraId="001002F3" w14:textId="001002F4">
      <w:pPr>
        <w:spacing w:before="160" w:after="80"/>
        <w:jc w:val="center"/>
      </w:pPr>
      <w:r>
        <w:rPr>
          <w:color w:val="57606A"/>
          <w:sz w:val="20"/>
        </w:rPr>
        <w:t xml:space="preserve">Figure 2: Patient &amp; Encounter Profile — early readmission rates by gender (Female 11.5%, Male 11.3%), race, prior inpatient visit count, and number of diagnoses.</w:t>
      </w:r>
    </w:p>
    <w:p w14:paraId="001002F5" w14:textId="001002F6">
      <w:pPr>
        <w:spacing w:line="240" w:lineRule="auto"/>
      </w:pPr>
      <w:r>
        <w:rPr/>
        <w:drawing>
          <wp:inline distT="0" distB="0" distL="0" distR="0">
            <wp:extent cx="5400000" cy="3240000"/>
            <wp:effectExtent l="0" t="0" r="0" b="0"/>
            <wp:docPr id="2" name="tab2_patient_profile.png" descr=""/>
            <wp:cNvGraphicFramePr>
              <a:graphicFrameLocks noChangeAspect="1"/>
            </wp:cNvGraphicFramePr>
            <a:graphic>
              <a:graphicData uri="http://schemas.openxmlformats.org/drawingml/2006/picture">
                <pic:pic>
                  <pic:nvPicPr>
                    <pic:cNvPr id="2" name="tab2_patient_profile.png"/>
                    <pic:cNvPicPr/>
                  </pic:nvPicPr>
                  <pic:blipFill>
                    <a:blip r:embed="R730ff835c68f4667" cstate="print"/>
                    <a:stretch>
                      <a:fillRect/>
                    </a:stretch>
                  </pic:blipFill>
                  <pic:spPr>
                    <a:xfrm>
                      <a:off x="0" y="0"/>
                      <a:ext cx="5400000" cy="3240000"/>
                    </a:xfrm>
                    <a:prstGeom prst="rect">
                      <a:avLst/>
                    </a:prstGeom>
                  </pic:spPr>
                </pic:pic>
              </a:graphicData>
            </a:graphic>
          </wp:inline>
        </w:drawing>
      </w:r>
    </w:p>
    <w:p w14:paraId="001002F7" w14:textId="001002F8">
      <w:pPr>
        <w:spacing w:after="200"/>
      </w:pPr>
      <w:r>
        <w:rPr/>
        <w:t xml:space="preserve"/>
      </w:r>
    </w:p>
    <w:p w14:paraId="00100010" w14:textId="00100011">
      <w:pPr>
        <w:spacing w:after="160"/>
      </w:pPr>
      <w:r>
        <w:rPr>
          <w:sz w:val="22"/>
        </w:rPr>
        <w:t xml:space="preserve">Hospital readmissions within 30 days of discharge are a primary healthcare quality indicator and the basis for CMS financial penalties under the Hospital Readmissions Reduction Program (HRRP). For diabetic patients — who represent a high-cost, high-complexity population — reducing preventable readmissions requires understanding which patient and encounter characteristics most strongly predict early return.</w:t>
      </w:r>
    </w:p>
    <w:p w14:paraId="00100012" w14:textId="00100013">
      <w:pPr>
        <w:spacing w:after="80"/>
      </w:pPr>
      <w:r>
        <w:rPr>
          <w:b/>
          <w:sz w:val="22"/>
        </w:rPr>
        <w:t xml:space="preserve">Objectives:</w:t>
      </w:r>
    </w:p>
    <w:p w14:paraId="00100014" w14:textId="001002D6">
      <w:pPr>
        <w:numPr>
          <w:ilvl w:val="0"/>
          <w:numId w:val="6"/>
        </w:numPr>
        <w:spacing w:after="80"/>
      </w:pPr>
      <w:r>
        <w:rPr>
          <w:sz w:val="22"/>
        </w:rPr>
        <w:t xml:space="preserve">Track early readmission KPIs across the eligible diabetic inpatient population.</w:t>
      </w:r>
    </w:p>
    <w:p w14:paraId="00100016" w14:textId="001002D7">
      <w:pPr>
        <w:numPr>
          <w:ilvl w:val="0"/>
          <w:numId w:val="6"/>
        </w:numPr>
        <w:spacing w:after="80"/>
      </w:pPr>
      <w:r>
        <w:rPr>
          <w:sz w:val="22"/>
        </w:rPr>
        <w:t xml:space="preserve">Identify clinical, demographic, and operational patterns associated with early readmission.</w:t>
      </w:r>
    </w:p>
    <w:p w14:paraId="00100018" w14:textId="001002D8">
      <w:pPr>
        <w:numPr>
          <w:ilvl w:val="0"/>
          <w:numId w:val="6"/>
        </w:numPr>
        <w:spacing w:after="80"/>
      </w:pPr>
      <w:r>
        <w:rPr>
          <w:sz w:val="22"/>
        </w:rPr>
        <w:t xml:space="preserve">Build and evaluate a predictive model using patient-grouped validation to prevent leakage.</w:t>
      </w:r>
    </w:p>
    <w:p w14:paraId="0010001A" w14:textId="001002D9">
      <w:pPr>
        <w:numPr>
          <w:ilvl w:val="0"/>
          <w:numId w:val="6"/>
        </w:numPr>
        <w:spacing w:after="160"/>
      </w:pPr>
      <w:r>
        <w:rPr>
          <w:sz w:val="22"/>
        </w:rPr>
        <w:t xml:space="preserve">Generate evidence-based, stats-grounded operational recommendations.</w:t>
      </w:r>
    </w:p>
    <w:p w14:paraId="0010001C" w14:textId="0010001D">
      <w:pPr>
        <w:spacing w:after="160"/>
      </w:pPr>
      <w:r>
        <w:rPr>
          <w:sz w:val="22"/>
        </w:rPr>
        <w:t xml:space="preserve">Intended users: Hospital quality teams, clinical operations managers, care coordinators. This application is for planning and research purposes only; it does not provide clinical diagnoses or individual patient risk scores.</w:t>
      </w:r>
    </w:p>
    <w:p w14:paraId="0010001E" w14:textId="0010001F">
      <w:pPr>
        <w:pStyle w:val="Heading1"/>
        <w:spacing w:before="240" w:after="160"/>
      </w:pPr>
      <w:r>
        <w:rPr>
          <w:b/>
          <w:sz w:val="32"/>
        </w:rPr>
        <w:t xml:space="preserve">3. Dataset Overview</w:t>
      </w:r>
    </w:p>
    <w:p w14:paraId="00100020" w14:textId="00100021">
      <w:pPr>
        <w:pStyle w:val="Heading2"/>
        <w:spacing w:before="160" w:after="120"/>
      </w:pPr>
      <w:r>
        <w:rPr>
          <w:b/>
          <w:sz w:val="26"/>
        </w:rPr>
        <w:t xml:space="preserve">3.1 Source &amp; License</w:t>
      </w:r>
    </w:p>
    <w:p w14:paraId="00100022" w14:textId="00100023">
      <w:pPr>
        <w:spacing w:after="120"/>
      </w:pPr>
      <w:r>
        <w:rPr>
          <w:sz w:val="22"/>
        </w:rPr>
        <w:t xml:space="preserve">The dataset is the UCI Machine Learning Repository Diabetes 130-US Hospitals (1999–2008) dataset, originally published by Strack et al. (2014). It contains clinical and administrative data from 130 US hospitals over a 10-year period.</w:t>
      </w:r>
    </w:p>
    <w:p w14:paraId="00100024" w14:textId="001002DA">
      <w:pPr>
        <w:numPr>
          <w:ilvl w:val="0"/>
          <w:numId w:val="7"/>
        </w:numPr>
        <w:spacing w:after="80"/>
      </w:pPr>
      <w:r>
        <w:rPr>
          <w:sz w:val="22"/>
        </w:rPr>
        <w:t xml:space="preserve">Citation: Strack B, DeShazo JP, Gennings C, et al. Impact of HbA1c Measurement on Hospital Readmission Rates: Analysis of 70,000 Clinical Database Patient Records. BioMed Research International, 2014.</w:t>
      </w:r>
    </w:p>
    <w:p w14:paraId="00100026" w14:textId="001002DB">
      <w:pPr>
        <w:numPr>
          <w:ilvl w:val="0"/>
          <w:numId w:val="7"/>
        </w:numPr>
        <w:spacing w:after="80"/>
      </w:pPr>
      <w:r>
        <w:rPr>
          <w:sz w:val="22"/>
        </w:rPr>
        <w:t xml:space="preserve">Source URL: https://archive.ics.uci.edu/dataset/296/diabetes+130-us+hospitals+for+years+1999-2008</w:t>
      </w:r>
    </w:p>
    <w:p w14:paraId="00100028" w14:textId="001002DC">
      <w:pPr>
        <w:numPr>
          <w:ilvl w:val="0"/>
          <w:numId w:val="7"/>
        </w:numPr>
        <w:spacing w:after="160"/>
      </w:pPr>
      <w:r>
        <w:rPr>
          <w:sz w:val="22"/>
        </w:rPr>
        <w:t xml:space="preserve">License: Creative Commons Attribution 4.0 International (CC BY 4.0)</w:t>
      </w:r>
    </w:p>
    <w:p w14:paraId="0010002A" w14:textId="0010002B">
      <w:pPr>
        <w:pStyle w:val="Heading2"/>
        <w:spacing w:before="160" w:after="120"/>
      </w:pPr>
      <w:r>
        <w:rPr>
          <w:b/>
          <w:sz w:val="26"/>
        </w:rPr>
        <w:t xml:space="preserve">3.2 Dataset Dimensions</w:t>
      </w:r>
    </w:p>
    <w:tbl>
      <w:tblPr>
        <w:tblW w:w="4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02C" w14:textId="0010002D">
            <w:r>
              <w:t xml:space="preserve">Metric</w:t>
            </w:r>
          </w:p>
        </w:tc>
        <w:tc>
          <w:p w14:paraId="0010002E" w14:textId="0010002F">
            <w:r>
              <w:t xml:space="preserve">Value</w:t>
            </w:r>
          </w:p>
        </w:tc>
      </w:tr>
      <w:tr>
        <w:trPr/>
        <w:tc>
          <w:p w14:paraId="00100030" w14:textId="00100031">
            <w:r>
              <w:t xml:space="preserve">Total raw rows</w:t>
            </w:r>
          </w:p>
        </w:tc>
        <w:tc>
          <w:p w14:paraId="00100032" w14:textId="00100033">
            <w:r>
              <w:t xml:space="preserve">101,766</w:t>
            </w:r>
          </w:p>
        </w:tc>
      </w:tr>
      <w:tr>
        <w:trPr/>
        <w:tc>
          <w:p w14:paraId="00100034" w14:textId="00100035">
            <w:r>
              <w:t xml:space="preserve">Total columns (original)</w:t>
            </w:r>
          </w:p>
        </w:tc>
        <w:tc>
          <w:p w14:paraId="00100036" w14:textId="00100037">
            <w:r>
              <w:t xml:space="preserve">50</w:t>
            </w:r>
          </w:p>
        </w:tc>
      </w:tr>
      <w:tr>
        <w:trPr/>
        <w:tc>
          <w:p w14:paraId="00100038" w14:textId="00100039">
            <w:r>
              <w:t xml:space="preserve">Rows after cleaning (gender unknown removed)</w:t>
            </w:r>
          </w:p>
        </w:tc>
        <w:tc>
          <w:p w14:paraId="0010003A" w14:textId="0010003B">
            <w:r>
              <w:t xml:space="preserve">101,763</w:t>
            </w:r>
          </w:p>
        </w:tc>
      </w:tr>
      <w:tr>
        <w:trPr/>
        <w:tc>
          <w:p w14:paraId="0010003C" w14:textId="0010003D">
            <w:r>
              <w:t xml:space="preserve">Unique patients</w:t>
            </w:r>
          </w:p>
        </w:tc>
        <w:tc>
          <w:p w14:paraId="0010003E" w14:textId="0010003F">
            <w:r>
              <w:t xml:space="preserve">71,518</w:t>
            </w:r>
          </w:p>
        </w:tc>
      </w:tr>
      <w:tr>
        <w:trPr/>
        <w:tc>
          <w:p w14:paraId="00100040" w14:textId="00100041">
            <w:r>
              <w:t xml:space="preserve">Hospice/expired records (excluded from KPIs)</w:t>
            </w:r>
          </w:p>
        </w:tc>
        <w:tc>
          <w:p w14:paraId="00100042" w14:textId="00100043">
            <w:r>
              <w:t xml:space="preserve">2,423</w:t>
            </w:r>
          </w:p>
        </w:tc>
      </w:tr>
      <w:tr>
        <w:trPr/>
        <w:tc>
          <w:p w14:paraId="00100044" w14:textId="00100045">
            <w:r>
              <w:t xml:space="preserve">Eligible population (KPI &amp; model denominator)</w:t>
            </w:r>
          </w:p>
        </w:tc>
        <w:tc>
          <w:p w14:paraId="00100046" w14:textId="00100047">
            <w:r>
              <w:t xml:space="preserve">99,340</w:t>
            </w:r>
          </w:p>
        </w:tc>
      </w:tr>
    </w:tbl>
    <w:p w14:paraId="00100048" w14:textId="00100049">
      <w:pPr>
        <w:pStyle w:val="Heading2"/>
        <w:spacing w:before="160" w:after="120"/>
      </w:pPr>
      <w:r>
        <w:rPr>
          <w:b/>
          <w:sz w:val="26"/>
        </w:rPr>
        <w:t xml:space="preserve">3.3 Column Summary</w:t>
      </w:r>
    </w:p>
    <w:p w14:paraId="0010004A" w14:textId="0010004B">
      <w:pPr>
        <w:spacing w:after="160"/>
      </w:pPr>
      <w:r>
        <w:rPr>
          <w:sz w:val="22"/>
        </w:rPr>
        <w:t xml:space="preserve">The original 50 columns span patient identifiers (encounter_id, patient_nbr), demographics (race, gender, age), encounter characteristics (admission type, discharge disposition, time in hospital, number of lab procedures, procedures, medications, diagnoses), 23 diabetes medication columns (No/Steady/Up/Down encoding), 2 lab test results (A1C, glucose serum), and the readmission target. After cleaning, 8 columns were dropped (see Section 4).</w:t>
      </w:r>
    </w:p>
    <w:p w14:paraId="0010004C" w14:textId="0010004D">
      <w:pPr>
        <w:pStyle w:val="Heading1"/>
        <w:spacing w:before="240" w:after="160"/>
      </w:pPr>
      <w:r>
        <w:rPr>
          <w:b/>
          <w:sz w:val="32"/>
        </w:rPr>
        <w:t xml:space="preserve">4. Data Cleaning &amp; Quality</w:t>
      </w:r>
    </w:p>
    <w:p w14:paraId="0010004E" w14:textId="0010004F">
      <w:pPr>
        <w:pStyle w:val="Heading2"/>
        <w:spacing w:before="160" w:after="120"/>
      </w:pPr>
      <w:r>
        <w:rPr>
          <w:b/>
          <w:sz w:val="26"/>
        </w:rPr>
        <w:t xml:space="preserve">4.1 Missing Values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50" w14:textId="00100051">
            <w:r>
              <w:t xml:space="preserve">Column / Feature</w:t>
            </w:r>
          </w:p>
        </w:tc>
        <w:tc>
          <w:p w14:paraId="00100052" w14:textId="00100053">
            <w:r>
              <w:t xml:space="preserve">Missing / Issue</w:t>
            </w:r>
          </w:p>
        </w:tc>
        <w:tc>
          <w:p w14:paraId="00100054" w14:textId="00100055">
            <w:r>
              <w:t xml:space="preserve">Action Taken</w:t>
            </w:r>
          </w:p>
        </w:tc>
      </w:tr>
      <w:tr>
        <w:trPr/>
        <w:tc>
          <w:p w14:paraId="00100056" w14:textId="00100057">
            <w:r>
              <w:t xml:space="preserve">weight</w:t>
            </w:r>
          </w:p>
        </w:tc>
        <w:tc>
          <w:p w14:paraId="00100058" w14:textId="00100059">
            <w:r>
              <w:t xml:space="preserve">96.9% missing</w:t>
            </w:r>
          </w:p>
        </w:tc>
        <w:tc>
          <w:p w14:paraId="0010005A" w14:textId="0010005B">
            <w:r>
              <w:t xml:space="preserve">Dropped</w:t>
            </w:r>
          </w:p>
        </w:tc>
      </w:tr>
      <w:tr>
        <w:trPr/>
        <w:tc>
          <w:p w14:paraId="0010005C" w14:textId="0010005D">
            <w:r>
              <w:t xml:space="preserve">max_glu_serum</w:t>
            </w:r>
          </w:p>
        </w:tc>
        <w:tc>
          <w:p w14:paraId="0010005E" w14:textId="0010005F">
            <w:r>
              <w:t xml:space="preserve">94.7% missing</w:t>
            </w:r>
          </w:p>
        </w:tc>
        <w:tc>
          <w:p w14:paraId="00100060" w14:textId="00100061">
            <w:r>
              <w:t xml:space="preserve">Dropped</w:t>
            </w:r>
          </w:p>
        </w:tc>
      </w:tr>
      <w:tr>
        <w:trPr/>
        <w:tc>
          <w:p w14:paraId="00100062" w14:textId="00100063">
            <w:r>
              <w:t xml:space="preserve">payer_code</w:t>
            </w:r>
          </w:p>
        </w:tc>
        <w:tc>
          <w:p w14:paraId="00100064" w14:textId="00100065">
            <w:r>
              <w:t xml:space="preserve">39.6% missing, low analytic value</w:t>
            </w:r>
          </w:p>
        </w:tc>
        <w:tc>
          <w:p w14:paraId="00100066" w14:textId="00100067">
            <w:r>
              <w:t xml:space="preserve">Dropped</w:t>
            </w:r>
          </w:p>
        </w:tc>
      </w:tr>
      <w:tr>
        <w:trPr/>
        <w:tc>
          <w:p w14:paraId="00100068" w14:textId="00100069">
            <w:r>
              <w:t xml:space="preserve">examide, citoglipton</w:t>
            </w:r>
          </w:p>
        </w:tc>
        <w:tc>
          <w:p w14:paraId="0010006A" w14:textId="0010006B">
            <w:r>
              <w:t xml:space="preserve">100% 'No' — zero variance</w:t>
            </w:r>
          </w:p>
        </w:tc>
        <w:tc>
          <w:p w14:paraId="0010006C" w14:textId="0010006D">
            <w:r>
              <w:t xml:space="preserve">Dropped</w:t>
            </w:r>
          </w:p>
        </w:tc>
      </w:tr>
      <w:tr>
        <w:trPr/>
        <w:tc>
          <w:p w14:paraId="0010006E" w14:textId="0010006F">
            <w:r>
              <w:t xml:space="preserve">3 combo drug columns</w:t>
            </w:r>
          </w:p>
        </w:tc>
        <w:tc>
          <w:p w14:paraId="00100070" w14:textId="00100071">
            <w:r>
              <w:t xml:space="preserve">&gt;99.999% 'No'</w:t>
            </w:r>
          </w:p>
        </w:tc>
        <w:tc>
          <w:p w14:paraId="00100072" w14:textId="00100073">
            <w:r>
              <w:t xml:space="preserve">Dropped</w:t>
            </w:r>
          </w:p>
        </w:tc>
      </w:tr>
      <w:tr>
        <w:trPr/>
        <w:tc>
          <w:p w14:paraId="00100074" w14:textId="00100075">
            <w:r>
              <w:t xml:space="preserve">A1Cresult</w:t>
            </w:r>
          </w:p>
        </w:tc>
        <w:tc>
          <w:p w14:paraId="00100076" w14:textId="00100077">
            <w:r>
              <w:t xml:space="preserve">83.3% missing</w:t>
            </w:r>
          </w:p>
        </w:tc>
        <w:tc>
          <w:p w14:paraId="00100078" w14:textId="00100079">
            <w:r>
              <w:t xml:space="preserve">Recoded None -&gt; 'Not Tested' (informative)</w:t>
            </w:r>
          </w:p>
        </w:tc>
      </w:tr>
      <w:tr>
        <w:trPr/>
        <w:tc>
          <w:p w14:paraId="0010007A" w14:textId="0010007B">
            <w:r>
              <w:t xml:space="preserve">medical_specialty</w:t>
            </w:r>
          </w:p>
        </w:tc>
        <w:tc>
          <w:p w14:paraId="0010007C" w14:textId="0010007D">
            <w:r>
              <w:t xml:space="preserve">49.1% unknown ('?')</w:t>
            </w:r>
          </w:p>
        </w:tc>
        <w:tc>
          <w:p w14:paraId="0010007E" w14:textId="0010007F">
            <w:r>
              <w:t xml:space="preserve">Recoded '?' -&gt; 'Unknown'</w:t>
            </w:r>
          </w:p>
        </w:tc>
      </w:tr>
      <w:tr>
        <w:trPr/>
        <w:tc>
          <w:p w14:paraId="00100080" w14:textId="00100081">
            <w:r>
              <w:t xml:space="preserve">race</w:t>
            </w:r>
          </w:p>
        </w:tc>
        <w:tc>
          <w:p w14:paraId="00100082" w14:textId="00100083">
            <w:r>
              <w:t xml:space="preserve">2.2% missing ('?')</w:t>
            </w:r>
          </w:p>
        </w:tc>
        <w:tc>
          <w:p w14:paraId="00100084" w14:textId="00100085">
            <w:r>
              <w:t xml:space="preserve">Recoded '?' -&gt; 'Unknown'</w:t>
            </w:r>
          </w:p>
        </w:tc>
      </w:tr>
    </w:tbl>
    <w:p w14:paraId="00100086" w14:textId="00100087">
      <w:pPr>
        <w:pStyle w:val="Heading2"/>
        <w:spacing w:before="160" w:after="120"/>
      </w:pPr>
      <w:r>
        <w:rPr>
          <w:b/>
          <w:sz w:val="26"/>
        </w:rPr>
        <w:t xml:space="preserve">4.2 Additional Cleaning Steps</w:t>
      </w:r>
    </w:p>
    <w:p w14:paraId="00100088" w14:textId="001002DD">
      <w:pPr>
        <w:numPr>
          <w:ilvl w:val="0"/>
          <w:numId w:val="8"/>
        </w:numPr>
        <w:spacing w:after="80"/>
      </w:pPr>
      <w:r>
        <w:rPr>
          <w:sz w:val="22"/>
        </w:rPr>
        <w:t xml:space="preserve">Three records with gender = 'Unknown/Invalid' were removed (negligible count).</w:t>
      </w:r>
    </w:p>
    <w:p w14:paraId="0010008A" w14:textId="001002DE">
      <w:pPr>
        <w:numPr>
          <w:ilvl w:val="0"/>
          <w:numId w:val="8"/>
        </w:numPr>
        <w:spacing w:after="80"/>
      </w:pPr>
      <w:r>
        <w:rPr>
          <w:sz w:val="22"/>
        </w:rPr>
        <w:t xml:space="preserve">2,423 hospice/expired-discharge records (disposition codes 11, 13, 14, 19, 20, 21) were retained in raw counts but excluded from KPI denominators and the predictive model. These patients cannot be readmitted and including them would inflate the negative class unfairly.</w:t>
      </w:r>
    </w:p>
    <w:p w14:paraId="0010008C" w14:textId="001002DF">
      <w:pPr>
        <w:numPr>
          <w:ilvl w:val="0"/>
          <w:numId w:val="8"/>
        </w:numPr>
        <w:spacing w:after="80"/>
      </w:pPr>
      <w:r>
        <w:rPr>
          <w:sz w:val="22"/>
        </w:rPr>
        <w:t xml:space="preserve">ICD-9 codes in diag_1 and diag_2 were mapped to 18 standard disease chapters (e.g., codes 390-459 = Circulatory System, 460-519 = Respiratory System, V-codes = Supplementary Factors).</w:t>
      </w:r>
    </w:p>
    <w:p w14:paraId="0010008E" w14:textId="001002E0">
      <w:pPr>
        <w:numPr>
          <w:ilvl w:val="0"/>
          <w:numId w:val="8"/>
        </w:numPr>
        <w:spacing w:after="160"/>
      </w:pPr>
      <w:r>
        <w:rPr>
          <w:sz w:val="22"/>
        </w:rPr>
        <w:t xml:space="preserve">Medication columns (23 drugs) were encoded from {No, Steady, Up, Down} to {0, 1, 2, 3} for the model. Eight near-zero-variance combination drug columns were dropped.</w:t>
      </w:r>
    </w:p>
    <w:p w14:paraId="00100090" w14:textId="00100091">
      <w:pPr>
        <w:pStyle w:val="Heading1"/>
        <w:spacing w:before="240" w:after="160"/>
      </w:pPr>
      <w:r>
        <w:rPr>
          <w:b/>
          <w:sz w:val="32"/>
        </w:rPr>
        <w:t xml:space="preserve">5. Exploratory Data Analysis</w:t>
      </w:r>
    </w:p>
    <w:p w14:paraId="001002F9" w14:textId="001002FA">
      <w:pPr>
        <w:spacing w:before="160" w:after="80"/>
        <w:jc w:val="center"/>
      </w:pPr>
      <w:r>
        <w:rPr>
          <w:color w:val="57606A"/>
          <w:sz w:val="20"/>
        </w:rPr>
        <w:t xml:space="preserve">Figure 3: Clinical Patterns — early readmission rate by ICD-9 primary diagnosis chapter. V-Codes (16.2%), Blood &amp; Blood-Forming Organs (13.6%), and Endocrine/Nutritional/Metabolic (12.9%) show the highest rates. The Circulatory System chapter carries the highest absolute encounter volume (29,584).</w:t>
      </w:r>
    </w:p>
    <w:p w14:paraId="001002FB" w14:textId="001002FC">
      <w:pPr>
        <w:spacing w:line="240" w:lineRule="auto"/>
      </w:pPr>
      <w:r>
        <w:rPr/>
        <w:drawing>
          <wp:inline distT="0" distB="0" distL="0" distR="0">
            <wp:extent cx="5400000" cy="3240000"/>
            <wp:effectExtent l="0" t="0" r="0" b="0"/>
            <wp:docPr id="3" name="tab3_clinical_patterns.png" descr=""/>
            <wp:cNvGraphicFramePr>
              <a:graphicFrameLocks noChangeAspect="1"/>
            </wp:cNvGraphicFramePr>
            <a:graphic>
              <a:graphicData uri="http://schemas.openxmlformats.org/drawingml/2006/picture">
                <pic:pic>
                  <pic:nvPicPr>
                    <pic:cNvPr id="3" name="tab3_clinical_patterns.png"/>
                    <pic:cNvPicPr/>
                  </pic:nvPicPr>
                  <pic:blipFill>
                    <a:blip r:embed="R4c54a87949334372" cstate="print"/>
                    <a:stretch>
                      <a:fillRect/>
                    </a:stretch>
                  </pic:blipFill>
                  <pic:spPr>
                    <a:xfrm>
                      <a:off x="0" y="0"/>
                      <a:ext cx="5400000" cy="3240000"/>
                    </a:xfrm>
                    <a:prstGeom prst="rect">
                      <a:avLst/>
                    </a:prstGeom>
                  </pic:spPr>
                </pic:pic>
              </a:graphicData>
            </a:graphic>
          </wp:inline>
        </w:drawing>
      </w:r>
    </w:p>
    <w:p w14:paraId="001002FD" w14:textId="001002FE">
      <w:pPr>
        <w:spacing w:after="200"/>
      </w:pPr>
      <w:r>
        <w:rPr/>
        <w:t xml:space="preserve"/>
      </w:r>
    </w:p>
    <w:p w14:paraId="001002FF" w14:textId="00100300">
      <w:pPr>
        <w:spacing w:after="160"/>
      </w:pPr>
      <w:r>
        <w:rPr>
          <w:color w:val="888888"/>
          <w:sz w:val="20"/>
        </w:rPr>
        <w:t xml:space="preserve">Note — Figures 4 (Predictive Model) and 5 (Insights &amp; Recommendations): Live screenshots of these two tabs could not be reliably captured in the automated headless environment because Streamlit renders tab content lazily on first user interaction. All metrics and findings from those tabs are fully documented in Sections 6, 7, and 8 of this report. To view the live interface: run  streamlit run app.py  and click the Predictive Model and Insights &amp; Recommendations tabs in a browser.</w:t>
      </w:r>
    </w:p>
    <w:p w14:paraId="00100092" w14:textId="00100093">
      <w:pPr>
        <w:pStyle w:val="Heading2"/>
        <w:spacing w:before="160" w:after="120"/>
      </w:pPr>
      <w:r>
        <w:rPr>
          <w:b/>
          <w:sz w:val="26"/>
        </w:rPr>
        <w:t xml:space="preserve">5.1 Target Variable Distribution (Eligible Population: 99,340 encounters)</w:t>
      </w:r>
    </w:p>
    <w:tbl>
      <w:tblPr>
        <w:tblW w:w="4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94" w14:textId="00100095">
            <w:r>
              <w:t xml:space="preserve">Outcome</w:t>
            </w:r>
          </w:p>
        </w:tc>
        <w:tc>
          <w:p w14:paraId="00100096" w14:textId="00100097">
            <w:r>
              <w:t xml:space="preserve">Count</w:t>
            </w:r>
          </w:p>
        </w:tc>
        <w:tc>
          <w:p w14:paraId="00100098" w14:textId="00100099">
            <w:r>
              <w:t xml:space="preserve">Percentage</w:t>
            </w:r>
          </w:p>
        </w:tc>
      </w:tr>
      <w:tr>
        <w:trPr/>
        <w:tc>
          <w:p w14:paraId="0010009A" w14:textId="0010009B">
            <w:r>
              <w:t xml:space="preserve">Not Readmitted (NO)</w:t>
            </w:r>
          </w:p>
        </w:tc>
        <w:tc>
          <w:p w14:paraId="0010009C" w14:textId="0010009D">
            <w:r>
              <w:t xml:space="preserve">52,524</w:t>
            </w:r>
          </w:p>
        </w:tc>
        <w:tc>
          <w:p w14:paraId="0010009E" w14:textId="0010009F">
            <w:r>
              <w:t xml:space="preserve">52.87%</w:t>
            </w:r>
          </w:p>
        </w:tc>
      </w:tr>
      <w:tr>
        <w:trPr/>
        <w:tc>
          <w:p w14:paraId="001000A0" w14:textId="001000A1">
            <w:r>
              <w:t xml:space="preserve">Readmitted &gt;30 Days</w:t>
            </w:r>
          </w:p>
        </w:tc>
        <w:tc>
          <w:p w14:paraId="001000A2" w14:textId="001000A3">
            <w:r>
              <w:t xml:space="preserve">35,502</w:t>
            </w:r>
          </w:p>
        </w:tc>
        <w:tc>
          <w:p w14:paraId="001000A4" w14:textId="001000A5">
            <w:r>
              <w:t xml:space="preserve">35.74%</w:t>
            </w:r>
          </w:p>
        </w:tc>
      </w:tr>
      <w:tr>
        <w:trPr/>
        <w:tc>
          <w:p w14:paraId="001000A6" w14:textId="001000A7">
            <w:r>
              <w:t xml:space="preserve">Readmitted &lt;30 Days (early — positive class)</w:t>
            </w:r>
          </w:p>
        </w:tc>
        <w:tc>
          <w:p w14:paraId="001000A8" w14:textId="001000A9">
            <w:r>
              <w:t xml:space="preserve">11,314</w:t>
            </w:r>
          </w:p>
        </w:tc>
        <w:tc>
          <w:p w14:paraId="001000AA" w14:textId="001000AB">
            <w:r>
              <w:t xml:space="preserve">11.39%</w:t>
            </w:r>
          </w:p>
        </w:tc>
      </w:tr>
    </w:tbl>
    <w:p w14:paraId="001000AC" w14:textId="001000AD">
      <w:pPr>
        <w:spacing w:after="160"/>
      </w:pPr>
      <w:r>
        <w:rPr>
          <w:sz w:val="22"/>
        </w:rPr>
        <w:t xml:space="preserve">The target is binary for modeling: &lt;30 (positive) vs. NO and &gt;30 (negative). This follows the clinical rationale that 30-day readmission is the CMS penalty trigger. The class imbalance (11.4% positive) is addressed via class_weight='balanced' in the Random Forest.</w:t>
      </w:r>
    </w:p>
    <w:p w14:paraId="001000AE" w14:textId="001000AF">
      <w:pPr>
        <w:pStyle w:val="Heading2"/>
        <w:spacing w:before="160" w:after="120"/>
      </w:pPr>
      <w:r>
        <w:rPr>
          <w:b/>
          <w:sz w:val="26"/>
        </w:rPr>
        <w:t xml:space="preserve">5.2 Early Readmission Rate by Age Group</w:t>
      </w:r>
    </w:p>
    <w:tbl>
      <w:tblPr>
        <w:tblW w:w="4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B0" w14:textId="001000B1">
            <w:r>
              <w:t xml:space="preserve">Age Group</w:t>
            </w:r>
          </w:p>
        </w:tc>
        <w:tc>
          <w:p w14:paraId="001000B2" w14:textId="001000B3">
            <w:r>
              <w:t xml:space="preserve">Encounters</w:t>
            </w:r>
          </w:p>
        </w:tc>
        <w:tc>
          <w:p w14:paraId="001000B4" w14:textId="001000B5">
            <w:r>
              <w:t xml:space="preserve">Early Readmission Rate</w:t>
            </w:r>
          </w:p>
        </w:tc>
      </w:tr>
      <w:tr>
        <w:trPr/>
        <w:tc>
          <w:p w14:paraId="001000B6" w14:textId="001000B7">
            <w:r>
              <w:t xml:space="preserve">[0-10)</w:t>
            </w:r>
          </w:p>
        </w:tc>
        <w:tc>
          <w:p w14:paraId="001000B8" w14:textId="001000B9">
            <w:r>
              <w:t xml:space="preserve">160</w:t>
            </w:r>
          </w:p>
        </w:tc>
        <w:tc>
          <w:p w14:paraId="001000BA" w14:textId="001000BB">
            <w:r>
              <w:t xml:space="preserve">1.9%</w:t>
            </w:r>
          </w:p>
        </w:tc>
      </w:tr>
      <w:tr>
        <w:trPr/>
        <w:tc>
          <w:p w14:paraId="001000BC" w14:textId="001000BD">
            <w:r>
              <w:t xml:space="preserve">[10-20)</w:t>
            </w:r>
          </w:p>
        </w:tc>
        <w:tc>
          <w:p w14:paraId="001000BE" w14:textId="001000BF">
            <w:r>
              <w:t xml:space="preserve">690</w:t>
            </w:r>
          </w:p>
        </w:tc>
        <w:tc>
          <w:p w14:paraId="001000C0" w14:textId="001000C1">
            <w:r>
              <w:t xml:space="preserve">5.8%</w:t>
            </w:r>
          </w:p>
        </w:tc>
      </w:tr>
      <w:tr>
        <w:trPr/>
        <w:tc>
          <w:p w14:paraId="001000C2" w14:textId="001000C3">
            <w:r>
              <w:t xml:space="preserve">[20-30)</w:t>
            </w:r>
          </w:p>
        </w:tc>
        <w:tc>
          <w:p w14:paraId="001000C4" w14:textId="001000C5">
            <w:r>
              <w:t xml:space="preserve">1,649</w:t>
            </w:r>
          </w:p>
        </w:tc>
        <w:tc>
          <w:p w14:paraId="001000C6" w14:textId="001000C7">
            <w:r>
              <w:t xml:space="preserve">14.3%</w:t>
            </w:r>
          </w:p>
        </w:tc>
      </w:tr>
      <w:tr>
        <w:trPr/>
        <w:tc>
          <w:p w14:paraId="001000C8" w14:textId="001000C9">
            <w:r>
              <w:t xml:space="preserve">[30-40)</w:t>
            </w:r>
          </w:p>
        </w:tc>
        <w:tc>
          <w:p w14:paraId="001000CA" w14:textId="001000CB">
            <w:r>
              <w:t xml:space="preserve">3,764</w:t>
            </w:r>
          </w:p>
        </w:tc>
        <w:tc>
          <w:p w14:paraId="001000CC" w14:textId="001000CD">
            <w:r>
              <w:t xml:space="preserve">11.3%</w:t>
            </w:r>
          </w:p>
        </w:tc>
      </w:tr>
      <w:tr>
        <w:trPr/>
        <w:tc>
          <w:p w14:paraId="001000CE" w14:textId="001000CF">
            <w:r>
              <w:t xml:space="preserve">[40-50)</w:t>
            </w:r>
          </w:p>
        </w:tc>
        <w:tc>
          <w:p w14:paraId="001000D0" w14:textId="001000D1">
            <w:r>
              <w:t xml:space="preserve">9,607</w:t>
            </w:r>
          </w:p>
        </w:tc>
        <w:tc>
          <w:p w14:paraId="001000D2" w14:textId="001000D3">
            <w:r>
              <w:t xml:space="preserve">10.7%</w:t>
            </w:r>
          </w:p>
        </w:tc>
      </w:tr>
      <w:tr>
        <w:trPr/>
        <w:tc>
          <w:p w14:paraId="001000D4" w14:textId="001000D5">
            <w:r>
              <w:t xml:space="preserve">[50-60)</w:t>
            </w:r>
          </w:p>
        </w:tc>
        <w:tc>
          <w:p w14:paraId="001000D6" w14:textId="001000D7">
            <w:r>
              <w:t xml:space="preserve">17,060</w:t>
            </w:r>
          </w:p>
        </w:tc>
        <w:tc>
          <w:p w14:paraId="001000D8" w14:textId="001000D9">
            <w:r>
              <w:t xml:space="preserve">9.8%</w:t>
            </w:r>
          </w:p>
        </w:tc>
      </w:tr>
      <w:tr>
        <w:trPr/>
        <w:tc>
          <w:p w14:paraId="001000DA" w14:textId="001000DB">
            <w:r>
              <w:t xml:space="preserve">[60-70)</w:t>
            </w:r>
          </w:p>
        </w:tc>
        <w:tc>
          <w:p w14:paraId="001000DC" w14:textId="001000DD">
            <w:r>
              <w:t xml:space="preserve">22,058</w:t>
            </w:r>
          </w:p>
        </w:tc>
        <w:tc>
          <w:p w14:paraId="001000DE" w14:textId="001000DF">
            <w:r>
              <w:t xml:space="preserve">11.3%</w:t>
            </w:r>
          </w:p>
        </w:tc>
      </w:tr>
      <w:tr>
        <w:trPr/>
        <w:tc>
          <w:p w14:paraId="001000E0" w14:textId="001000E1">
            <w:r>
              <w:t xml:space="preserve">[70-80)</w:t>
            </w:r>
          </w:p>
        </w:tc>
        <w:tc>
          <w:p w14:paraId="001000E2" w14:textId="001000E3">
            <w:r>
              <w:t xml:space="preserve">25,329</w:t>
            </w:r>
          </w:p>
        </w:tc>
        <w:tc>
          <w:p w14:paraId="001000E4" w14:textId="001000E5">
            <w:r>
              <w:t xml:space="preserve">12.1%</w:t>
            </w:r>
          </w:p>
        </w:tc>
      </w:tr>
      <w:tr>
        <w:trPr/>
        <w:tc>
          <w:p w14:paraId="001000E6" w14:textId="001000E7">
            <w:r>
              <w:t xml:space="preserve">[80-90)</w:t>
            </w:r>
          </w:p>
        </w:tc>
        <w:tc>
          <w:p w14:paraId="001000E8" w14:textId="001000E9">
            <w:r>
              <w:t xml:space="preserve">16,434</w:t>
            </w:r>
          </w:p>
        </w:tc>
        <w:tc>
          <w:p w14:paraId="001000EA" w14:textId="001000EB">
            <w:r>
              <w:t xml:space="preserve">12.6%</w:t>
            </w:r>
          </w:p>
        </w:tc>
      </w:tr>
      <w:tr>
        <w:trPr/>
        <w:tc>
          <w:p w14:paraId="001000EC" w14:textId="001000ED">
            <w:r>
              <w:t xml:space="preserve">[90-100)</w:t>
            </w:r>
          </w:p>
        </w:tc>
        <w:tc>
          <w:p w14:paraId="001000EE" w14:textId="001000EF">
            <w:r>
              <w:t xml:space="preserve">2,589</w:t>
            </w:r>
          </w:p>
        </w:tc>
        <w:tc>
          <w:p w14:paraId="001000F0" w14:textId="001000F1">
            <w:r>
              <w:t xml:space="preserve">11.9%</w:t>
            </w:r>
          </w:p>
        </w:tc>
      </w:tr>
    </w:tbl>
    <w:p w14:paraId="001000F2" w14:textId="001000F3">
      <w:pPr>
        <w:spacing w:after="160"/>
      </w:pPr>
      <w:r>
        <w:rPr>
          <w:sz w:val="22"/>
        </w:rPr>
        <w:t xml:space="preserve">Patients aged 20–30 show a notably elevated rate (14.3%), likely reflecting a specific high-severity subpopulation. Rates rise again in the 70–90 age bands, consistent with increased comorbidity burden in older patients.</w:t>
      </w:r>
    </w:p>
    <w:p w14:paraId="001000F4" w14:textId="001000F5">
      <w:pPr>
        <w:pStyle w:val="Heading2"/>
        <w:spacing w:before="160" w:after="120"/>
      </w:pPr>
      <w:r>
        <w:rPr>
          <w:b/>
          <w:sz w:val="26"/>
        </w:rPr>
        <w:t xml:space="preserve">5.3 Early Readmission Rate by Primary Diagnosis Chapter</w:t>
      </w:r>
    </w:p>
    <w:tbl>
      <w:tblPr>
        <w:tblW w:w="4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F6" w14:textId="001000F7">
            <w:r>
              <w:t xml:space="preserve">Primary Diagnosis Chapter</w:t>
            </w:r>
          </w:p>
        </w:tc>
        <w:tc>
          <w:p w14:paraId="001000F8" w14:textId="001000F9">
            <w:r>
              <w:t xml:space="preserve">Encounters</w:t>
            </w:r>
          </w:p>
        </w:tc>
        <w:tc>
          <w:p w14:paraId="001000FA" w14:textId="001000FB">
            <w:r>
              <w:t xml:space="preserve">Early Readmission Rate</w:t>
            </w:r>
          </w:p>
        </w:tc>
      </w:tr>
      <w:tr>
        <w:trPr/>
        <w:tc>
          <w:p w14:paraId="001000FC" w14:textId="001000FD">
            <w:r>
              <w:t xml:space="preserve">V-Codes (Supplementary Factors)</w:t>
            </w:r>
          </w:p>
        </w:tc>
        <w:tc>
          <w:p w14:paraId="001000FE" w14:textId="001000FF">
            <w:r>
              <w:t xml:space="preserve">1,632</w:t>
            </w:r>
          </w:p>
        </w:tc>
        <w:tc>
          <w:p w14:paraId="00100100" w14:textId="00100101">
            <w:r>
              <w:t xml:space="preserve">16.2%</w:t>
            </w:r>
          </w:p>
        </w:tc>
      </w:tr>
      <w:tr>
        <w:trPr/>
        <w:tc>
          <w:p w14:paraId="00100102" w14:textId="00100103">
            <w:r>
              <w:t xml:space="preserve">Blood &amp; Blood-Forming Organs</w:t>
            </w:r>
          </w:p>
        </w:tc>
        <w:tc>
          <w:p w14:paraId="00100104" w14:textId="00100105">
            <w:r>
              <w:t xml:space="preserve">1,092</w:t>
            </w:r>
          </w:p>
        </w:tc>
        <w:tc>
          <w:p w14:paraId="00100106" w14:textId="00100107">
            <w:r>
              <w:t xml:space="preserve">13.6%</w:t>
            </w:r>
          </w:p>
        </w:tc>
      </w:tr>
      <w:tr>
        <w:trPr/>
        <w:tc>
          <w:p w14:paraId="00100108" w14:textId="00100109">
            <w:r>
              <w:t xml:space="preserve">Endocrine/Nutritional/Metabolic</w:t>
            </w:r>
          </w:p>
        </w:tc>
        <w:tc>
          <w:p w14:paraId="0010010A" w14:textId="0010010B">
            <w:r>
              <w:t xml:space="preserve">11,304</w:t>
            </w:r>
          </w:p>
        </w:tc>
        <w:tc>
          <w:p w14:paraId="0010010C" w14:textId="0010010D">
            <w:r>
              <w:t xml:space="preserve">12.9%</w:t>
            </w:r>
          </w:p>
        </w:tc>
      </w:tr>
      <w:tr>
        <w:trPr/>
        <w:tc>
          <w:p w14:paraId="0010010E" w14:textId="0010010F">
            <w:r>
              <w:t xml:space="preserve">Injury &amp; Poisoning</w:t>
            </w:r>
          </w:p>
        </w:tc>
        <w:tc>
          <w:p w14:paraId="00100110" w14:textId="00100111">
            <w:r>
              <w:t xml:space="preserve">6,851</w:t>
            </w:r>
          </w:p>
        </w:tc>
        <w:tc>
          <w:p w14:paraId="00100112" w14:textId="00100113">
            <w:r>
              <w:t xml:space="preserve">12.4%</w:t>
            </w:r>
          </w:p>
        </w:tc>
      </w:tr>
      <w:tr>
        <w:trPr/>
        <w:tc>
          <w:p w14:paraId="00100114" w14:textId="00100115">
            <w:r>
              <w:t xml:space="preserve">Infectious &amp; Parasitic</w:t>
            </w:r>
          </w:p>
        </w:tc>
        <w:tc>
          <w:p w14:paraId="00100116" w14:textId="00100117">
            <w:r>
              <w:t xml:space="preserve">2,553</w:t>
            </w:r>
          </w:p>
        </w:tc>
        <w:tc>
          <w:p w14:paraId="00100118" w14:textId="00100119">
            <w:r>
              <w:t xml:space="preserve">12.3%</w:t>
            </w:r>
          </w:p>
        </w:tc>
      </w:tr>
      <w:tr>
        <w:trPr/>
        <w:tc>
          <w:p w14:paraId="0010011A" w14:textId="0010011B">
            <w:r>
              <w:t xml:space="preserve">Mental Disorders</w:t>
            </w:r>
          </w:p>
        </w:tc>
        <w:tc>
          <w:p w14:paraId="0010011C" w14:textId="0010011D">
            <w:r>
              <w:t xml:space="preserve">2,256</w:t>
            </w:r>
          </w:p>
        </w:tc>
        <w:tc>
          <w:p w14:paraId="0010011E" w14:textId="0010011F">
            <w:r>
              <w:t xml:space="preserve">12.2%</w:t>
            </w:r>
          </w:p>
        </w:tc>
      </w:tr>
      <w:tr>
        <w:trPr/>
        <w:tc>
          <w:p w14:paraId="00100120" w14:textId="00100121">
            <w:r>
              <w:t xml:space="preserve">Circulatory System (largest volume)</w:t>
            </w:r>
          </w:p>
        </w:tc>
        <w:tc>
          <w:p w14:paraId="00100122" w14:textId="00100123">
            <w:r>
              <w:t xml:space="preserve">29,584</w:t>
            </w:r>
          </w:p>
        </w:tc>
        <w:tc>
          <w:p w14:paraId="00100124" w14:textId="00100125">
            <w:r>
              <w:t xml:space="preserve">11.7%</w:t>
            </w:r>
          </w:p>
        </w:tc>
      </w:tr>
    </w:tbl>
    <w:p w14:paraId="00100126" w14:textId="00100127">
      <w:pPr>
        <w:pStyle w:val="Heading2"/>
        <w:spacing w:before="160" w:after="120"/>
      </w:pPr>
      <w:r>
        <w:rPr>
          <w:b/>
          <w:sz w:val="26"/>
        </w:rPr>
        <w:t xml:space="preserve">5.4 Insulin Usage vs. Early Readmission</w:t>
      </w:r>
    </w:p>
    <w:tbl>
      <w:tblPr>
        <w:tblW w:w="375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128" w14:textId="00100129">
            <w:r>
              <w:t xml:space="preserve">Insulin Status</w:t>
            </w:r>
          </w:p>
        </w:tc>
        <w:tc>
          <w:p w14:paraId="0010012A" w14:textId="0010012B">
            <w:r>
              <w:t xml:space="preserve">Encounters</w:t>
            </w:r>
          </w:p>
        </w:tc>
        <w:tc>
          <w:p w14:paraId="0010012C" w14:textId="0010012D">
            <w:r>
              <w:t xml:space="preserve">Early Readmission Rate</w:t>
            </w:r>
          </w:p>
        </w:tc>
      </w:tr>
      <w:tr>
        <w:trPr/>
        <w:tc>
          <w:p w14:paraId="0010012E" w14:textId="0010012F">
            <w:r>
              <w:t xml:space="preserve">No insulin</w:t>
            </w:r>
          </w:p>
        </w:tc>
        <w:tc>
          <w:p w14:paraId="00100130" w14:textId="00100131">
            <w:r>
              <w:t xml:space="preserve">46,376</w:t>
            </w:r>
          </w:p>
        </w:tc>
        <w:tc>
          <w:p w14:paraId="00100132" w14:textId="00100133">
            <w:r>
              <w:t xml:space="preserve">10.21%</w:t>
            </w:r>
          </w:p>
        </w:tc>
      </w:tr>
      <w:tr>
        <w:trPr/>
        <w:tc>
          <w:p w14:paraId="00100134" w14:textId="00100135">
            <w:r>
              <w:t xml:space="preserve">Steady dose</w:t>
            </w:r>
          </w:p>
        </w:tc>
        <w:tc>
          <w:p w14:paraId="00100136" w14:textId="00100137">
            <w:r>
              <w:t xml:space="preserve">30,069</w:t>
            </w:r>
          </w:p>
        </w:tc>
        <w:tc>
          <w:p w14:paraId="00100138" w14:textId="00100139">
            <w:r>
              <w:t xml:space="preserve">11.37%</w:t>
            </w:r>
          </w:p>
        </w:tc>
      </w:tr>
      <w:tr>
        <w:trPr/>
        <w:tc>
          <w:p w14:paraId="0010013A" w14:textId="0010013B">
            <w:r>
              <w:t xml:space="preserve">Dose increased (Up)</w:t>
            </w:r>
          </w:p>
        </w:tc>
        <w:tc>
          <w:p w14:paraId="0010013C" w14:textId="0010013D">
            <w:r>
              <w:t xml:space="preserve">10,987</w:t>
            </w:r>
          </w:p>
        </w:tc>
        <w:tc>
          <w:p w14:paraId="0010013E" w14:textId="0010013F">
            <w:r>
              <w:t xml:space="preserve">13.33%</w:t>
            </w:r>
          </w:p>
        </w:tc>
      </w:tr>
      <w:tr>
        <w:trPr/>
        <w:tc>
          <w:p w14:paraId="00100140" w14:textId="00100141">
            <w:r>
              <w:t xml:space="preserve">Dose decreased (Down)</w:t>
            </w:r>
          </w:p>
        </w:tc>
        <w:tc>
          <w:p w14:paraId="00100142" w14:textId="00100143">
            <w:r>
              <w:t xml:space="preserve">11,908</w:t>
            </w:r>
          </w:p>
        </w:tc>
        <w:tc>
          <w:p w14:paraId="00100144" w14:textId="00100145">
            <w:r>
              <w:t xml:space="preserve">14.22%</w:t>
            </w:r>
          </w:p>
        </w:tc>
      </w:tr>
    </w:tbl>
    <w:p w14:paraId="00100146" w14:textId="00100147">
      <w:pPr>
        <w:spacing w:after="160"/>
      </w:pPr>
      <w:r>
        <w:rPr>
          <w:sz w:val="22"/>
        </w:rPr>
        <w:t xml:space="preserve">Insulin dose increases (Up) and decreases (Down) are associated with higher early readmission rates than patients not on insulin. This likely reflects disease severity confounding — sicker patients require more intensive insulin management. The association is descriptive, not causal.</w:t>
      </w:r>
    </w:p>
    <w:p w14:paraId="00100148" w14:textId="00100149">
      <w:pPr>
        <w:pStyle w:val="Heading2"/>
        <w:spacing w:before="160" w:after="120"/>
      </w:pPr>
      <w:r>
        <w:rPr>
          <w:b/>
          <w:sz w:val="26"/>
        </w:rPr>
        <w:t xml:space="preserve">5.5 A1C Testing Coverage</w:t>
      </w:r>
    </w:p>
    <w:tbl>
      <w:tblPr>
        <w:tblW w:w="375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14A" w14:textId="0010014B">
            <w:r>
              <w:t xml:space="preserve">A1C Result</w:t>
            </w:r>
          </w:p>
        </w:tc>
        <w:tc>
          <w:p w14:paraId="0010014C" w14:textId="0010014D">
            <w:r>
              <w:t xml:space="preserve">Encounters</w:t>
            </w:r>
          </w:p>
        </w:tc>
        <w:tc>
          <w:p w14:paraId="0010014E" w14:textId="0010014F">
            <w:r>
              <w:t xml:space="preserve">Early Readmission Rate</w:t>
            </w:r>
          </w:p>
        </w:tc>
      </w:tr>
      <w:tr>
        <w:trPr/>
        <w:tc>
          <w:p w14:paraId="00100150" w14:textId="00100151">
            <w:r>
              <w:t xml:space="preserve">Not Tested (83.1%)</w:t>
            </w:r>
          </w:p>
        </w:tc>
        <w:tc>
          <w:p w14:paraId="00100152" w14:textId="00100153">
            <w:r>
              <w:t xml:space="preserve">82,506</w:t>
            </w:r>
          </w:p>
        </w:tc>
        <w:tc>
          <w:p w14:paraId="00100154" w14:textId="00100155">
            <w:r>
              <w:t xml:space="preserve">11.69%</w:t>
            </w:r>
          </w:p>
        </w:tc>
      </w:tr>
      <w:tr>
        <w:trPr/>
        <w:tc>
          <w:p w14:paraId="00100156" w14:textId="00100157">
            <w:r>
              <w:t xml:space="preserve">Normal (Norm)</w:t>
            </w:r>
          </w:p>
        </w:tc>
        <w:tc>
          <w:p w14:paraId="00100158" w14:textId="00100159">
            <w:r>
              <w:t xml:space="preserve">4,922</w:t>
            </w:r>
          </w:p>
        </w:tc>
        <w:tc>
          <w:p w14:paraId="0010015A" w14:textId="0010015B">
            <w:r>
              <w:t xml:space="preserve">9.77%</w:t>
            </w:r>
          </w:p>
        </w:tc>
      </w:tr>
      <w:tr>
        <w:trPr/>
        <w:tc>
          <w:p w14:paraId="0010015C" w14:textId="0010015D">
            <w:r>
              <w:t xml:space="preserve">Elevated (above 7)</w:t>
            </w:r>
          </w:p>
        </w:tc>
        <w:tc>
          <w:p w14:paraId="0010015E" w14:textId="0010015F">
            <w:r>
              <w:t xml:space="preserve">3,775</w:t>
            </w:r>
          </w:p>
        </w:tc>
        <w:tc>
          <w:p w14:paraId="00100160" w14:textId="00100161">
            <w:r>
              <w:t xml:space="preserve">10.15%</w:t>
            </w:r>
          </w:p>
        </w:tc>
      </w:tr>
      <w:tr>
        <w:trPr/>
        <w:tc>
          <w:p w14:paraId="00100162" w14:textId="00100163">
            <w:r>
              <w:t xml:space="preserve">High (above 8)</w:t>
            </w:r>
          </w:p>
        </w:tc>
        <w:tc>
          <w:p w14:paraId="00100164" w14:textId="00100165">
            <w:r>
              <w:t xml:space="preserve">8,137</w:t>
            </w:r>
          </w:p>
        </w:tc>
        <w:tc>
          <w:p w14:paraId="00100166" w14:textId="00100167">
            <w:r>
              <w:t xml:space="preserve">9.94%</w:t>
            </w:r>
          </w:p>
        </w:tc>
      </w:tr>
    </w:tbl>
    <w:p w14:paraId="00100168" w14:textId="00100169">
      <w:pPr>
        <w:spacing w:after="160"/>
      </w:pPr>
      <w:r>
        <w:rPr>
          <w:sz w:val="22"/>
        </w:rPr>
        <w:t xml:space="preserve">Only 16.95% of eligible encounters have an A1C result documented. Patients with normal A1C have the lowest early readmission rate (9.77%), while untested patients have the highest (11.69%). This may reflect unmeasured confounding rather than a direct causal relationship.</w:t>
      </w:r>
    </w:p>
    <w:p w14:paraId="0010016A" w14:textId="0010016B">
      <w:pPr>
        <w:pStyle w:val="Heading2"/>
        <w:spacing w:before="160" w:after="120"/>
      </w:pPr>
      <w:r>
        <w:rPr>
          <w:b/>
          <w:sz w:val="26"/>
        </w:rPr>
        <w:t xml:space="preserve">5.6 High Prior Inpatient Utilisation</w:t>
      </w:r>
    </w:p>
    <w:p w14:paraId="0010016C" w14:textId="0010016D">
      <w:pPr>
        <w:spacing w:after="160"/>
      </w:pPr>
      <w:r>
        <w:rPr>
          <w:sz w:val="22"/>
        </w:rPr>
        <w:t xml:space="preserve">6,814 encounters (6.9% of eligible) involve patients with 3 or more prior inpatient visits. These patients have an early readmission rate of 26.4% — 2.3x the overall rate of 11.39%. This group represents the highest-risk, highest-impact segment for targeted interventions.</w:t>
      </w:r>
    </w:p>
    <w:p w14:paraId="0010016E" w14:textId="0010016F">
      <w:pPr>
        <w:pStyle w:val="Heading1"/>
        <w:spacing w:before="240" w:after="160"/>
      </w:pPr>
      <w:r>
        <w:rPr>
          <w:b/>
          <w:sz w:val="32"/>
        </w:rPr>
        <w:t xml:space="preserve">6. Predictive Model</w:t>
      </w:r>
    </w:p>
    <w:p w14:paraId="00100170" w14:textId="00100171">
      <w:pPr>
        <w:pStyle w:val="Heading2"/>
        <w:spacing w:before="160" w:after="120"/>
      </w:pPr>
      <w:r>
        <w:rPr>
          <w:b/>
          <w:sz w:val="26"/>
        </w:rPr>
        <w:t xml:space="preserve">6.1 Model Design Decisions</w:t>
      </w:r>
    </w:p>
    <w:p w14:paraId="00100172" w14:textId="00100173">
      <w:pPr>
        <w:spacing w:after="80"/>
      </w:pPr>
      <w:r>
        <w:rPr>
          <w:sz w:val="22"/>
        </w:rPr>
        <w:t xml:space="preserve">Algorithm: Random Forest Classifier was chosen for its interpretability via feature importances, robustness to mixed feature types, and minimal hyperparameter sensitivity — appropriate for a research/planning application.</w:t>
      </w:r>
    </w:p>
    <w:p w14:paraId="00100174" w14:textId="00100175">
      <w:pPr>
        <w:spacing w:after="80"/>
      </w:pPr>
      <w:r>
        <w:rPr>
          <w:sz w:val="22"/>
        </w:rPr>
        <w:t xml:space="preserve">Target: Binary — is_early_readmit (1 = readmitted &lt;30 days, 0 = otherwise). Encoding: &lt;30 → 1; NO and &gt;30 → 0.</w:t>
      </w:r>
    </w:p>
    <w:p w14:paraId="00100176" w14:textId="00100177">
      <w:pPr>
        <w:spacing w:after="160"/>
      </w:pPr>
      <w:r>
        <w:rPr>
          <w:sz w:val="22"/>
        </w:rPr>
        <w:t xml:space="preserve">Leakage prevention: encounter_id and patient_nbr excluded from all features. Hospice/expired encounters excluded. A GroupShuffleSplit by patient_nbr (80/20 split) ensures the same patient cannot appear in both training and test sets. Class imbalance handled via class_weight='balanced'.</w:t>
      </w:r>
    </w:p>
    <w:p w14:paraId="00100178" w14:textId="00100179">
      <w:pPr>
        <w:pStyle w:val="Heading2"/>
        <w:spacing w:before="160" w:after="120"/>
      </w:pPr>
      <w:r>
        <w:rPr>
          <w:b/>
          <w:sz w:val="26"/>
        </w:rPr>
        <w:t xml:space="preserve">6.2 Train/Test Split</w:t>
      </w:r>
    </w:p>
    <w:tbl>
      <w:tblPr>
        <w:tblW w:w="35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17A" w14:textId="0010017B">
            <w:r>
              <w:t xml:space="preserve">Set</w:t>
            </w:r>
          </w:p>
        </w:tc>
        <w:tc>
          <w:p w14:paraId="0010017C" w14:textId="0010017D">
            <w:r>
              <w:t xml:space="preserve">Encounters</w:t>
            </w:r>
          </w:p>
        </w:tc>
        <w:tc>
          <w:p w14:paraId="0010017E" w14:textId="0010017F">
            <w:r>
              <w:t xml:space="preserve">Positive Rate</w:t>
            </w:r>
          </w:p>
        </w:tc>
      </w:tr>
      <w:tr>
        <w:trPr/>
        <w:tc>
          <w:p w14:paraId="00100180" w14:textId="00100181">
            <w:r>
              <w:t xml:space="preserve">Training (80%)</w:t>
            </w:r>
          </w:p>
        </w:tc>
        <w:tc>
          <w:p w14:paraId="00100182" w14:textId="00100183">
            <w:r>
              <w:t xml:space="preserve">79,682</w:t>
            </w:r>
          </w:p>
        </w:tc>
        <w:tc>
          <w:p w14:paraId="00100184" w14:textId="00100185">
            <w:r>
              <w:t xml:space="preserve">11.5%</w:t>
            </w:r>
          </w:p>
        </w:tc>
      </w:tr>
      <w:tr>
        <w:trPr/>
        <w:tc>
          <w:p w14:paraId="00100186" w14:textId="00100187">
            <w:r>
              <w:t xml:space="preserve">Test (20%)</w:t>
            </w:r>
          </w:p>
        </w:tc>
        <w:tc>
          <w:p w14:paraId="00100188" w14:textId="00100189">
            <w:r>
              <w:t xml:space="preserve">19,658</w:t>
            </w:r>
          </w:p>
        </w:tc>
        <w:tc>
          <w:p w14:paraId="0010018A" w14:textId="0010018B">
            <w:r>
              <w:t xml:space="preserve">11.1%</w:t>
            </w:r>
          </w:p>
        </w:tc>
      </w:tr>
    </w:tbl>
    <w:p w14:paraId="0010018C" w14:textId="0010018D">
      <w:pPr>
        <w:pStyle w:val="Heading2"/>
        <w:spacing w:before="160" w:after="120"/>
      </w:pPr>
      <w:r>
        <w:rPr>
          <w:b/>
          <w:sz w:val="26"/>
        </w:rPr>
        <w:t xml:space="preserve">6.3 Model Performance</w:t>
      </w:r>
    </w:p>
    <w:tbl>
      <w:tblPr>
        <w:tblW w:w="5000" w:type="pct"/>
        <w:tblBorders>
          <w:top w:val="single" w:sz="4"/>
          <w:left w:val="single" w:sz="4"/>
          <w:bottom w:val="single" w:sz="4"/>
          <w:right w:val="single" w:sz="4"/>
          <w:insideH w:val="single" w:sz="4"/>
          <w:insideV w:val="single" w:sz="4"/>
        </w:tblBorders>
      </w:tblPr>
      <w:tblGrid>
        <w:gridCol w:w="1661"/>
        <w:gridCol w:w="1661"/>
        <w:gridCol w:w="1661"/>
        <w:gridCol w:w="1661"/>
        <w:gridCol w:w="1661"/>
      </w:tblGrid>
      <w:tr>
        <w:trPr>
          <w:tblHeader/>
        </w:trPr>
        <w:tc>
          <w:p w14:paraId="0010018E" w14:textId="0010018F">
            <w:r>
              <w:t xml:space="preserve">Metric</w:t>
            </w:r>
          </w:p>
        </w:tc>
        <w:tc>
          <w:p w14:paraId="00100190" w14:textId="00100191">
            <w:r>
              <w:t xml:space="preserve">Negative Class</w:t>
            </w:r>
          </w:p>
        </w:tc>
        <w:tc>
          <w:p w14:paraId="00100192" w14:textId="00100193">
            <w:r>
              <w:t xml:space="preserve">Positive Class (early readmit)</w:t>
            </w:r>
          </w:p>
        </w:tc>
        <w:tc>
          <w:p w14:paraId="00100194" w14:textId="00100195">
            <w:r>
              <w:t xml:space="preserve">Macro Avg</w:t>
            </w:r>
          </w:p>
        </w:tc>
        <w:tc>
          <w:p w14:paraId="00100196" w14:textId="00100197">
            <w:r>
              <w:t xml:space="preserve">Baseline</w:t>
            </w:r>
          </w:p>
        </w:tc>
      </w:tr>
      <w:tr>
        <w:trPr/>
        <w:tc>
          <w:p w14:paraId="00100198" w14:textId="00100199">
            <w:r>
              <w:t xml:space="preserve">Precision</w:t>
            </w:r>
          </w:p>
        </w:tc>
        <w:tc>
          <w:p w14:paraId="0010019A" w14:textId="0010019B">
            <w:r>
              <w:t xml:space="preserve">0.920</w:t>
            </w:r>
          </w:p>
        </w:tc>
        <w:tc>
          <w:p w14:paraId="0010019C" w14:textId="0010019D">
            <w:r>
              <w:t xml:space="preserve">0.181</w:t>
            </w:r>
          </w:p>
        </w:tc>
        <w:tc>
          <w:p w14:paraId="0010019E" w14:textId="0010019F">
            <w:r>
              <w:t xml:space="preserve">0.551</w:t>
            </w:r>
          </w:p>
        </w:tc>
        <w:tc>
          <w:p w14:paraId="001001A0" w14:textId="001001A1">
            <w:r>
              <w:t xml:space="preserve">0.886 (neg only)</w:t>
            </w:r>
          </w:p>
        </w:tc>
      </w:tr>
      <w:tr>
        <w:trPr/>
        <w:tc>
          <w:p w14:paraId="001001A2" w14:textId="001001A3">
            <w:r>
              <w:t xml:space="preserve">Recall</w:t>
            </w:r>
          </w:p>
        </w:tc>
        <w:tc>
          <w:p w14:paraId="001001A4" w14:textId="001001A5">
            <w:r>
              <w:t xml:space="preserve">0.720</w:t>
            </w:r>
          </w:p>
        </w:tc>
        <w:tc>
          <w:p w14:paraId="001001A6" w14:textId="001001A7">
            <w:r>
              <w:t xml:space="preserve">0.499</w:t>
            </w:r>
          </w:p>
        </w:tc>
        <w:tc>
          <w:p w14:paraId="001001A8" w14:textId="001001A9">
            <w:r>
              <w:t xml:space="preserve">0.610</w:t>
            </w:r>
          </w:p>
        </w:tc>
        <w:tc>
          <w:p w14:paraId="001001AA" w14:textId="001001AB">
            <w:r>
              <w:t xml:space="preserve">1.000 (neg only)</w:t>
            </w:r>
          </w:p>
        </w:tc>
      </w:tr>
      <w:tr>
        <w:trPr/>
        <w:tc>
          <w:p w14:paraId="001001AC" w14:textId="001001AD">
            <w:r>
              <w:t xml:space="preserve">F1-Score</w:t>
            </w:r>
          </w:p>
        </w:tc>
        <w:tc>
          <w:p w14:paraId="001001AE" w14:textId="001001AF">
            <w:r>
              <w:t xml:space="preserve">0.808</w:t>
            </w:r>
          </w:p>
        </w:tc>
        <w:tc>
          <w:p w14:paraId="001001B0" w14:textId="001001B1">
            <w:r>
              <w:t xml:space="preserve">0.266</w:t>
            </w:r>
          </w:p>
        </w:tc>
        <w:tc>
          <w:p w14:paraId="001001B2" w14:textId="001001B3">
            <w:r>
              <w:t xml:space="preserve">0.537</w:t>
            </w:r>
          </w:p>
        </w:tc>
        <w:tc>
          <w:p w14:paraId="001001B4" w14:textId="001001B5">
            <w:r>
              <w:t xml:space="preserve">0.940 (neg only)</w:t>
            </w:r>
          </w:p>
        </w:tc>
      </w:tr>
      <w:tr>
        <w:trPr/>
        <w:tc>
          <w:p w14:paraId="001001B6" w14:textId="001001B7">
            <w:r>
              <w:t xml:space="preserve">ROC-AUC</w:t>
            </w:r>
          </w:p>
        </w:tc>
        <w:tc>
          <w:p w14:paraId="001001B8" w14:textId="001001B9">
            <w:r>
              <w:t xml:space="preserve">—</w:t>
            </w:r>
          </w:p>
        </w:tc>
        <w:tc>
          <w:p w14:paraId="001001BA" w14:textId="001001BB">
            <w:r>
              <w:t xml:space="preserve">—</w:t>
            </w:r>
          </w:p>
        </w:tc>
        <w:tc>
          <w:p w14:paraId="001001BC" w14:textId="001001BD">
            <w:r>
              <w:t xml:space="preserve">0.6639</w:t>
            </w:r>
          </w:p>
        </w:tc>
        <w:tc>
          <w:p w14:paraId="001001BE" w14:textId="001001BF">
            <w:r>
              <w:t xml:space="preserve">0.5000</w:t>
            </w:r>
          </w:p>
        </w:tc>
      </w:tr>
    </w:tbl>
    <w:p w14:paraId="001001C0" w14:textId="001001C1">
      <w:pPr>
        <w:spacing w:after="160"/>
      </w:pPr>
      <w:r>
        <w:rPr>
          <w:sz w:val="22"/>
        </w:rPr>
        <w:t xml:space="preserve">The model achieves ROC-AUC 0.6639 vs. majority-class baseline of 0.500 — a meaningful improvement. The positive-class recall of 0.499 (50% of early readmissions identified at the chosen threshold) reflects the difficulty of predicting rare events from administrative data alone. Precision for the positive class is 0.181, meaning 18% of predicted positives are true early readmissions. The model is intended for population-level pattern discovery, not individual risk scoring.</w:t>
      </w:r>
    </w:p>
    <w:p w14:paraId="001001C2" w14:textId="001001C3">
      <w:pPr>
        <w:pStyle w:val="Heading2"/>
        <w:spacing w:before="160" w:after="120"/>
      </w:pPr>
      <w:r>
        <w:rPr>
          <w:b/>
          <w:sz w:val="26"/>
        </w:rPr>
        <w:t xml:space="preserve">6.4 Confusion Matrix (Test Set)</w:t>
      </w:r>
    </w:p>
    <w:tbl>
      <w:tblPr>
        <w:tblW w:w="3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1C4" w14:textId="001001C5"/>
        </w:tc>
        <w:tc>
          <w:p w14:paraId="001001C6" w14:textId="001001C7">
            <w:r>
              <w:t xml:space="preserve">Predicted Negative</w:t>
            </w:r>
          </w:p>
        </w:tc>
        <w:tc>
          <w:p w14:paraId="001001C8" w14:textId="001001C9">
            <w:r>
              <w:t xml:space="preserve">Predicted Positive</w:t>
            </w:r>
          </w:p>
        </w:tc>
      </w:tr>
      <w:tr>
        <w:trPr/>
        <w:tc>
          <w:p w14:paraId="001001CA" w14:textId="001001CB">
            <w:r>
              <w:t xml:space="preserve">Actual Negative</w:t>
            </w:r>
          </w:p>
        </w:tc>
        <w:tc>
          <w:p w14:paraId="001001CC" w14:textId="001001CD">
            <w:r>
              <w:t xml:space="preserve">12,583 (TN)</w:t>
            </w:r>
          </w:p>
        </w:tc>
        <w:tc>
          <w:p w14:paraId="001001CE" w14:textId="001001CF">
            <w:r>
              <w:t xml:space="preserve">4,900 (FP)</w:t>
            </w:r>
          </w:p>
        </w:tc>
      </w:tr>
      <w:tr>
        <w:trPr/>
        <w:tc>
          <w:p w14:paraId="001001D0" w14:textId="001001D1">
            <w:r>
              <w:t xml:space="preserve">Actual Positive</w:t>
            </w:r>
          </w:p>
        </w:tc>
        <w:tc>
          <w:p w14:paraId="001001D2" w14:textId="001001D3">
            <w:r>
              <w:t xml:space="preserve">1,090 (FN)</w:t>
            </w:r>
          </w:p>
        </w:tc>
        <w:tc>
          <w:p w14:paraId="001001D4" w14:textId="001001D5">
            <w:r>
              <w:t xml:space="preserve">1,085 (TP)</w:t>
            </w:r>
          </w:p>
        </w:tc>
      </w:tr>
    </w:tbl>
    <w:p w14:paraId="001001D6" w14:textId="001001D7">
      <w:pPr>
        <w:pStyle w:val="Heading2"/>
        <w:spacing w:before="160" w:after="120"/>
      </w:pPr>
      <w:r>
        <w:rPr>
          <w:b/>
          <w:sz w:val="26"/>
        </w:rPr>
        <w:t xml:space="preserve">6.5 Top 10 Feature Importances</w:t>
      </w:r>
    </w:p>
    <w:tbl>
      <w:tblPr>
        <w:tblW w:w="375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1D8" w14:textId="001001D9">
            <w:r>
              <w:t xml:space="preserve">Rank</w:t>
            </w:r>
          </w:p>
        </w:tc>
        <w:tc>
          <w:p w14:paraId="001001DA" w14:textId="001001DB">
            <w:r>
              <w:t xml:space="preserve">Feature</w:t>
            </w:r>
          </w:p>
        </w:tc>
        <w:tc>
          <w:p w14:paraId="001001DC" w14:textId="001001DD">
            <w:r>
              <w:t xml:space="preserve">Importance (MDI)</w:t>
            </w:r>
          </w:p>
        </w:tc>
      </w:tr>
      <w:tr>
        <w:trPr/>
        <w:tc>
          <w:p w14:paraId="001001DE" w14:textId="001001DF">
            <w:r>
              <w:t xml:space="preserve">1</w:t>
            </w:r>
          </w:p>
        </w:tc>
        <w:tc>
          <w:p w14:paraId="001001E0" w14:textId="001001E1">
            <w:r>
              <w:t xml:space="preserve"># Prior Inpatient Visits</w:t>
            </w:r>
          </w:p>
        </w:tc>
        <w:tc>
          <w:p w14:paraId="001001E2" w14:textId="001001E3">
            <w:r>
              <w:t xml:space="preserve">0.2333</w:t>
            </w:r>
          </w:p>
        </w:tc>
      </w:tr>
      <w:tr>
        <w:trPr/>
        <w:tc>
          <w:p w14:paraId="001001E4" w14:textId="001001E5">
            <w:r>
              <w:t xml:space="preserve">2</w:t>
            </w:r>
          </w:p>
        </w:tc>
        <w:tc>
          <w:p w14:paraId="001001E6" w14:textId="001001E7">
            <w:r>
              <w:t xml:space="preserve">Discharge Disposition</w:t>
            </w:r>
          </w:p>
        </w:tc>
        <w:tc>
          <w:p w14:paraId="001001E8" w14:textId="001001E9">
            <w:r>
              <w:t xml:space="preserve">0.1074</w:t>
            </w:r>
          </w:p>
        </w:tc>
      </w:tr>
      <w:tr>
        <w:trPr/>
        <w:tc>
          <w:p w14:paraId="001001EA" w14:textId="001001EB">
            <w:r>
              <w:t xml:space="preserve">3</w:t>
            </w:r>
          </w:p>
        </w:tc>
        <w:tc>
          <w:p w14:paraId="001001EC" w14:textId="001001ED">
            <w:r>
              <w:t xml:space="preserve"># Lab Procedures</w:t>
            </w:r>
          </w:p>
        </w:tc>
        <w:tc>
          <w:p w14:paraId="001001EE" w14:textId="001001EF">
            <w:r>
              <w:t xml:space="preserve">0.0767</w:t>
            </w:r>
          </w:p>
        </w:tc>
      </w:tr>
      <w:tr>
        <w:trPr/>
        <w:tc>
          <w:p w14:paraId="001001F0" w14:textId="001001F1">
            <w:r>
              <w:t xml:space="preserve">4</w:t>
            </w:r>
          </w:p>
        </w:tc>
        <w:tc>
          <w:p w14:paraId="001001F2" w14:textId="001001F3">
            <w:r>
              <w:t xml:space="preserve"># Medications</w:t>
            </w:r>
          </w:p>
        </w:tc>
        <w:tc>
          <w:p w14:paraId="001001F4" w14:textId="001001F5">
            <w:r>
              <w:t xml:space="preserve">0.0711</w:t>
            </w:r>
          </w:p>
        </w:tc>
      </w:tr>
      <w:tr>
        <w:trPr/>
        <w:tc>
          <w:p w14:paraId="001001F6" w14:textId="001001F7">
            <w:r>
              <w:t xml:space="preserve">5</w:t>
            </w:r>
          </w:p>
        </w:tc>
        <w:tc>
          <w:p w14:paraId="001001F8" w14:textId="001001F9">
            <w:r>
              <w:t xml:space="preserve">Length of Stay</w:t>
            </w:r>
          </w:p>
        </w:tc>
        <w:tc>
          <w:p w14:paraId="001001FA" w14:textId="001001FB">
            <w:r>
              <w:t xml:space="preserve">0.0556</w:t>
            </w:r>
          </w:p>
        </w:tc>
      </w:tr>
      <w:tr>
        <w:trPr/>
        <w:tc>
          <w:p w14:paraId="001001FC" w14:textId="001001FD">
            <w:r>
              <w:t xml:space="preserve">6</w:t>
            </w:r>
          </w:p>
        </w:tc>
        <w:tc>
          <w:p w14:paraId="001001FE" w14:textId="001001FF">
            <w:r>
              <w:t xml:space="preserve">Primary Dx Chapter (ICD-9)</w:t>
            </w:r>
          </w:p>
        </w:tc>
        <w:tc>
          <w:p w14:paraId="00100200" w14:textId="00100201">
            <w:r>
              <w:t xml:space="preserve">0.0551</w:t>
            </w:r>
          </w:p>
        </w:tc>
      </w:tr>
      <w:tr>
        <w:trPr/>
        <w:tc>
          <w:p w14:paraId="00100202" w14:textId="00100203">
            <w:r>
              <w:t xml:space="preserve">7</w:t>
            </w:r>
          </w:p>
        </w:tc>
        <w:tc>
          <w:p w14:paraId="00100204" w14:textId="00100205">
            <w:r>
              <w:t xml:space="preserve"># Diagnoses</w:t>
            </w:r>
          </w:p>
        </w:tc>
        <w:tc>
          <w:p w14:paraId="00100206" w14:textId="00100207">
            <w:r>
              <w:t xml:space="preserve">0.0450</w:t>
            </w:r>
          </w:p>
        </w:tc>
      </w:tr>
      <w:tr>
        <w:trPr/>
        <w:tc>
          <w:p w14:paraId="00100208" w14:textId="00100209">
            <w:r>
              <w:t xml:space="preserve">8</w:t>
            </w:r>
          </w:p>
        </w:tc>
        <w:tc>
          <w:p w14:paraId="0010020A" w14:textId="0010020B">
            <w:r>
              <w:t xml:space="preserve">Age Group</w:t>
            </w:r>
          </w:p>
        </w:tc>
        <w:tc>
          <w:p w14:paraId="0010020C" w14:textId="0010020D">
            <w:r>
              <w:t xml:space="preserve">0.0445</w:t>
            </w:r>
          </w:p>
        </w:tc>
      </w:tr>
      <w:tr>
        <w:trPr/>
        <w:tc>
          <w:p w14:paraId="0010020E" w14:textId="0010020F">
            <w:r>
              <w:t xml:space="preserve">9</w:t>
            </w:r>
          </w:p>
        </w:tc>
        <w:tc>
          <w:p w14:paraId="00100210" w14:textId="00100211">
            <w:r>
              <w:t xml:space="preserve">Secondary Dx Chapter (ICD-9)</w:t>
            </w:r>
          </w:p>
        </w:tc>
        <w:tc>
          <w:p w14:paraId="00100212" w14:textId="00100213">
            <w:r>
              <w:t xml:space="preserve">0.0431</w:t>
            </w:r>
          </w:p>
        </w:tc>
      </w:tr>
      <w:tr>
        <w:trPr/>
        <w:tc>
          <w:p w14:paraId="00100214" w14:textId="00100215">
            <w:r>
              <w:t xml:space="preserve">10</w:t>
            </w:r>
          </w:p>
        </w:tc>
        <w:tc>
          <w:p w14:paraId="00100216" w14:textId="00100217">
            <w:r>
              <w:t xml:space="preserve"># Prior Emergency Visits</w:t>
            </w:r>
          </w:p>
        </w:tc>
        <w:tc>
          <w:p w14:paraId="00100218" w14:textId="00100219">
            <w:r>
              <w:t xml:space="preserve">0.0352</w:t>
            </w:r>
          </w:p>
        </w:tc>
      </w:tr>
    </w:tbl>
    <w:p w14:paraId="0010021A" w14:textId="0010021B">
      <w:pPr>
        <w:spacing w:after="160"/>
      </w:pPr>
      <w:r>
        <w:rPr>
          <w:sz w:val="22"/>
        </w:rPr>
        <w:t xml:space="preserve">Feature importances are Mean Decrease in Impurity (MDI) from the Random Forest. They indicate which variables the model found most statistically informative for splitting, but do not establish causal relationships. # Prior Inpatient dominates at 23.3%, indicating that prior utilisation history is by far the most predictive administrative signal.</w:t>
      </w:r>
    </w:p>
    <w:p w14:paraId="0010021C" w14:textId="0010021D">
      <w:pPr>
        <w:pStyle w:val="Heading1"/>
        <w:spacing w:before="240" w:after="160"/>
      </w:pPr>
      <w:r>
        <w:rPr>
          <w:b/>
          <w:sz w:val="32"/>
        </w:rPr>
        <w:t xml:space="preserve">7. Key Performance Indicators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21E" w14:textId="0010021F">
            <w:r>
              <w:t xml:space="preserve">KPI</w:t>
            </w:r>
          </w:p>
        </w:tc>
        <w:tc>
          <w:p w14:paraId="00100220" w14:textId="00100221">
            <w:r>
              <w:t xml:space="preserve">Formula</w:t>
            </w:r>
          </w:p>
        </w:tc>
        <w:tc>
          <w:p w14:paraId="00100222" w14:textId="00100223">
            <w:r>
              <w:t xml:space="preserve">Value (Full Eligible Population)</w:t>
            </w:r>
          </w:p>
        </w:tc>
      </w:tr>
      <w:tr>
        <w:trPr/>
        <w:tc>
          <w:p w14:paraId="00100224" w14:textId="00100225">
            <w:r>
              <w:t xml:space="preserve">Overall Early Readmission Rate</w:t>
            </w:r>
          </w:p>
        </w:tc>
        <w:tc>
          <w:p w14:paraId="00100226" w14:textId="00100227">
            <w:r>
              <w:t xml:space="preserve">count(readmitted='&lt;30') / eligible_encounters * 100</w:t>
            </w:r>
          </w:p>
        </w:tc>
        <w:tc>
          <w:p w14:paraId="00100228" w14:textId="00100229">
            <w:r>
              <w:t xml:space="preserve">11.39%</w:t>
            </w:r>
          </w:p>
        </w:tc>
      </w:tr>
      <w:tr>
        <w:trPr/>
        <w:tc>
          <w:p w14:paraId="0010022A" w14:textId="0010022B">
            <w:r>
              <w:t xml:space="preserve">Early Readmission Count</w:t>
            </w:r>
          </w:p>
        </w:tc>
        <w:tc>
          <w:p w14:paraId="0010022C" w14:textId="0010022D">
            <w:r>
              <w:t xml:space="preserve">count(readmitted='&lt;30')</w:t>
            </w:r>
          </w:p>
        </w:tc>
        <w:tc>
          <w:p w14:paraId="0010022E" w14:textId="0010022F">
            <w:r>
              <w:t xml:space="preserve">11,314</w:t>
            </w:r>
          </w:p>
        </w:tc>
      </w:tr>
      <w:tr>
        <w:trPr/>
        <w:tc>
          <w:p w14:paraId="00100230" w14:textId="00100231">
            <w:r>
              <w:t xml:space="preserve">Mean Length of Stay</w:t>
            </w:r>
          </w:p>
        </w:tc>
        <w:tc>
          <w:p w14:paraId="00100232" w14:textId="00100233">
            <w:r>
              <w:t xml:space="preserve">mean(time_in_hospital)</w:t>
            </w:r>
          </w:p>
        </w:tc>
        <w:tc>
          <w:p w14:paraId="00100234" w14:textId="00100235">
            <w:r>
              <w:t xml:space="preserve">4.38 days</w:t>
            </w:r>
          </w:p>
        </w:tc>
      </w:tr>
      <w:tr>
        <w:trPr/>
        <w:tc>
          <w:p w14:paraId="00100236" w14:textId="00100237">
            <w:r>
              <w:t xml:space="preserve">Unique Patients</w:t>
            </w:r>
          </w:p>
        </w:tc>
        <w:tc>
          <w:p w14:paraId="00100238" w14:textId="00100239">
            <w:r>
              <w:t xml:space="preserve">count(distinct patient_nbr)</w:t>
            </w:r>
          </w:p>
        </w:tc>
        <w:tc>
          <w:p w14:paraId="0010023A" w14:textId="0010023B">
            <w:r>
              <w:t xml:space="preserve">69,987</w:t>
            </w:r>
          </w:p>
        </w:tc>
      </w:tr>
      <w:tr>
        <w:trPr/>
        <w:tc>
          <w:p w14:paraId="0010023C" w14:textId="0010023D">
            <w:r>
              <w:t xml:space="preserve">A1C Test Coverage</w:t>
            </w:r>
          </w:p>
        </w:tc>
        <w:tc>
          <w:p w14:paraId="0010023E" w14:textId="0010023F">
            <w:r>
              <w:t xml:space="preserve">count(A1Cresult != 'Not Tested') / eligible * 100</w:t>
            </w:r>
          </w:p>
        </w:tc>
        <w:tc>
          <w:p w14:paraId="00100240" w14:textId="00100241">
            <w:r>
              <w:t xml:space="preserve">16.95%</w:t>
            </w:r>
          </w:p>
        </w:tc>
      </w:tr>
      <w:tr>
        <w:trPr/>
        <w:tc>
          <w:p w14:paraId="00100242" w14:textId="00100243">
            <w:r>
              <w:t xml:space="preserve">Diabetes Medication Rate</w:t>
            </w:r>
          </w:p>
        </w:tc>
        <w:tc>
          <w:p w14:paraId="00100244" w14:textId="00100245">
            <w:r>
              <w:t xml:space="preserve">count(diabetesMed='Yes') / eligible * 100</w:t>
            </w:r>
          </w:p>
        </w:tc>
        <w:tc>
          <w:p w14:paraId="00100246" w14:textId="00100247">
            <w:r>
              <w:t xml:space="preserve">77.23%</w:t>
            </w:r>
          </w:p>
        </w:tc>
      </w:tr>
      <w:tr>
        <w:trPr/>
        <w:tc>
          <w:p w14:paraId="00100248" w14:textId="00100249">
            <w:r>
              <w:t xml:space="preserve">High Prior Inpatient Count</w:t>
            </w:r>
          </w:p>
        </w:tc>
        <w:tc>
          <w:p w14:paraId="0010024A" w14:textId="0010024B">
            <w:r>
              <w:t xml:space="preserve">count(number_inpatient &gt;= 3)</w:t>
            </w:r>
          </w:p>
        </w:tc>
        <w:tc>
          <w:p w14:paraId="0010024C" w14:textId="0010024D">
            <w:r>
              <w:t xml:space="preserve">6,814 (6.9%)</w:t>
            </w:r>
          </w:p>
        </w:tc>
      </w:tr>
      <w:tr>
        <w:trPr/>
        <w:tc>
          <w:p w14:paraId="0010024E" w14:textId="0010024F">
            <w:r>
              <w:t xml:space="preserve">High Prior Inpatient — Early Readmit Rate</w:t>
            </w:r>
          </w:p>
        </w:tc>
        <w:tc>
          <w:p w14:paraId="00100250" w14:textId="00100251">
            <w:r>
              <w:t xml:space="preserve">rate among number_inpatient &gt;= 3</w:t>
            </w:r>
          </w:p>
        </w:tc>
        <w:tc>
          <w:p w14:paraId="00100252" w14:textId="00100253">
            <w:r>
              <w:t xml:space="preserve">26.40%</w:t>
            </w:r>
          </w:p>
        </w:tc>
      </w:tr>
      <w:tr>
        <w:trPr/>
        <w:tc>
          <w:p w14:paraId="00100254" w14:textId="00100255">
            <w:r>
              <w:t xml:space="preserve">Mean Medications per Encounter</w:t>
            </w:r>
          </w:p>
        </w:tc>
        <w:tc>
          <w:p w14:paraId="00100256" w14:textId="00100257">
            <w:r>
              <w:t xml:space="preserve">mean(num_medications)</w:t>
            </w:r>
          </w:p>
        </w:tc>
        <w:tc>
          <w:p w14:paraId="00100258" w14:textId="00100259">
            <w:r>
              <w:t xml:space="preserve">15.98</w:t>
            </w:r>
          </w:p>
        </w:tc>
      </w:tr>
      <w:tr>
        <w:trPr/>
        <w:tc>
          <w:p w14:paraId="0010025A" w14:textId="0010025B">
            <w:r>
              <w:t xml:space="preserve">Mean Diagnoses per Encounter</w:t>
            </w:r>
          </w:p>
        </w:tc>
        <w:tc>
          <w:p w14:paraId="0010025C" w14:textId="0010025D">
            <w:r>
              <w:t xml:space="preserve">mean(number_diagnoses)</w:t>
            </w:r>
          </w:p>
        </w:tc>
        <w:tc>
          <w:p w14:paraId="0010025E" w14:textId="0010025F">
            <w:r>
              <w:t xml:space="preserve">7.40</w:t>
            </w:r>
          </w:p>
        </w:tc>
      </w:tr>
    </w:tbl>
    <w:p w14:paraId="00100260" w14:textId="00100261">
      <w:pPr>
        <w:pStyle w:val="Heading1"/>
        <w:spacing w:before="240" w:after="160"/>
      </w:pPr>
      <w:r>
        <w:rPr>
          <w:b/>
          <w:sz w:val="32"/>
        </w:rPr>
        <w:t xml:space="preserve">8. Insights &amp; Recommendations</w:t>
      </w:r>
    </w:p>
    <w:p w14:paraId="00100262" w14:textId="00100263">
      <w:pPr>
        <w:spacing w:after="160"/>
      </w:pPr>
      <w:r>
        <w:rPr>
          <w:sz w:val="22"/>
        </w:rPr>
        <w:t xml:space="preserve">All recommendations below are grounded in observed statistics from the dataset. They represent operational hypotheses for quality improvement initiatives, not clinical protocols. Clinical and operational experts should review all recommendations before policy action.</w:t>
      </w:r>
    </w:p>
    <w:p w14:paraId="00100264" w14:textId="00100265">
      <w:pPr>
        <w:pStyle w:val="Heading2"/>
        <w:spacing w:before="160" w:after="120"/>
      </w:pPr>
      <w:r>
        <w:rPr>
          <w:b/>
          <w:sz w:val="26"/>
        </w:rPr>
        <w:t xml:space="preserve">8.1 Target High-Prior-Utilisation Patients for Intensive Discharge Planning</w:t>
      </w:r>
    </w:p>
    <w:p w14:paraId="00100266" w14:textId="00100267">
      <w:pPr>
        <w:spacing w:after="80"/>
      </w:pPr>
      <w:r>
        <w:rPr>
          <w:sz w:val="22"/>
        </w:rPr>
        <w:t xml:space="preserve">Finding: 6,814 encounters involve patients with 3+ prior inpatient visits. Their early readmission rate is 26.4% — more than double the overall 11.39%. The predictive model confirms # Prior Inpatient as the single most important feature (importance 0.2333).</w:t>
      </w:r>
    </w:p>
    <w:p w14:paraId="00100268" w14:textId="00100269">
      <w:pPr>
        <w:spacing w:after="160"/>
      </w:pPr>
      <w:r>
        <w:rPr>
          <w:sz w:val="22"/>
        </w:rPr>
        <w:t xml:space="preserve">Recommendation: Implement an automatic flag in the discharge workflow for patients with 3+ prior inpatient stays. Assign to case management and schedule a 48-hour post-discharge follow-up call. Referral to a transitional care clinic should be standard for this cohort.</w:t>
      </w:r>
    </w:p>
    <w:p w14:paraId="0010026A" w14:textId="0010026B">
      <w:pPr>
        <w:pStyle w:val="Heading2"/>
        <w:spacing w:before="160" w:after="120"/>
      </w:pPr>
      <w:r>
        <w:rPr>
          <w:b/>
          <w:sz w:val="26"/>
        </w:rPr>
        <w:t xml:space="preserve">8.2 Increase A1C Testing Coverage</w:t>
      </w:r>
    </w:p>
    <w:p w14:paraId="0010026C" w14:textId="0010026D">
      <w:pPr>
        <w:spacing w:after="80"/>
      </w:pPr>
      <w:r>
        <w:rPr>
          <w:sz w:val="22"/>
        </w:rPr>
        <w:t xml:space="preserve">Finding: Only 16.95% of eligible encounters have an A1C result documented. Untested patients have a higher early readmission rate (11.69%) than those with a normal result (9.77%). The A1C testing gap suggests a missed opportunity to identify and address uncontrolled glycaemia before discharge.</w:t>
      </w:r>
    </w:p>
    <w:p w14:paraId="0010026E" w14:textId="0010026F">
      <w:pPr>
        <w:spacing w:after="160"/>
      </w:pPr>
      <w:r>
        <w:rPr>
          <w:sz w:val="22"/>
        </w:rPr>
        <w:t xml:space="preserve">Recommendation: Add A1C testing to the standard diabetic inpatient admission order set. Track A1C testing rate as a process metric alongside the readmission outcome KPI.</w:t>
      </w:r>
    </w:p>
    <w:p w14:paraId="00100270" w14:textId="00100271">
      <w:pPr>
        <w:pStyle w:val="Heading2"/>
        <w:spacing w:before="160" w:after="120"/>
      </w:pPr>
      <w:r>
        <w:rPr>
          <w:b/>
          <w:sz w:val="26"/>
        </w:rPr>
        <w:t xml:space="preserve">8.3 Enhanced Follow-Up for Insulin Dose-Change Patients</w:t>
      </w:r>
    </w:p>
    <w:p w14:paraId="00100272" w14:textId="00100273">
      <w:pPr>
        <w:spacing w:after="80"/>
      </w:pPr>
      <w:r>
        <w:rPr>
          <w:sz w:val="22"/>
        </w:rPr>
        <w:t xml:space="preserve">Finding: Patients with insulin 'Up' (13.33%) or 'Down' (14.22%) have higher early readmission rates than those not on insulin (10.21%). Dose adjustments signal active glycaemic instability.</w:t>
      </w:r>
    </w:p>
    <w:p w14:paraId="00100274" w14:textId="00100275">
      <w:pPr>
        <w:spacing w:after="160"/>
      </w:pPr>
      <w:r>
        <w:rPr>
          <w:sz w:val="22"/>
        </w:rPr>
        <w:t xml:space="preserve">Recommendation: Patients with any insulin dose change during admission should receive structured post-discharge glucose monitoring instructions and a 7-day follow-up appointment to prevent glycaemic crises that trigger readmission.</w:t>
      </w:r>
    </w:p>
    <w:p w14:paraId="00100276" w14:textId="00100277">
      <w:pPr>
        <w:pStyle w:val="Heading2"/>
        <w:spacing w:before="160" w:after="120"/>
      </w:pPr>
      <w:r>
        <w:rPr>
          <w:b/>
          <w:sz w:val="26"/>
        </w:rPr>
        <w:t xml:space="preserve">8.4 Pharmacy Review for High-Polypharmacy Patients</w:t>
      </w:r>
    </w:p>
    <w:p w14:paraId="00100278" w14:textId="00100279">
      <w:pPr>
        <w:spacing w:after="80"/>
      </w:pPr>
      <w:r>
        <w:rPr>
          <w:sz w:val="22"/>
        </w:rPr>
        <w:t xml:space="preserve">Finding: The predictive model ranks # Medications as the 4th most important feature (importance 0.0711). Patients on 15+ medications have a meaningfully higher early readmission rate than those on fewer than 10.</w:t>
      </w:r>
    </w:p>
    <w:p w14:paraId="0010027A" w14:textId="0010027B">
      <w:pPr>
        <w:spacing w:after="160"/>
      </w:pPr>
      <w:r>
        <w:rPr>
          <w:sz w:val="22"/>
        </w:rPr>
        <w:t xml:space="preserve">Recommendation: Include a pharmacist-led medication reconciliation in the discharge checklist for all patients with 15+ active medications. Review for drug interactions and opportunities to simplify regimens.</w:t>
      </w:r>
    </w:p>
    <w:p w14:paraId="0010027C" w14:textId="0010027D">
      <w:pPr>
        <w:pStyle w:val="Heading2"/>
        <w:spacing w:before="160" w:after="120"/>
      </w:pPr>
      <w:r>
        <w:rPr>
          <w:b/>
          <w:sz w:val="26"/>
        </w:rPr>
        <w:t xml:space="preserve">8.5 Focus Specialty-Level Improvement on Internal Medicine and Nephrology</w:t>
      </w:r>
    </w:p>
    <w:p w14:paraId="0010027E" w14:textId="0010027F">
      <w:pPr>
        <w:spacing w:after="80"/>
      </w:pPr>
      <w:r>
        <w:rPr>
          <w:sz w:val="22"/>
        </w:rPr>
        <w:t xml:space="preserve">Finding: Internal Medicine accounts for the highest absolute volume of early readmissions. Nephrology patients show among the highest relative rates given their comorbidity burden with diabetes.</w:t>
      </w:r>
    </w:p>
    <w:p w14:paraId="00100280" w14:textId="00100281">
      <w:pPr>
        <w:spacing w:after="160"/>
      </w:pPr>
      <w:r>
        <w:rPr>
          <w:sz w:val="22"/>
        </w:rPr>
        <w:t xml:space="preserve">Recommendation: Prioritise quality improvement projects in Internal Medicine and Nephrology. Both specialties have sufficient volume to support structured pilot interventions with statistical power to measure impact.</w:t>
      </w:r>
    </w:p>
    <w:p w14:paraId="00100282" w14:textId="00100283">
      <w:pPr>
        <w:pStyle w:val="Heading1"/>
        <w:spacing w:before="240" w:after="160"/>
      </w:pPr>
      <w:r>
        <w:rPr>
          <w:b/>
          <w:sz w:val="32"/>
        </w:rPr>
        <w:t xml:space="preserve">9. Limitations</w:t>
      </w:r>
    </w:p>
    <w:p w14:paraId="00100284" w14:textId="001002E1">
      <w:pPr>
        <w:numPr>
          <w:ilvl w:val="0"/>
          <w:numId w:val="4"/>
        </w:numPr>
        <w:spacing w:after="80"/>
      </w:pPr>
      <w:r>
        <w:rPr>
          <w:sz w:val="22"/>
        </w:rPr>
        <w:t xml:space="preserve">1. Temporal scope: The dataset covers 1999-2008. Treatment protocols, drug availability, and hospital workflows have changed substantially since then. Findings should not be assumed to generalise to current clinical practice.</w:t>
      </w:r>
    </w:p>
    <w:p w14:paraId="00100286" w14:textId="001002E2">
      <w:pPr>
        <w:numPr>
          <w:ilvl w:val="0"/>
          <w:numId w:val="4"/>
        </w:numPr>
        <w:spacing w:after="80"/>
      </w:pPr>
      <w:r>
        <w:rPr>
          <w:sz w:val="22"/>
        </w:rPr>
        <w:t xml:space="preserve">2. Readmission definition: The target captures readmission to the same hospital system only. Transfers to other hospitals or readmissions elsewhere are not recorded.</w:t>
      </w:r>
    </w:p>
    <w:p w14:paraId="00100288" w14:textId="001002E3">
      <w:pPr>
        <w:numPr>
          <w:ilvl w:val="0"/>
          <w:numId w:val="4"/>
        </w:numPr>
        <w:spacing w:after="80"/>
      </w:pPr>
      <w:r>
        <w:rPr>
          <w:sz w:val="22"/>
        </w:rPr>
        <w:t xml:space="preserve">3. Missing data: weight (96.9% missing), max_glu_serum (94.7%), and A1Cresult (83.3% 'Not Tested') severely limit the completeness of clinical analysis for these variables.</w:t>
      </w:r>
    </w:p>
    <w:p w14:paraId="0010028A" w14:textId="001002E4">
      <w:pPr>
        <w:numPr>
          <w:ilvl w:val="0"/>
          <w:numId w:val="4"/>
        </w:numPr>
        <w:spacing w:after="80"/>
      </w:pPr>
      <w:r>
        <w:rPr>
          <w:sz w:val="22"/>
        </w:rPr>
        <w:t xml:space="preserve">4. Medical specialty: 49.1% of encounters have no specialty recorded, limiting specialty-level analysis to the 50.9% with known specialty.</w:t>
      </w:r>
    </w:p>
    <w:p w14:paraId="0010028C" w14:textId="001002E5">
      <w:pPr>
        <w:numPr>
          <w:ilvl w:val="0"/>
          <w:numId w:val="4"/>
        </w:numPr>
        <w:spacing w:after="80"/>
      </w:pPr>
      <w:r>
        <w:rPr>
          <w:sz w:val="22"/>
        </w:rPr>
        <w:t xml:space="preserve">5. Correlation vs. causation: All associations are descriptive. The model identifies statistically informative features, not causal mechanisms. Clinical and operational context is required before acting on findings.</w:t>
      </w:r>
    </w:p>
    <w:p w14:paraId="0010028E" w14:textId="001002E6">
      <w:pPr>
        <w:numPr>
          <w:ilvl w:val="0"/>
          <w:numId w:val="4"/>
        </w:numPr>
        <w:spacing w:after="80"/>
      </w:pPr>
      <w:r>
        <w:rPr>
          <w:sz w:val="22"/>
        </w:rPr>
        <w:t xml:space="preserve">6. Administrative features only: Clinical notes, lab time-series, vital sign trends, and social determinants of health are not available. These are known to be important predictors of readmission.</w:t>
      </w:r>
    </w:p>
    <w:p w14:paraId="00100290" w14:textId="001002E7">
      <w:pPr>
        <w:numPr>
          <w:ilvl w:val="0"/>
          <w:numId w:val="4"/>
        </w:numPr>
        <w:spacing w:after="160"/>
      </w:pPr>
      <w:r>
        <w:rPr>
          <w:sz w:val="22"/>
        </w:rPr>
        <w:t xml:space="preserve">7. Model use: The predictive model is for research and operational planning only. It is not validated for individual clinical risk scoring and must not be used to make care decisions about individual patients.</w:t>
      </w:r>
    </w:p>
    <w:p w14:paraId="00100292" w14:textId="00100293">
      <w:pPr>
        <w:pStyle w:val="Heading1"/>
        <w:spacing w:before="240" w:after="160"/>
      </w:pPr>
      <w:r>
        <w:rPr>
          <w:b/>
          <w:sz w:val="32"/>
        </w:rPr>
        <w:t xml:space="preserve">10. Technology Stack &amp; Architecture</w:t>
      </w:r>
    </w:p>
    <w:tbl>
      <w:tblPr>
        <w:tblW w:w="45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294" w14:textId="00100295">
            <w:r>
              <w:t xml:space="preserve">Component</w:t>
            </w:r>
          </w:p>
        </w:tc>
        <w:tc>
          <w:p w14:paraId="00100296" w14:textId="00100297">
            <w:r>
              <w:t xml:space="preserve">Library</w:t>
            </w:r>
          </w:p>
        </w:tc>
        <w:tc>
          <w:p w14:paraId="00100298" w14:textId="00100299">
            <w:r>
              <w:t xml:space="preserve">Version Used</w:t>
            </w:r>
          </w:p>
        </w:tc>
      </w:tr>
      <w:tr>
        <w:trPr/>
        <w:tc>
          <w:p w14:paraId="0010029A" w14:textId="0010029B">
            <w:r>
              <w:t xml:space="preserve">Frontend + Backend</w:t>
            </w:r>
          </w:p>
        </w:tc>
        <w:tc>
          <w:p w14:paraId="0010029C" w14:textId="0010029D">
            <w:r>
              <w:t xml:space="preserve">Streamlit</w:t>
            </w:r>
          </w:p>
        </w:tc>
        <w:tc>
          <w:p w14:paraId="0010029E" w14:textId="0010029F">
            <w:r>
              <w:t xml:space="preserve">1.65.0</w:t>
            </w:r>
          </w:p>
        </w:tc>
      </w:tr>
      <w:tr>
        <w:trPr/>
        <w:tc>
          <w:p w14:paraId="001002A0" w14:textId="001002A1">
            <w:r>
              <w:t xml:space="preserve">Data Processing</w:t>
            </w:r>
          </w:p>
        </w:tc>
        <w:tc>
          <w:p w14:paraId="001002A2" w14:textId="001002A3">
            <w:r>
              <w:t xml:space="preserve">Pandas</w:t>
            </w:r>
          </w:p>
        </w:tc>
        <w:tc>
          <w:p w14:paraId="001002A4" w14:textId="001002A5">
            <w:r>
              <w:t xml:space="preserve">2.3.3</w:t>
            </w:r>
          </w:p>
        </w:tc>
      </w:tr>
      <w:tr>
        <w:trPr/>
        <w:tc>
          <w:p w14:paraId="001002A6" w14:textId="001002A7">
            <w:r>
              <w:t xml:space="preserve">Numerical Computing</w:t>
            </w:r>
          </w:p>
        </w:tc>
        <w:tc>
          <w:p w14:paraId="001002A8" w14:textId="001002A9">
            <w:r>
              <w:t xml:space="preserve">NumPy</w:t>
            </w:r>
          </w:p>
        </w:tc>
        <w:tc>
          <w:p w14:paraId="001002AA" w14:textId="001002AB">
            <w:r>
              <w:t xml:space="preserve">2.2.6</w:t>
            </w:r>
          </w:p>
        </w:tc>
      </w:tr>
      <w:tr>
        <w:trPr/>
        <w:tc>
          <w:p w14:paraId="001002AC" w14:textId="001002AD">
            <w:r>
              <w:t xml:space="preserve">Visualization</w:t>
            </w:r>
          </w:p>
        </w:tc>
        <w:tc>
          <w:p w14:paraId="001002AE" w14:textId="001002AF">
            <w:r>
              <w:t xml:space="preserve">Plotly</w:t>
            </w:r>
          </w:p>
        </w:tc>
        <w:tc>
          <w:p w14:paraId="001002B0" w14:textId="001002B1">
            <w:r>
              <w:t xml:space="preserve">6.8.0</w:t>
            </w:r>
          </w:p>
        </w:tc>
      </w:tr>
      <w:tr>
        <w:trPr/>
        <w:tc>
          <w:p w14:paraId="001002B2" w14:textId="001002B3">
            <w:r>
              <w:t xml:space="preserve">Machine Learning</w:t>
            </w:r>
          </w:p>
        </w:tc>
        <w:tc>
          <w:p w14:paraId="001002B4" w14:textId="001002B5">
            <w:r>
              <w:t xml:space="preserve">scikit-learn</w:t>
            </w:r>
          </w:p>
        </w:tc>
        <w:tc>
          <w:p w14:paraId="001002B6" w14:textId="001002B7">
            <w:r>
              <w:t xml:space="preserve">1.7.2</w:t>
            </w:r>
          </w:p>
        </w:tc>
      </w:tr>
      <w:tr>
        <w:trPr/>
        <w:tc>
          <w:p w14:paraId="001002B8" w14:textId="001002B9">
            <w:r>
              <w:t xml:space="preserve">Report Generation</w:t>
            </w:r>
          </w:p>
        </w:tc>
        <w:tc>
          <w:p w14:paraId="001002BA" w14:textId="001002BB">
            <w:r>
              <w:t xml:space="preserve">python-docx</w:t>
            </w:r>
          </w:p>
        </w:tc>
        <w:tc>
          <w:p w14:paraId="001002BC" w14:textId="001002BD">
            <w:r>
              <w:t xml:space="preserve">1.1.x</w:t>
            </w:r>
          </w:p>
        </w:tc>
      </w:tr>
    </w:tbl>
    <w:p w14:paraId="001002BE" w14:textId="001002BF">
      <w:pPr>
        <w:spacing w:after="160"/>
      </w:pPr>
      <w:r>
        <w:rPr>
          <w:sz w:val="22"/>
        </w:rPr>
        <w:t xml:space="preserve">The application is contained in a single Python file (app.py) with Streamlit handling both frontend and backend. Data cleaning, feature engineering, KPI computation, visualization, and model training are all implemented as modular cached functions within that file. The scikit-learn RandomForestClassifier uses n_estimators=200, max_depth=12, min_samples_leaf=20, class_weight='balanced', and a fixed random_state=42 for reproducibility.</w:t>
      </w:r>
    </w:p>
    <w:p w14:paraId="001002C0" w14:textId="001002C1">
      <w:pPr>
        <w:pStyle w:val="Heading1"/>
        <w:spacing w:before="240" w:after="160"/>
      </w:pPr>
      <w:r>
        <w:rPr>
          <w:b/>
          <w:sz w:val="32"/>
        </w:rPr>
        <w:t xml:space="preserve">11. Installation &amp; Execution</w:t>
      </w:r>
    </w:p>
    <w:p w14:paraId="001002C2" w14:textId="001002C3">
      <w:pPr>
        <w:spacing w:after="120"/>
      </w:pPr>
      <w:r>
        <w:rPr>
          <w:sz w:val="22"/>
        </w:rPr>
        <w:t xml:space="preserve">Prerequisites: Python 3.10 or higher. The dataset file diabetic_data.csv must be in the same directory as app.py.</w:t>
      </w:r>
    </w:p>
    <w:p w14:paraId="001002C4" w14:textId="001002E8">
      <w:pPr>
        <w:numPr>
          <w:ilvl w:val="0"/>
          <w:numId w:val="9"/>
        </w:numPr>
        <w:spacing w:after="80"/>
      </w:pPr>
      <w:r>
        <w:rPr>
          <w:sz w:val="22"/>
        </w:rPr>
        <w:t xml:space="preserve">Step 1: pip install -r requirements.txt</w:t>
      </w:r>
    </w:p>
    <w:p w14:paraId="001002C6" w14:textId="001002E9">
      <w:pPr>
        <w:numPr>
          <w:ilvl w:val="0"/>
          <w:numId w:val="9"/>
        </w:numPr>
        <w:spacing w:after="80"/>
      </w:pPr>
      <w:r>
        <w:rPr>
          <w:sz w:val="22"/>
        </w:rPr>
        <w:t xml:space="preserve">Step 2: streamlit run app.py</w:t>
      </w:r>
    </w:p>
    <w:p w14:paraId="001002C8" w14:textId="001002EA">
      <w:pPr>
        <w:numPr>
          <w:ilvl w:val="0"/>
          <w:numId w:val="9"/>
        </w:numPr>
        <w:spacing w:after="160"/>
      </w:pPr>
      <w:r>
        <w:rPr>
          <w:sz w:val="22"/>
        </w:rPr>
        <w:t xml:space="preserve">Step 3: Open http://localhost:8501 in a browser. The app loads and caches data on first run.</w:t>
      </w:r>
    </w:p>
    <w:p w14:paraId="001002CA" w14:textId="001002CB">
      <w:pPr>
        <w:pStyle w:val="Heading1"/>
        <w:spacing w:before="240" w:after="160"/>
      </w:pPr>
      <w:r>
        <w:rPr>
          <w:b/>
          <w:sz w:val="32"/>
        </w:rPr>
        <w:t xml:space="preserve">12. References</w:t>
      </w:r>
    </w:p>
    <w:p w14:paraId="001002CC" w14:textId="001002CD">
      <w:pPr>
        <w:spacing w:after="80"/>
      </w:pPr>
      <w:r>
        <w:rPr>
          <w:sz w:val="22"/>
        </w:rPr>
        <w:t xml:space="preserve">1. Strack B, DeShazo JP, Gennings C, Olmo JL, Ventura S, Cios KJ, Clore JN. Impact of HbA1c Measurement on Hospital Readmission Rates: Analysis of 70,000 Clinical Database Patient Records. BioMed Research International. 2014. DOI: 10.1155/2014/781670.</w:t>
      </w:r>
    </w:p>
    <w:p w14:paraId="001002CE" w14:textId="001002CF">
      <w:pPr>
        <w:spacing w:after="80"/>
      </w:pPr>
      <w:r>
        <w:rPr>
          <w:sz w:val="22"/>
        </w:rPr>
        <w:t xml:space="preserve">2. UCI Machine Learning Repository. Diabetes 130-US Hospitals for Years 1999–2008. Available at: https://archive.ics.uci.edu/dataset/296/diabetes+130-us+hospitals+for+years+1999-2008. License: CC BY 4.0.</w:t>
      </w:r>
    </w:p>
    <w:p w14:paraId="001002D0" w14:textId="001002D1">
      <w:pPr>
        <w:spacing w:after="80"/>
      </w:pPr>
      <w:r>
        <w:rPr>
          <w:sz w:val="22"/>
        </w:rPr>
        <w:t xml:space="preserve">3. Centers for Medicare &amp; Medicaid Services. Hospital Readmissions Reduction Program. https://www.cms.gov/medicare/quality/value-based-programs/hrrp</w:t>
      </w:r>
    </w:p>
    <w:p w14:paraId="001002D2" w14:textId="001002D3">
      <w:pPr>
        <w:spacing w:after="80"/>
      </w:pPr>
      <w:r>
        <w:rPr>
          <w:sz w:val="22"/>
        </w:rPr>
        <w:t xml:space="preserve">4. Pedregosa F, et al. Scikit-learn: Machine Learning in Python. JMLR. 2011;12:2825-2830.</w:t>
      </w:r>
    </w:p>
    <w:p w14:paraId="001002D4" w14:textId="001002D5">
      <w:pPr>
        <w:spacing w:after="160"/>
      </w:pPr>
      <w:r>
        <w:rPr>
          <w:sz w:val="22"/>
        </w:rPr>
        <w:t xml:space="preserve">5. McKinney W. Data Structures for Statistical Computing in Python. Proceedings of SciPy 2010.</w:t>
      </w:r>
    </w:p>
    <w:sectPr>
      <w:footerReference w:type="default" r:id="Rf3b81e427e8444d2"/>
      <w:pgSz w:w="11906" w:h="16838"/>
      <w:pgMar w:top="1440" w:right="1800" w:bottom="1440" w:left="1800"/>
      <w:docGrid w:type="default"/>
    </w:sectPr>
  </w:body>
</w:document>
</file>

<file path=word/footer1.xml><?xml version="1.0" encoding="utf-8"?>
<w:ftr xmlns:mc="http://schemas.openxmlformats.org/markup-compatibility/2006" xmlns:w14="http://schemas.microsoft.com/office/word/2010/wordml" xmlns:w="http://schemas.openxmlformats.org/wordprocessingml/2006/main" mc:Ignorable="w14">
  <w:p w14:paraId="001002EB" w14:textId="001002EC">
    <w:pPr>
      <w:jc w:val="center"/>
    </w:pPr>
    <w:r>
      <w:rPr>
        <w:color w:val="57606A"/>
        <w:sz w:val="20"/>
      </w:rPr>
      <w:fldChar w:fldCharType="begin"/>
    </w:r>
    <w:r>
      <w:rPr>
        <w:color w:val="57606A"/>
        <w:sz w:val="20"/>
      </w:rPr>
      <w:instrText xml:space="preserve"> PAGE </w:instrText>
    </w:r>
    <w:r>
      <w:rPr>
        <w:color w:val="57606A"/>
        <w:sz w:val="20"/>
      </w:rPr>
      <w:fldChar w:fldCharType="separate"/>
    </w:r>
    <w:r>
      <w:rPr>
        <w:color w:val="57606A"/>
        <w:sz w:val="20"/>
      </w:rPr>
      <w:t xml:space="preserve">1</w:t>
    </w:r>
    <w:r>
      <w:rPr>
        <w:color w:val="57606A"/>
        <w:sz w:val="20"/>
      </w:rPr>
      <w:fldChar w:fldCharType="end"/>
    </w:r>
  </w:p>
</w:ft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3">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4">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5">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6">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7">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8">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s>
</file>

<file path=word/_rels/document.xml.rels>&#65279;<?xml version="1.0" encoding="utf-8"?><Relationships xmlns="http://schemas.openxmlformats.org/package/2006/relationships"><Relationship Type="http://schemas.openxmlformats.org/officeDocument/2006/relationships/settings" Target="/word/settings.xml" Id="R866e5c4ba37d4d72" /><Relationship Type="http://schemas.openxmlformats.org/officeDocument/2006/relationships/styles" Target="/word/styles.xml" Id="R452d7411682d47ec" /><Relationship Type="http://schemas.openxmlformats.org/officeDocument/2006/relationships/theme" Target="/word/theme/theme1.xml" Id="Rbd1ddc681bfd4e82" /><Relationship Type="http://schemas.openxmlformats.org/officeDocument/2006/relationships/numbering" Target="/word/numbering.xml" Id="Rd6b181205baa4769" /><Relationship Type="http://schemas.openxmlformats.org/officeDocument/2006/relationships/footer" Target="/word/footer1.xml" Id="Rf3b81e427e8444d2" /><Relationship Type="http://schemas.openxmlformats.org/officeDocument/2006/relationships/image" Target="/media/image.png" Id="R0e0ae7053e814eef" /><Relationship Type="http://schemas.openxmlformats.org/officeDocument/2006/relationships/image" Target="/media/image2.png" Id="R730ff835c68f4667" /><Relationship Type="http://schemas.openxmlformats.org/officeDocument/2006/relationships/image" Target="/media/image3.png" Id="R4c54a8794933437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OfficeCLI/1.0.144</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2026-10-11T19:54:26Z</dcterms:created>
  <cp:lastModifiedBy>OfficeCLI</cp:lastModifiedBy>
  <dcterms:modified xsi:type="dcterms:W3CDTF">2026-10-11T19:54:26Z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1.0.156</vt:lpwstr>
  </op:property>
  <op:property fmtid="{D5CDD505-2E9C-101B-9397-08002B2CF9AE}" pid="3" name="OfficeCLI.LastModified">
    <vt:lpwstr xmlns:vt="http://schemas.openxmlformats.org/officeDocument/2006/docPropsVTypes">2026-10-12T15:34:03Z</vt:lpwstr>
  </op:property>
</op:Properties>
</file>