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t4mn3xx8w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INVESTMENT MEMO: COSTCO WHOLESALE (NASDAQ: COST)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Harshmitha Kumar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2026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iis19qbwc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Long / Attractive Compounder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Intrinsic Value: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$1,537.49</w:t>
      </w:r>
      <w:r w:rsidDel="00000000" w:rsidR="00000000" w:rsidRPr="00000000">
        <w:rPr>
          <w:rtl w:val="0"/>
        </w:rPr>
        <w:t xml:space="preserve"> (Derived from a 3-statement DCF model built from SEC 10-K filings)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Thesis:</w:t>
      </w:r>
      <w:r w:rsidDel="00000000" w:rsidR="00000000" w:rsidRPr="00000000">
        <w:rPr>
          <w:rtl w:val="0"/>
        </w:rPr>
        <w:t xml:space="preserve"> Costco's membership-fee business model provides highly resilient, high-margin cash flows that insulate it from broader retail cyclicality and support long-term compounding.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sgqrb5ecu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Valuation Inputs &amp; Methodology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 Rate (WACC):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7.63%</w:t>
      </w:r>
      <w:r w:rsidDel="00000000" w:rsidR="00000000" w:rsidRPr="00000000">
        <w:rPr>
          <w:rtl w:val="0"/>
        </w:rPr>
        <w:t xml:space="preserve"> (CAPM-derived using a 0.66 levered beta).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Flow Forecast:</w:t>
      </w:r>
      <w:r w:rsidDel="00000000" w:rsidR="00000000" w:rsidRPr="00000000">
        <w:rPr>
          <w:rtl w:val="0"/>
        </w:rPr>
        <w:t xml:space="preserve"> 5-year discrete projection tracking normalized warehouse expansion and steady revenue growth.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Value:</w:t>
      </w:r>
      <w:r w:rsidDel="00000000" w:rsidR="00000000" w:rsidRPr="00000000">
        <w:rPr>
          <w:rtl w:val="0"/>
        </w:rPr>
        <w:t xml:space="preserve"> Gordon Growth Model assuming a </w:t>
      </w:r>
      <w:r w:rsidDel="00000000" w:rsidR="00000000" w:rsidRPr="00000000">
        <w:rPr>
          <w:b w:val="1"/>
          <w:bCs w:val="1"/>
          <w:rtl w:val="0"/>
        </w:rPr>
        <w:t xml:space="preserve">3.0%</w:t>
      </w:r>
      <w:r w:rsidDel="00000000" w:rsidR="00000000" w:rsidRPr="00000000">
        <w:rPr>
          <w:rtl w:val="0"/>
        </w:rPr>
        <w:t xml:space="preserve"> perpetual growth rate.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Enterprise-to-Equity Bridge:</w:t>
      </w:r>
      <w:r w:rsidDel="00000000" w:rsidR="00000000" w:rsidRPr="00000000">
        <w:rPr>
          <w:rtl w:val="0"/>
        </w:rPr>
        <w:t xml:space="preserve"> Adjusted for $15.28B in cash/equivalents and $9.94B in total debt.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