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041067">
      <w:pPr>
        <w:pStyle w:val="2"/>
        <w:keepNext w:val="0"/>
        <w:keepLines w:val="0"/>
        <w:widowControl/>
        <w:suppressLineNumbers w:val="0"/>
      </w:pPr>
      <w:r>
        <w:t>🔹 Dashboard 1: Executive Summary</w:t>
      </w:r>
    </w:p>
    <w:p w14:paraId="123883C1">
      <w:pPr>
        <w:pStyle w:val="7"/>
        <w:keepNext w:val="0"/>
        <w:keepLines w:val="0"/>
        <w:widowControl/>
        <w:suppressLineNumbers w:val="0"/>
      </w:pPr>
      <w:r>
        <w:t>The summary dashboard provides a high-level overview of lending activity using key performance indicators that reflect application volume, funding, repayments, and borrower risk metrics.</w:t>
      </w:r>
    </w:p>
    <w:p w14:paraId="1BB73217">
      <w:pPr>
        <w:pStyle w:val="3"/>
        <w:keepNext w:val="0"/>
        <w:keepLines w:val="0"/>
        <w:widowControl/>
        <w:suppressLineNumbers w:val="0"/>
      </w:pPr>
      <w:r>
        <w:t>Core KPIs</w:t>
      </w:r>
    </w:p>
    <w:p w14:paraId="0A7D4C7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Total Loan Applications</w:t>
      </w:r>
      <w:r>
        <w:br w:type="textWrapping"/>
      </w:r>
      <w:r>
        <w:t>Count of all loan applications within a selected period, including Month-to-Date (MTD) values and Month-over-Month (MoM) comparison.</w:t>
      </w:r>
    </w:p>
    <w:p w14:paraId="773F50D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Total Funded Amount</w:t>
      </w:r>
      <w:r>
        <w:br w:type="textWrapping"/>
      </w:r>
      <w:r>
        <w:t>Aggregate value of loans issued, with MTD tracking and MoM trend analysis.</w:t>
      </w:r>
    </w:p>
    <w:p w14:paraId="592E65B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Total Amount Received</w:t>
      </w:r>
      <w:r>
        <w:br w:type="textWrapping"/>
      </w:r>
      <w:r>
        <w:t>Total repayments collected from borrowers, including MTD and MoM movement.</w:t>
      </w:r>
    </w:p>
    <w:p w14:paraId="6B684C5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Average Interest Rate</w:t>
      </w:r>
      <w:r>
        <w:br w:type="textWrapping"/>
      </w:r>
      <w:r>
        <w:t>Mean interest rate across loans, tracked over time to identify pricing trends.</w:t>
      </w:r>
    </w:p>
    <w:p w14:paraId="4E9C425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Average Debt-to-Income Ratio (DTI)</w:t>
      </w:r>
      <w:r>
        <w:br w:type="textWrapping"/>
      </w:r>
      <w:r>
        <w:t>Measures borrower financial health and repayment capacity across the portfolio.</w:t>
      </w:r>
    </w:p>
    <w:p w14:paraId="420F60D3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0259A4">
      <w:pPr>
        <w:pStyle w:val="3"/>
        <w:keepNext w:val="0"/>
        <w:keepLines w:val="0"/>
        <w:widowControl/>
        <w:suppressLineNumbers w:val="0"/>
      </w:pPr>
      <w:r>
        <w:t>Loan Quality Analysis</w:t>
      </w:r>
    </w:p>
    <w:p w14:paraId="7E543B16">
      <w:pPr>
        <w:pStyle w:val="7"/>
        <w:keepNext w:val="0"/>
        <w:keepLines w:val="0"/>
        <w:widowControl/>
        <w:suppressLineNumbers w:val="0"/>
      </w:pPr>
      <w:r>
        <w:t>To assess portfolio risk, loans are categorized based on performance status.</w:t>
      </w:r>
    </w:p>
    <w:p w14:paraId="31296F8E">
      <w:pPr>
        <w:pStyle w:val="4"/>
        <w:keepNext w:val="0"/>
        <w:keepLines w:val="0"/>
        <w:widowControl/>
        <w:suppressLineNumbers w:val="0"/>
      </w:pPr>
      <w:r>
        <w:t>Good Loans</w:t>
      </w:r>
    </w:p>
    <w:p w14:paraId="23C9C0AE">
      <w:pPr>
        <w:pStyle w:val="7"/>
        <w:keepNext w:val="0"/>
        <w:keepLines w:val="0"/>
        <w:widowControl/>
        <w:suppressLineNumbers w:val="0"/>
      </w:pPr>
      <w:r>
        <w:t xml:space="preserve">Loans marked as </w:t>
      </w:r>
      <w:r>
        <w:rPr>
          <w:rStyle w:val="8"/>
        </w:rPr>
        <w:t>Fully Paid</w:t>
      </w:r>
      <w:r>
        <w:t xml:space="preserve"> or </w:t>
      </w:r>
      <w:r>
        <w:rPr>
          <w:rStyle w:val="8"/>
        </w:rPr>
        <w:t>Current</w:t>
      </w:r>
      <w:r>
        <w:t>.</w:t>
      </w:r>
    </w:p>
    <w:p w14:paraId="4F028A4D">
      <w:pPr>
        <w:pStyle w:val="7"/>
        <w:keepNext w:val="0"/>
        <w:keepLines w:val="0"/>
        <w:widowControl/>
        <w:suppressLineNumbers w:val="0"/>
      </w:pPr>
      <w:r>
        <w:t>Metrics:</w:t>
      </w:r>
    </w:p>
    <w:p w14:paraId="705D9E77">
      <w:pPr>
        <w:pStyle w:val="7"/>
        <w:keepNext w:val="0"/>
        <w:keepLines w:val="0"/>
        <w:widowControl/>
        <w:suppressLineNumbers w:val="0"/>
        <w:ind w:left="720"/>
      </w:pPr>
      <w:r>
        <w:t>Percentage of total applications</w:t>
      </w:r>
    </w:p>
    <w:p w14:paraId="52374BBA">
      <w:pPr>
        <w:pStyle w:val="7"/>
        <w:keepNext w:val="0"/>
        <w:keepLines w:val="0"/>
        <w:widowControl/>
        <w:suppressLineNumbers w:val="0"/>
        <w:ind w:left="720"/>
      </w:pPr>
      <w:r>
        <w:t>Number of applications</w:t>
      </w:r>
    </w:p>
    <w:p w14:paraId="06B3E2E4">
      <w:pPr>
        <w:pStyle w:val="7"/>
        <w:keepNext w:val="0"/>
        <w:keepLines w:val="0"/>
        <w:widowControl/>
        <w:suppressLineNumbers w:val="0"/>
        <w:ind w:left="720"/>
      </w:pPr>
      <w:r>
        <w:t>Total funded amount</w:t>
      </w:r>
    </w:p>
    <w:p w14:paraId="5DA015F9">
      <w:pPr>
        <w:pStyle w:val="7"/>
        <w:keepNext w:val="0"/>
        <w:keepLines w:val="0"/>
        <w:widowControl/>
        <w:suppressLineNumbers w:val="0"/>
        <w:ind w:left="720"/>
      </w:pPr>
      <w:r>
        <w:t>Total amount repaid</w:t>
      </w:r>
    </w:p>
    <w:p w14:paraId="663F91A6">
      <w:pPr>
        <w:pStyle w:val="4"/>
        <w:keepNext w:val="0"/>
        <w:keepLines w:val="0"/>
        <w:widowControl/>
        <w:suppressLineNumbers w:val="0"/>
      </w:pPr>
      <w:r>
        <w:t>Bad Loans</w:t>
      </w:r>
    </w:p>
    <w:p w14:paraId="1AD99887">
      <w:pPr>
        <w:pStyle w:val="7"/>
        <w:keepNext w:val="0"/>
        <w:keepLines w:val="0"/>
        <w:widowControl/>
        <w:suppressLineNumbers w:val="0"/>
      </w:pPr>
      <w:r>
        <w:t xml:space="preserve">Loans marked as </w:t>
      </w:r>
      <w:r>
        <w:rPr>
          <w:rStyle w:val="8"/>
        </w:rPr>
        <w:t>Charged Off</w:t>
      </w:r>
      <w:r>
        <w:t>.</w:t>
      </w:r>
    </w:p>
    <w:p w14:paraId="61796646">
      <w:pPr>
        <w:pStyle w:val="7"/>
        <w:keepNext w:val="0"/>
        <w:keepLines w:val="0"/>
        <w:widowControl/>
        <w:suppressLineNumbers w:val="0"/>
      </w:pPr>
      <w:r>
        <w:t>Metrics:</w:t>
      </w:r>
    </w:p>
    <w:p w14:paraId="4EFAC914">
      <w:pPr>
        <w:pStyle w:val="7"/>
        <w:keepNext w:val="0"/>
        <w:keepLines w:val="0"/>
        <w:widowControl/>
        <w:suppressLineNumbers w:val="0"/>
        <w:ind w:left="720"/>
      </w:pPr>
      <w:r>
        <w:t>Percentage of total applications</w:t>
      </w:r>
    </w:p>
    <w:p w14:paraId="59863F64">
      <w:pPr>
        <w:pStyle w:val="7"/>
        <w:keepNext w:val="0"/>
        <w:keepLines w:val="0"/>
        <w:widowControl/>
        <w:suppressLineNumbers w:val="0"/>
        <w:ind w:left="720"/>
      </w:pPr>
      <w:r>
        <w:t>Number of applications</w:t>
      </w:r>
    </w:p>
    <w:p w14:paraId="549F25FF">
      <w:pPr>
        <w:pStyle w:val="7"/>
        <w:keepNext w:val="0"/>
        <w:keepLines w:val="0"/>
        <w:widowControl/>
        <w:suppressLineNumbers w:val="0"/>
        <w:ind w:left="720"/>
      </w:pPr>
      <w:r>
        <w:t>Total funded amount</w:t>
      </w:r>
    </w:p>
    <w:p w14:paraId="6E9C24D2">
      <w:pPr>
        <w:pStyle w:val="7"/>
        <w:keepNext w:val="0"/>
        <w:keepLines w:val="0"/>
        <w:widowControl/>
        <w:suppressLineNumbers w:val="0"/>
        <w:ind w:left="720"/>
      </w:pPr>
      <w:r>
        <w:t>Total amount repaid</w:t>
      </w:r>
    </w:p>
    <w:p w14:paraId="27A1E315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BB64B6">
      <w:pPr>
        <w:pStyle w:val="3"/>
        <w:keepNext w:val="0"/>
        <w:keepLines w:val="0"/>
        <w:widowControl/>
        <w:suppressLineNumbers w:val="0"/>
      </w:pPr>
      <w:r>
        <w:t>Loan Status Overview Table</w:t>
      </w:r>
    </w:p>
    <w:p w14:paraId="74DE4ABC">
      <w:pPr>
        <w:pStyle w:val="7"/>
        <w:keepNext w:val="0"/>
        <w:keepLines w:val="0"/>
        <w:widowControl/>
        <w:suppressLineNumbers w:val="0"/>
      </w:pPr>
      <w:r>
        <w:t>A structured view grouped by loan status displaying:</w:t>
      </w:r>
    </w:p>
    <w:p w14:paraId="3C6D0E03">
      <w:pPr>
        <w:pStyle w:val="7"/>
        <w:keepNext w:val="0"/>
        <w:keepLines w:val="0"/>
        <w:widowControl/>
        <w:suppressLineNumbers w:val="0"/>
        <w:ind w:left="720"/>
      </w:pPr>
      <w:r>
        <w:t>Application count</w:t>
      </w:r>
    </w:p>
    <w:p w14:paraId="4F2F9CD3">
      <w:pPr>
        <w:pStyle w:val="7"/>
        <w:keepNext w:val="0"/>
        <w:keepLines w:val="0"/>
        <w:widowControl/>
        <w:suppressLineNumbers w:val="0"/>
        <w:ind w:left="720"/>
      </w:pPr>
      <w:r>
        <w:t>Funded amount</w:t>
      </w:r>
    </w:p>
    <w:p w14:paraId="12BE07EF">
      <w:pPr>
        <w:pStyle w:val="7"/>
        <w:keepNext w:val="0"/>
        <w:keepLines w:val="0"/>
        <w:widowControl/>
        <w:suppressLineNumbers w:val="0"/>
        <w:ind w:left="720"/>
      </w:pPr>
      <w:r>
        <w:t>Amount received</w:t>
      </w:r>
    </w:p>
    <w:p w14:paraId="1BBF52B4">
      <w:pPr>
        <w:pStyle w:val="7"/>
        <w:keepNext w:val="0"/>
        <w:keepLines w:val="0"/>
        <w:widowControl/>
        <w:suppressLineNumbers w:val="0"/>
        <w:ind w:left="720"/>
      </w:pPr>
      <w:r>
        <w:t>MTD funded value</w:t>
      </w:r>
    </w:p>
    <w:p w14:paraId="2520C94C">
      <w:pPr>
        <w:pStyle w:val="7"/>
        <w:keepNext w:val="0"/>
        <w:keepLines w:val="0"/>
        <w:widowControl/>
        <w:suppressLineNumbers w:val="0"/>
        <w:ind w:left="720"/>
      </w:pPr>
      <w:r>
        <w:t>MTD received value</w:t>
      </w:r>
    </w:p>
    <w:p w14:paraId="4062834A">
      <w:pPr>
        <w:pStyle w:val="7"/>
        <w:keepNext w:val="0"/>
        <w:keepLines w:val="0"/>
        <w:widowControl/>
        <w:suppressLineNumbers w:val="0"/>
        <w:ind w:left="720"/>
      </w:pPr>
      <w:r>
        <w:t>Average interest rate</w:t>
      </w:r>
    </w:p>
    <w:p w14:paraId="393C5AF0">
      <w:pPr>
        <w:pStyle w:val="7"/>
        <w:keepNext w:val="0"/>
        <w:keepLines w:val="0"/>
        <w:widowControl/>
        <w:suppressLineNumbers w:val="0"/>
        <w:ind w:left="720"/>
      </w:pPr>
      <w:r>
        <w:t>Average DTI</w:t>
      </w:r>
    </w:p>
    <w:p w14:paraId="0A263A37">
      <w:pPr>
        <w:pStyle w:val="7"/>
        <w:keepNext w:val="0"/>
        <w:keepLines w:val="0"/>
        <w:widowControl/>
        <w:suppressLineNumbers w:val="0"/>
      </w:pPr>
      <w:r>
        <w:t>This view helps evaluate performance differences across loan categories.</w:t>
      </w:r>
    </w:p>
    <w:p w14:paraId="60680DDA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467A0">
      <w:pPr>
        <w:pStyle w:val="2"/>
        <w:keepNext w:val="0"/>
        <w:keepLines w:val="0"/>
        <w:widowControl/>
        <w:suppressLineNumbers w:val="0"/>
      </w:pPr>
      <w:r>
        <w:t>🔹 Dashboard 2: Portfolio Overview</w:t>
      </w:r>
    </w:p>
    <w:p w14:paraId="14DA77C8">
      <w:pPr>
        <w:pStyle w:val="7"/>
        <w:keepNext w:val="0"/>
        <w:keepLines w:val="0"/>
        <w:widowControl/>
        <w:suppressLineNumbers w:val="0"/>
      </w:pPr>
      <w:r>
        <w:t>This dashboard presents visual analytics to explore patterns, trends, and distributions in loan data.</w:t>
      </w:r>
    </w:p>
    <w:p w14:paraId="2D065016">
      <w:pPr>
        <w:pStyle w:val="3"/>
        <w:keepNext w:val="0"/>
        <w:keepLines w:val="0"/>
        <w:widowControl/>
        <w:suppressLineNumbers w:val="0"/>
      </w:pPr>
      <w:r>
        <w:t>Visual Components</w:t>
      </w:r>
    </w:p>
    <w:p w14:paraId="728C5D7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Monthly Lending Trends (Line Chart)</w:t>
      </w:r>
      <w:r>
        <w:br w:type="textWrapping"/>
      </w:r>
      <w:r>
        <w:t>Displays how applications, funding, and repayments change over time based on issue date.</w:t>
      </w:r>
    </w:p>
    <w:p w14:paraId="13AD8D6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Geographic Distribution (Filled Map)</w:t>
      </w:r>
      <w:r>
        <w:br w:type="textWrapping"/>
      </w:r>
      <w:r>
        <w:t>Shows lending activity across states to identify regional performance variations.</w:t>
      </w:r>
    </w:p>
    <w:p w14:paraId="1CEE2E8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Loan Term Distribution (Donut Chart)</w:t>
      </w:r>
      <w:r>
        <w:br w:type="textWrapping"/>
      </w:r>
      <w:r>
        <w:t>Illustrates loan volume and funding across different repayment durations.</w:t>
      </w:r>
    </w:p>
    <w:p w14:paraId="73A1109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Employment Length Impact (Bar Chart)</w:t>
      </w:r>
      <w:r>
        <w:br w:type="textWrapping"/>
      </w:r>
      <w:r>
        <w:t>Compares lending metrics across borrower employment categories.</w:t>
      </w:r>
    </w:p>
    <w:p w14:paraId="1B05B18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Loan Purpose Analysis (Bar Chart)</w:t>
      </w:r>
      <w:r>
        <w:br w:type="textWrapping"/>
      </w:r>
      <w:r>
        <w:t>Breaks down loans based on borrower intent such as consolidation or refinancing.</w:t>
      </w:r>
    </w:p>
    <w:p w14:paraId="405C0A1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Home Ownership Distribution (Tree Map)</w:t>
      </w:r>
      <w:r>
        <w:br w:type="textWrapping"/>
      </w:r>
      <w:r>
        <w:t>Examines how ownership status relates to loan activity and funding.</w:t>
      </w:r>
    </w:p>
    <w:p w14:paraId="0119EA1D">
      <w:pPr>
        <w:pStyle w:val="7"/>
        <w:keepNext w:val="0"/>
        <w:keepLines w:val="0"/>
        <w:widowControl/>
        <w:suppressLineNumbers w:val="0"/>
      </w:pPr>
      <w:r>
        <w:t xml:space="preserve">These visualizations support strategic evaluation of lending behavior and borrower </w:t>
      </w:r>
      <w:bookmarkStart w:id="0" w:name="_GoBack"/>
      <w:bookmarkEnd w:id="0"/>
      <w:r>
        <w:t xml:space="preserve">characteristics. </w:t>
      </w:r>
    </w:p>
    <w:p w14:paraId="0C40298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Problem Statement</w:t>
      </w:r>
    </w:p>
    <w:p w14:paraId="7E0397C3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8D14C">
      <w:pPr>
        <w:pStyle w:val="2"/>
        <w:keepNext w:val="0"/>
        <w:keepLines w:val="0"/>
        <w:widowControl/>
        <w:suppressLineNumbers w:val="0"/>
      </w:pPr>
      <w:r>
        <w:t>🔹 Dashboard 3: Detailed Loan View</w:t>
      </w:r>
    </w:p>
    <w:p w14:paraId="4278718C">
      <w:pPr>
        <w:pStyle w:val="7"/>
        <w:keepNext w:val="0"/>
        <w:keepLines w:val="0"/>
        <w:widowControl/>
        <w:suppressLineNumbers w:val="0"/>
      </w:pPr>
      <w:r>
        <w:t>The details dashboard provides a comprehensive and structured view of individual loan data and borrower information. It acts as a centralized interface for exploring loan-level insights, portfolio composition, and performance indicators.</w:t>
      </w:r>
    </w:p>
    <w:p w14:paraId="546CBAD9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0E5A5323">
      <w:pPr>
        <w:pStyle w:val="7"/>
        <w:keepNext w:val="0"/>
        <w:keepLines w:val="0"/>
        <w:widowControl/>
        <w:suppressLineNumbers w:val="0"/>
      </w:pPr>
      <w:r>
        <w:t xml:space="preserve">To deliver an accessible and consolidated platform for analyzing loan records, enabling deeper investigation into lending outcomes and borrower profiles. </w:t>
      </w:r>
    </w:p>
    <w:p w14:paraId="74122F4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B07734B"/>
    <w:rsid w:val="3B07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2026-02-17T07:35:00Z</dcterms:created>
  <dc:creator>WPS_1762334000</dc:creator>
  <cp:lastModifiedBy>WPS_1762334000</cp:lastModifiedBy>
  <dcterms:modified xsi:type="dcterms:W3CDTF">2026-02-17T07:42:19Z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6703B7416EAE4F448E53C56A9CA6676E_11</vt:lpwstr>
  </property>
</Properties>
</file>