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240"/>
        <w:jc w:val="center"/>
      </w:pPr>
      <w:r>
        <w:rPr>
          <w:rFonts w:ascii="Calibri" w:hAnsi="Calibri"/>
          <w:b/>
          <w:i w:val="0"/>
          <w:color w:val="147D92"/>
          <w:sz w:val="22"/>
        </w:rPr>
        <w:t>PROJECT REPORT</w:t>
      </w:r>
    </w:p>
    <w:p>
      <w:pPr>
        <w:spacing w:after="240"/>
        <w:jc w:val="center"/>
      </w:pPr>
      <w:r>
        <w:rPr>
          <w:rFonts w:ascii="Calibri" w:hAnsi="Calibri"/>
          <w:b/>
          <w:i w:val="0"/>
          <w:color w:val="17365D"/>
          <w:sz w:val="54"/>
        </w:rPr>
        <w:t>Women's Clothing: Trends and Analysis in the Fashion Industry</w:t>
      </w:r>
    </w:p>
    <w:p>
      <w:pPr>
        <w:spacing w:after="560"/>
        <w:jc w:val="center"/>
      </w:pPr>
      <w:r>
        <w:rPr>
          <w:rFonts w:ascii="Calibri" w:hAnsi="Calibri"/>
          <w:b w:val="0"/>
          <w:i w:val="0"/>
          <w:color w:val="1F4D78"/>
          <w:sz w:val="30"/>
        </w:rPr>
        <w:t>TF-IDF Review Text Vectorization and Chi-square Feature Selection</w:t>
      </w:r>
    </w:p>
    <w:p>
      <w:pPr>
        <w:spacing w:after="480"/>
        <w:pBdr>
          <w:bottom w:val="single" w:sz="12" w:space="1" w:color="147D92"/>
        </w:pBdr>
      </w:pPr>
    </w:p>
    <w:p>
      <w:pPr>
        <w:spacing w:after="100"/>
        <w:jc w:val="center"/>
      </w:pPr>
      <w:r>
        <w:rPr>
          <w:rFonts w:ascii="Calibri" w:hAnsi="Calibri"/>
          <w:b/>
          <w:i w:val="0"/>
          <w:color w:val="667085"/>
          <w:sz w:val="21"/>
        </w:rPr>
        <w:t xml:space="preserve">Dataset  </w:t>
      </w:r>
      <w:r>
        <w:rPr>
          <w:rFonts w:ascii="Calibri" w:hAnsi="Calibri"/>
          <w:b w:val="0"/>
          <w:i w:val="0"/>
          <w:color w:val="111827"/>
          <w:sz w:val="21"/>
        </w:rPr>
        <w:t>Women's Clothing E-Commerce Reviews</w:t>
      </w:r>
    </w:p>
    <w:p>
      <w:pPr>
        <w:spacing w:after="100"/>
        <w:jc w:val="center"/>
      </w:pPr>
      <w:r>
        <w:rPr>
          <w:rFonts w:ascii="Calibri" w:hAnsi="Calibri"/>
          <w:b/>
          <w:i w:val="0"/>
          <w:color w:val="667085"/>
          <w:sz w:val="21"/>
        </w:rPr>
        <w:t xml:space="preserve">Primary text field  </w:t>
      </w:r>
      <w:r>
        <w:rPr>
          <w:rFonts w:ascii="Calibri" w:hAnsi="Calibri"/>
          <w:b w:val="0"/>
          <w:i w:val="0"/>
          <w:color w:val="111827"/>
          <w:sz w:val="21"/>
        </w:rPr>
        <w:t>Review Text</w:t>
      </w:r>
    </w:p>
    <w:p>
      <w:pPr>
        <w:spacing w:after="100"/>
        <w:jc w:val="center"/>
      </w:pPr>
      <w:r>
        <w:rPr>
          <w:rFonts w:ascii="Calibri" w:hAnsi="Calibri"/>
          <w:b/>
          <w:i w:val="0"/>
          <w:color w:val="667085"/>
          <w:sz w:val="21"/>
        </w:rPr>
        <w:t xml:space="preserve">Feature-selection target  </w:t>
      </w:r>
      <w:r>
        <w:rPr>
          <w:rFonts w:ascii="Calibri" w:hAnsi="Calibri"/>
          <w:b w:val="0"/>
          <w:i w:val="0"/>
          <w:color w:val="111827"/>
          <w:sz w:val="21"/>
        </w:rPr>
        <w:t>Recommended IND</w:t>
      </w:r>
    </w:p>
    <w:p>
      <w:pPr>
        <w:spacing w:after="100"/>
        <w:jc w:val="center"/>
      </w:pPr>
      <w:r>
        <w:rPr>
          <w:rFonts w:ascii="Calibri" w:hAnsi="Calibri"/>
          <w:b/>
          <w:i w:val="0"/>
          <w:color w:val="667085"/>
          <w:sz w:val="21"/>
        </w:rPr>
        <w:t xml:space="preserve">Methods  </w:t>
      </w:r>
      <w:r>
        <w:rPr>
          <w:rFonts w:ascii="Calibri" w:hAnsi="Calibri"/>
          <w:b w:val="0"/>
          <w:i w:val="0"/>
          <w:color w:val="111827"/>
          <w:sz w:val="21"/>
        </w:rPr>
        <w:t>TF-IDF, n-grams, stopword removal, lemmatization, Chi-square</w:t>
      </w:r>
    </w:p>
    <w:p>
      <w:pPr>
        <w:spacing w:after="100"/>
        <w:jc w:val="center"/>
      </w:pPr>
      <w:r>
        <w:rPr>
          <w:rFonts w:ascii="Calibri" w:hAnsi="Calibri"/>
          <w:b/>
          <w:i w:val="0"/>
          <w:color w:val="667085"/>
          <w:sz w:val="21"/>
        </w:rPr>
        <w:t xml:space="preserve">Scope  </w:t>
      </w:r>
      <w:r>
        <w:rPr>
          <w:rFonts w:ascii="Calibri" w:hAnsi="Calibri"/>
          <w:b w:val="0"/>
          <w:i w:val="0"/>
          <w:color w:val="111827"/>
          <w:sz w:val="21"/>
        </w:rPr>
        <w:t>Text vectorization and feature selection only</w:t>
      </w:r>
    </w:p>
    <w:p>
      <w:r>
        <w:br w:type="page"/>
      </w:r>
    </w:p>
    <w:p>
      <w:pPr>
        <w:pStyle w:val="Heading1"/>
      </w:pPr>
      <w:r>
        <w:t>1. Abstract</w:t>
      </w:r>
    </w:p>
    <w:p>
      <w:r>
        <w:t>This project converts customer review text into a compact numerical representation suitable for downstream analysis. The workflow cleans the Review Text field, applies lemmatization, generates TF-IDF features under multiple n-gram and stopword configurations, and scores the resulting features against Recommended IND using the Chi-square test. The best configuration is selected from feature-relevance statistics, after which low-value terms are removed while retaining 80% of cumulative Chi-square importance. The work deliberately stops at feature engineering; no prediction, sentiment model, deep learning method, dashboard, or deployment component is included.</w:t>
      </w:r>
    </w:p>
    <w:p>
      <w:pPr>
        <w:pStyle w:val="Heading1"/>
      </w:pPr>
      <w:r>
        <w:t>2. Problem Statement</w:t>
      </w:r>
    </w:p>
    <w:p>
      <w:r>
        <w:t>Raw customer reviews are unstructured strings and cannot be used directly by statistical or machine-learning methods. A direct word-level conversion can also create thousands of sparse features, many of which are common, rare, or unrelated to product recommendation. The problem is therefore to convert review text into interpretable numerical features while controlling vocabulary size and retaining the terms most strongly associated with customer recommendation.</w:t>
      </w:r>
    </w:p>
    <w:p>
      <w:pPr>
        <w:pStyle w:val="Heading1"/>
      </w:pPr>
      <w:r>
        <w:t>3. Objectives</w:t>
      </w:r>
    </w:p>
    <w:p>
      <w:pPr>
        <w:spacing w:after="100"/>
      </w:pPr>
      <w:r>
        <w:rPr>
          <w:rFonts w:ascii="Calibri" w:hAnsi="Calibri"/>
          <w:b/>
          <w:i w:val="0"/>
          <w:color w:val="1F4D78"/>
          <w:sz w:val="22"/>
        </w:rPr>
        <w:t xml:space="preserve">Objective 1: </w:t>
      </w:r>
      <w:r>
        <w:rPr>
          <w:rFonts w:ascii="Calibri" w:hAnsi="Calibri"/>
          <w:b w:val="0"/>
          <w:i w:val="0"/>
          <w:color w:val="111827"/>
          <w:sz w:val="22"/>
        </w:rPr>
        <w:t>Prepare valid review text without altering the analytical target.</w:t>
      </w:r>
    </w:p>
    <w:p>
      <w:pPr>
        <w:spacing w:after="100"/>
      </w:pPr>
      <w:r>
        <w:rPr>
          <w:rFonts w:ascii="Calibri" w:hAnsi="Calibri"/>
          <w:b/>
          <w:i w:val="0"/>
          <w:color w:val="1F4D78"/>
          <w:sz w:val="22"/>
        </w:rPr>
        <w:t xml:space="preserve">Objective 2: </w:t>
      </w:r>
      <w:r>
        <w:rPr>
          <w:rFonts w:ascii="Calibri" w:hAnsi="Calibri"/>
          <w:b w:val="0"/>
          <w:i w:val="0"/>
          <w:color w:val="111827"/>
          <w:sz w:val="22"/>
        </w:rPr>
        <w:t>Use TF-IDF to convert cleaned review text into a sparse numerical matrix.</w:t>
      </w:r>
    </w:p>
    <w:p>
      <w:pPr>
        <w:spacing w:after="100"/>
      </w:pPr>
      <w:r>
        <w:rPr>
          <w:rFonts w:ascii="Calibri" w:hAnsi="Calibri"/>
          <w:b/>
          <w:i w:val="0"/>
          <w:color w:val="1F4D78"/>
          <w:sz w:val="22"/>
        </w:rPr>
        <w:t xml:space="preserve">Objective 3: </w:t>
      </w:r>
      <w:r>
        <w:rPr>
          <w:rFonts w:ascii="Calibri" w:hAnsi="Calibri"/>
          <w:b w:val="0"/>
          <w:i w:val="0"/>
          <w:color w:val="111827"/>
          <w:sz w:val="22"/>
        </w:rPr>
        <w:t>Compare unigram and unigram-bigram representations with and without English stopword removal.</w:t>
      </w:r>
    </w:p>
    <w:p>
      <w:pPr>
        <w:spacing w:after="100"/>
      </w:pPr>
      <w:r>
        <w:rPr>
          <w:rFonts w:ascii="Calibri" w:hAnsi="Calibri"/>
          <w:b/>
          <w:i w:val="0"/>
          <w:color w:val="1F4D78"/>
          <w:sz w:val="22"/>
        </w:rPr>
        <w:t xml:space="preserve">Objective 4: </w:t>
      </w:r>
      <w:r>
        <w:rPr>
          <w:rFonts w:ascii="Calibri" w:hAnsi="Calibri"/>
          <w:b w:val="0"/>
          <w:i w:val="0"/>
          <w:color w:val="111827"/>
          <w:sz w:val="22"/>
        </w:rPr>
        <w:t>Apply lemmatization so related word forms share a more consistent representation.</w:t>
      </w:r>
    </w:p>
    <w:p>
      <w:pPr>
        <w:spacing w:after="100"/>
      </w:pPr>
      <w:r>
        <w:rPr>
          <w:rFonts w:ascii="Calibri" w:hAnsi="Calibri"/>
          <w:b/>
          <w:i w:val="0"/>
          <w:color w:val="1F4D78"/>
          <w:sz w:val="22"/>
        </w:rPr>
        <w:t xml:space="preserve">Objective 5: </w:t>
      </w:r>
      <w:r>
        <w:rPr>
          <w:rFonts w:ascii="Calibri" w:hAnsi="Calibri"/>
          <w:b w:val="0"/>
          <w:i w:val="0"/>
          <w:color w:val="111827"/>
          <w:sz w:val="22"/>
        </w:rPr>
        <w:t>Rank and select informative features using Chi-square scores against Recommended IND.</w:t>
      </w:r>
    </w:p>
    <w:p>
      <w:r>
        <w:br w:type="page"/>
      </w:r>
    </w:p>
    <w:p>
      <w:pPr>
        <w:pStyle w:val="Heading1"/>
      </w:pPr>
      <w:r>
        <w:t>4. Dataset Overview</w:t>
      </w:r>
    </w:p>
    <w:p>
      <w:r>
        <w:t>The supplied CSV contains 23,486 records and 11 columns. The analysis uses only Review Text as the input and Recommended IND as the categorical target required by Chi-square scoring. Of the original records, 845 have missing review text. Removing these rows leaves 22,641 usable reviews; the target contains no missing values.</w:t>
      </w:r>
    </w:p>
    <w:tbl>
      <w:tblPr>
        <w:tblStyle w:val="TableGrid"/>
        <w:tblW w:type="dxa" w:w="9360"/>
        <w:jc w:val="left"/>
        <w:tblLayout w:type="fixed"/>
        <w:tblLook w:firstColumn="1" w:firstRow="1" w:lastColumn="0" w:lastRow="0" w:noHBand="0" w:noVBand="1" w:val="04A0"/>
        <w:tblInd w:w="120" w:type="dxa"/>
      </w:tblPr>
      <w:tblGrid>
        <w:gridCol w:w="3000"/>
        <w:gridCol w:w="1800"/>
        <w:gridCol w:w="4560"/>
      </w:tblGrid>
      <w:tr>
        <w:trPr>
          <w:tblHeader w:val="true"/>
          <w:cantSplit/>
        </w:trPr>
        <w:tc>
          <w:tcPr>
            <w:tcW w:type="dxa" w:w="30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Item</w:t>
            </w:r>
          </w:p>
        </w:tc>
        <w:tc>
          <w:tcPr>
            <w:tcW w:type="dxa" w:w="18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Observed value</w:t>
            </w:r>
          </w:p>
        </w:tc>
        <w:tc>
          <w:tcPr>
            <w:tcW w:type="dxa" w:w="456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Role in task</w:t>
            </w:r>
          </w:p>
        </w:tc>
      </w:tr>
      <w:tr>
        <w:trPr>
          <w:cantSplit/>
        </w:trPr>
        <w:tc>
          <w:tcPr>
            <w:tcW w:type="dxa" w:w="3000"/>
            <w:tcMar>
              <w:top w:w="80" w:type="dxa"/>
              <w:start w:w="120" w:type="dxa"/>
              <w:bottom w:w="80" w:type="dxa"/>
              <w:end w:w="120" w:type="dxa"/>
            </w:tcMar>
            <w:vAlign w:val="center"/>
          </w:tcPr>
          <w:p>
            <w:pPr>
              <w:spacing w:after="0" w:line="240" w:lineRule="auto"/>
            </w:pPr>
            <w:r>
              <w:rPr>
                <w:rFonts w:ascii="Calibri" w:hAnsi="Calibri"/>
                <w:b w:val="0"/>
                <w:i w:val="0"/>
                <w:color w:val="111827"/>
                <w:sz w:val="18"/>
              </w:rPr>
              <w:t>Original records</w:t>
            </w:r>
          </w:p>
        </w:tc>
        <w:tc>
          <w:tcPr>
            <w:tcW w:type="dxa" w:w="1800"/>
            <w:tcMar>
              <w:top w:w="80" w:type="dxa"/>
              <w:start w:w="120" w:type="dxa"/>
              <w:bottom w:w="80" w:type="dxa"/>
              <w:end w:w="120" w:type="dxa"/>
            </w:tcMar>
            <w:vAlign w:val="center"/>
          </w:tcPr>
          <w:p>
            <w:pPr>
              <w:spacing w:after="0" w:line="240" w:lineRule="auto"/>
            </w:pPr>
            <w:r>
              <w:rPr>
                <w:rFonts w:ascii="Calibri" w:hAnsi="Calibri"/>
                <w:b w:val="0"/>
                <w:i w:val="0"/>
                <w:color w:val="111827"/>
                <w:sz w:val="18"/>
              </w:rPr>
              <w:t>23,486</w:t>
            </w:r>
          </w:p>
        </w:tc>
        <w:tc>
          <w:tcPr>
            <w:tcW w:type="dxa" w:w="4560"/>
            <w:tcMar>
              <w:top w:w="80" w:type="dxa"/>
              <w:start w:w="120" w:type="dxa"/>
              <w:bottom w:w="80" w:type="dxa"/>
              <w:end w:w="120" w:type="dxa"/>
            </w:tcMar>
            <w:vAlign w:val="center"/>
          </w:tcPr>
          <w:p>
            <w:pPr>
              <w:spacing w:after="0" w:line="240" w:lineRule="auto"/>
            </w:pPr>
            <w:r>
              <w:rPr>
                <w:rFonts w:ascii="Calibri" w:hAnsi="Calibri"/>
                <w:b w:val="0"/>
                <w:i w:val="0"/>
                <w:color w:val="111827"/>
                <w:sz w:val="18"/>
              </w:rPr>
              <w:t>Dataset size before text cleaning</w:t>
            </w:r>
          </w:p>
        </w:tc>
      </w:tr>
      <w:tr>
        <w:trPr>
          <w:cantSplit/>
        </w:trPr>
        <w:tc>
          <w:tcPr>
            <w:tcW w:type="dxa" w:w="30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Original columns</w:t>
            </w:r>
          </w:p>
        </w:tc>
        <w:tc>
          <w:tcPr>
            <w:tcW w:type="dxa" w:w="18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11</w:t>
            </w:r>
          </w:p>
        </w:tc>
        <w:tc>
          <w:tcPr>
            <w:tcW w:type="dxa" w:w="45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Available source attributes</w:t>
            </w:r>
          </w:p>
        </w:tc>
      </w:tr>
      <w:tr>
        <w:trPr>
          <w:cantSplit/>
        </w:trPr>
        <w:tc>
          <w:tcPr>
            <w:tcW w:type="dxa" w:w="3000"/>
            <w:tcMar>
              <w:top w:w="80" w:type="dxa"/>
              <w:start w:w="120" w:type="dxa"/>
              <w:bottom w:w="80" w:type="dxa"/>
              <w:end w:w="120" w:type="dxa"/>
            </w:tcMar>
            <w:vAlign w:val="center"/>
          </w:tcPr>
          <w:p>
            <w:pPr>
              <w:spacing w:after="0" w:line="240" w:lineRule="auto"/>
            </w:pPr>
            <w:r>
              <w:rPr>
                <w:rFonts w:ascii="Calibri" w:hAnsi="Calibri"/>
                <w:b w:val="0"/>
                <w:i w:val="0"/>
                <w:color w:val="111827"/>
                <w:sz w:val="18"/>
              </w:rPr>
              <w:t>Missing Review Text</w:t>
            </w:r>
          </w:p>
        </w:tc>
        <w:tc>
          <w:tcPr>
            <w:tcW w:type="dxa" w:w="1800"/>
            <w:tcMar>
              <w:top w:w="80" w:type="dxa"/>
              <w:start w:w="120" w:type="dxa"/>
              <w:bottom w:w="80" w:type="dxa"/>
              <w:end w:w="120" w:type="dxa"/>
            </w:tcMar>
            <w:vAlign w:val="center"/>
          </w:tcPr>
          <w:p>
            <w:pPr>
              <w:spacing w:after="0" w:line="240" w:lineRule="auto"/>
            </w:pPr>
            <w:r>
              <w:rPr>
                <w:rFonts w:ascii="Calibri" w:hAnsi="Calibri"/>
                <w:b w:val="0"/>
                <w:i w:val="0"/>
                <w:color w:val="111827"/>
                <w:sz w:val="18"/>
              </w:rPr>
              <w:t>845</w:t>
            </w:r>
          </w:p>
        </w:tc>
        <w:tc>
          <w:tcPr>
            <w:tcW w:type="dxa" w:w="4560"/>
            <w:tcMar>
              <w:top w:w="80" w:type="dxa"/>
              <w:start w:w="120" w:type="dxa"/>
              <w:bottom w:w="80" w:type="dxa"/>
              <w:end w:w="120" w:type="dxa"/>
            </w:tcMar>
            <w:vAlign w:val="center"/>
          </w:tcPr>
          <w:p>
            <w:pPr>
              <w:spacing w:after="0" w:line="240" w:lineRule="auto"/>
            </w:pPr>
            <w:r>
              <w:rPr>
                <w:rFonts w:ascii="Calibri" w:hAnsi="Calibri"/>
                <w:b w:val="0"/>
                <w:i w:val="0"/>
                <w:color w:val="111827"/>
                <w:sz w:val="18"/>
              </w:rPr>
              <w:t>Rows excluded from vectorization</w:t>
            </w:r>
          </w:p>
        </w:tc>
      </w:tr>
      <w:tr>
        <w:trPr>
          <w:cantSplit/>
        </w:trPr>
        <w:tc>
          <w:tcPr>
            <w:tcW w:type="dxa" w:w="30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Usable reviews</w:t>
            </w:r>
          </w:p>
        </w:tc>
        <w:tc>
          <w:tcPr>
            <w:tcW w:type="dxa" w:w="18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22,641</w:t>
            </w:r>
          </w:p>
        </w:tc>
        <w:tc>
          <w:tcPr>
            <w:tcW w:type="dxa" w:w="45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Rows retained for TF-IDF</w:t>
            </w:r>
          </w:p>
        </w:tc>
      </w:tr>
      <w:tr>
        <w:trPr>
          <w:cantSplit/>
        </w:trPr>
        <w:tc>
          <w:tcPr>
            <w:tcW w:type="dxa" w:w="3000"/>
            <w:tcMar>
              <w:top w:w="80" w:type="dxa"/>
              <w:start w:w="120" w:type="dxa"/>
              <w:bottom w:w="80" w:type="dxa"/>
              <w:end w:w="120" w:type="dxa"/>
            </w:tcMar>
            <w:vAlign w:val="center"/>
          </w:tcPr>
          <w:p>
            <w:pPr>
              <w:spacing w:after="0" w:line="240" w:lineRule="auto"/>
            </w:pPr>
            <w:r>
              <w:rPr>
                <w:rFonts w:ascii="Calibri" w:hAnsi="Calibri"/>
                <w:b w:val="0"/>
                <w:i w:val="0"/>
                <w:color w:val="111827"/>
                <w:sz w:val="18"/>
              </w:rPr>
              <w:t>Recommended IND = 0</w:t>
            </w:r>
          </w:p>
        </w:tc>
        <w:tc>
          <w:tcPr>
            <w:tcW w:type="dxa" w:w="1800"/>
            <w:tcMar>
              <w:top w:w="80" w:type="dxa"/>
              <w:start w:w="120" w:type="dxa"/>
              <w:bottom w:w="80" w:type="dxa"/>
              <w:end w:w="120" w:type="dxa"/>
            </w:tcMar>
            <w:vAlign w:val="center"/>
          </w:tcPr>
          <w:p>
            <w:pPr>
              <w:spacing w:after="0" w:line="240" w:lineRule="auto"/>
            </w:pPr>
            <w:r>
              <w:rPr>
                <w:rFonts w:ascii="Calibri" w:hAnsi="Calibri"/>
                <w:b w:val="0"/>
                <w:i w:val="0"/>
                <w:color w:val="111827"/>
                <w:sz w:val="18"/>
              </w:rPr>
              <w:t>4,101</w:t>
            </w:r>
          </w:p>
        </w:tc>
        <w:tc>
          <w:tcPr>
            <w:tcW w:type="dxa" w:w="4560"/>
            <w:tcMar>
              <w:top w:w="80" w:type="dxa"/>
              <w:start w:w="120" w:type="dxa"/>
              <w:bottom w:w="80" w:type="dxa"/>
              <w:end w:w="120" w:type="dxa"/>
            </w:tcMar>
            <w:vAlign w:val="center"/>
          </w:tcPr>
          <w:p>
            <w:pPr>
              <w:spacing w:after="0" w:line="240" w:lineRule="auto"/>
            </w:pPr>
            <w:r>
              <w:rPr>
                <w:rFonts w:ascii="Calibri" w:hAnsi="Calibri"/>
                <w:b w:val="0"/>
                <w:i w:val="0"/>
                <w:color w:val="111827"/>
                <w:sz w:val="18"/>
              </w:rPr>
              <w:t>Not recommended class</w:t>
            </w:r>
          </w:p>
        </w:tc>
      </w:tr>
      <w:tr>
        <w:trPr>
          <w:cantSplit/>
        </w:trPr>
        <w:tc>
          <w:tcPr>
            <w:tcW w:type="dxa" w:w="30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Recommended IND = 1</w:t>
            </w:r>
          </w:p>
        </w:tc>
        <w:tc>
          <w:tcPr>
            <w:tcW w:type="dxa" w:w="18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18,540</w:t>
            </w:r>
          </w:p>
        </w:tc>
        <w:tc>
          <w:tcPr>
            <w:tcW w:type="dxa" w:w="45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Recommended class</w:t>
            </w:r>
          </w:p>
        </w:tc>
      </w:tr>
    </w:tbl>
    <w:p>
      <w:pPr>
        <w:spacing w:after="0"/>
      </w:pPr>
    </w:p>
    <w:p>
      <w:pPr>
        <w:pStyle w:val="Heading1"/>
      </w:pPr>
      <w:r>
        <w:t>5. Methodology</w:t>
      </w:r>
    </w:p>
    <w:p>
      <w:pPr>
        <w:pStyle w:val="Heading2"/>
      </w:pPr>
      <w:r>
        <w:t>5.1 Text selection and missing-value handling</w:t>
      </w:r>
    </w:p>
    <w:p>
      <w:r>
        <w:t>A working dataframe is created from Review Text and Recommended IND. Rows with missing or empty review text are removed, because an absent document cannot generate meaningful TF-IDF features. Recommended IND is preserved as the binary target.</w:t>
      </w:r>
    </w:p>
    <w:p>
      <w:pPr>
        <w:pStyle w:val="Heading2"/>
      </w:pPr>
      <w:r>
        <w:t>5.2 Text preprocessing and lemmatization</w:t>
      </w:r>
    </w:p>
    <w:p>
      <w:r>
        <w:t>Each review is converted to lowercase. Non-alphabetic characters and repeated spaces are removed. The remaining tokens are lemmatized using WordNetLemmatizer so common inflected noun forms can be reduced to a shared base form. Stopwords are not permanently deleted at this stage; their removal is controlled separately inside each TF-IDF experiment.</w:t>
      </w:r>
    </w:p>
    <w:p>
      <w:pPr>
        <w:pStyle w:val="Heading2"/>
      </w:pPr>
      <w:r>
        <w:t>5.3 TF-IDF vectorization</w:t>
      </w:r>
    </w:p>
    <w:p>
      <w:r>
        <w:t>TF-IDF assigns higher values to terms that are important within a review but not common across nearly all reviews. For term t in document d, the representation combines term frequency with inverse document frequency:</w:t>
      </w:r>
    </w:p>
    <w:p>
      <w:pPr>
        <w:spacing w:before="100" w:after="160"/>
        <w:jc w:val="center"/>
      </w:pPr>
      <w:r>
        <w:rPr>
          <w:rFonts w:ascii="Calibri" w:hAnsi="Calibri"/>
          <w:b/>
          <w:i w:val="0"/>
          <w:color w:val="17365D"/>
          <w:sz w:val="22"/>
        </w:rPr>
        <w:t>TF-IDF(t,d) = TF(t,d) x log[N / DF(t)]</w:t>
      </w:r>
    </w:p>
    <w:p>
      <w:r>
        <w:t>The vectorizer uses min_df = 5 to ignore terms appearing in fewer than five reviews and max_df = 0.95 to ignore terms appearing in more than 95% of reviews. These controls keep the experiment focused and limit unnecessary feature growth.</w:t>
      </w:r>
    </w:p>
    <w:p>
      <w:pPr>
        <w:pStyle w:val="Heading2"/>
      </w:pPr>
      <w:r>
        <w:t>5.4 Experimental configurations</w:t>
      </w:r>
    </w:p>
    <w:tbl>
      <w:tblPr>
        <w:tblStyle w:val="TableGrid"/>
        <w:tblW w:type="dxa" w:w="9360"/>
        <w:jc w:val="left"/>
        <w:tblLayout w:type="fixed"/>
        <w:tblLook w:firstColumn="1" w:firstRow="1" w:lastColumn="0" w:lastRow="0" w:noHBand="0" w:noVBand="1" w:val="04A0"/>
        <w:tblInd w:w="120" w:type="dxa"/>
      </w:tblPr>
      <w:tblGrid>
        <w:gridCol w:w="4300"/>
        <w:gridCol w:w="1900"/>
        <w:gridCol w:w="3160"/>
      </w:tblGrid>
      <w:tr>
        <w:trPr>
          <w:tblHeader w:val="true"/>
          <w:cantSplit/>
        </w:trPr>
        <w:tc>
          <w:tcPr>
            <w:tcW w:type="dxa" w:w="43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Configuration</w:t>
            </w:r>
          </w:p>
        </w:tc>
        <w:tc>
          <w:tcPr>
            <w:tcW w:type="dxa" w:w="19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n-gram range</w:t>
            </w:r>
          </w:p>
        </w:tc>
        <w:tc>
          <w:tcPr>
            <w:tcW w:type="dxa" w:w="316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Stopword setting</w:t>
            </w:r>
          </w:p>
        </w:tc>
      </w:tr>
      <w:tr>
        <w:trPr>
          <w:cantSplit/>
        </w:trPr>
        <w:tc>
          <w:tcPr>
            <w:tcW w:type="dxa" w:w="4300"/>
            <w:tcMar>
              <w:top w:w="80" w:type="dxa"/>
              <w:start w:w="120" w:type="dxa"/>
              <w:bottom w:w="80" w:type="dxa"/>
              <w:end w:w="120" w:type="dxa"/>
            </w:tcMar>
            <w:vAlign w:val="center"/>
          </w:tcPr>
          <w:p>
            <w:pPr>
              <w:spacing w:after="0" w:line="240" w:lineRule="auto"/>
            </w:pPr>
            <w:r>
              <w:rPr>
                <w:rFonts w:ascii="Calibri" w:hAnsi="Calibri"/>
                <w:b w:val="0"/>
                <w:i w:val="0"/>
                <w:color w:val="111827"/>
                <w:sz w:val="18"/>
              </w:rPr>
              <w:t>Unigram, stopwords retained</w:t>
            </w:r>
          </w:p>
        </w:tc>
        <w:tc>
          <w:tcPr>
            <w:tcW w:type="dxa" w:w="1900"/>
            <w:tcMar>
              <w:top w:w="80" w:type="dxa"/>
              <w:start w:w="120" w:type="dxa"/>
              <w:bottom w:w="80" w:type="dxa"/>
              <w:end w:w="120" w:type="dxa"/>
            </w:tcMar>
            <w:vAlign w:val="center"/>
          </w:tcPr>
          <w:p>
            <w:pPr>
              <w:spacing w:after="0" w:line="240" w:lineRule="auto"/>
            </w:pPr>
            <w:r>
              <w:rPr>
                <w:rFonts w:ascii="Calibri" w:hAnsi="Calibri"/>
                <w:b w:val="0"/>
                <w:i w:val="0"/>
                <w:color w:val="111827"/>
                <w:sz w:val="18"/>
              </w:rPr>
              <w:t>(1, 1)</w:t>
            </w:r>
          </w:p>
        </w:tc>
        <w:tc>
          <w:tcPr>
            <w:tcW w:type="dxa" w:w="3160"/>
            <w:tcMar>
              <w:top w:w="80" w:type="dxa"/>
              <w:start w:w="120" w:type="dxa"/>
              <w:bottom w:w="80" w:type="dxa"/>
              <w:end w:w="120" w:type="dxa"/>
            </w:tcMar>
            <w:vAlign w:val="center"/>
          </w:tcPr>
          <w:p>
            <w:pPr>
              <w:spacing w:after="0" w:line="240" w:lineRule="auto"/>
            </w:pPr>
            <w:r>
              <w:rPr>
                <w:rFonts w:ascii="Calibri" w:hAnsi="Calibri"/>
                <w:b w:val="0"/>
                <w:i w:val="0"/>
                <w:color w:val="111827"/>
                <w:sz w:val="18"/>
              </w:rPr>
              <w:t>None</w:t>
            </w:r>
          </w:p>
        </w:tc>
      </w:tr>
      <w:tr>
        <w:trPr>
          <w:cantSplit/>
        </w:trPr>
        <w:tc>
          <w:tcPr>
            <w:tcW w:type="dxa" w:w="43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Unigram, stopwords removed</w:t>
            </w:r>
          </w:p>
        </w:tc>
        <w:tc>
          <w:tcPr>
            <w:tcW w:type="dxa" w:w="1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(1, 1)</w:t>
            </w:r>
          </w:p>
        </w:tc>
        <w:tc>
          <w:tcPr>
            <w:tcW w:type="dxa" w:w="3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English stopwords removed</w:t>
            </w:r>
          </w:p>
        </w:tc>
      </w:tr>
      <w:tr>
        <w:trPr>
          <w:cantSplit/>
        </w:trPr>
        <w:tc>
          <w:tcPr>
            <w:tcW w:type="dxa" w:w="4300"/>
            <w:tcMar>
              <w:top w:w="80" w:type="dxa"/>
              <w:start w:w="120" w:type="dxa"/>
              <w:bottom w:w="80" w:type="dxa"/>
              <w:end w:w="120" w:type="dxa"/>
            </w:tcMar>
            <w:vAlign w:val="center"/>
          </w:tcPr>
          <w:p>
            <w:pPr>
              <w:spacing w:after="0" w:line="240" w:lineRule="auto"/>
            </w:pPr>
            <w:r>
              <w:rPr>
                <w:rFonts w:ascii="Calibri" w:hAnsi="Calibri"/>
                <w:b w:val="0"/>
                <w:i w:val="0"/>
                <w:color w:val="111827"/>
                <w:sz w:val="18"/>
              </w:rPr>
              <w:t>Unigram + bigram, stopwords retained</w:t>
            </w:r>
          </w:p>
        </w:tc>
        <w:tc>
          <w:tcPr>
            <w:tcW w:type="dxa" w:w="1900"/>
            <w:tcMar>
              <w:top w:w="80" w:type="dxa"/>
              <w:start w:w="120" w:type="dxa"/>
              <w:bottom w:w="80" w:type="dxa"/>
              <w:end w:w="120" w:type="dxa"/>
            </w:tcMar>
            <w:vAlign w:val="center"/>
          </w:tcPr>
          <w:p>
            <w:pPr>
              <w:spacing w:after="0" w:line="240" w:lineRule="auto"/>
            </w:pPr>
            <w:r>
              <w:rPr>
                <w:rFonts w:ascii="Calibri" w:hAnsi="Calibri"/>
                <w:b w:val="0"/>
                <w:i w:val="0"/>
                <w:color w:val="111827"/>
                <w:sz w:val="18"/>
              </w:rPr>
              <w:t>(1, 2)</w:t>
            </w:r>
          </w:p>
        </w:tc>
        <w:tc>
          <w:tcPr>
            <w:tcW w:type="dxa" w:w="3160"/>
            <w:tcMar>
              <w:top w:w="80" w:type="dxa"/>
              <w:start w:w="120" w:type="dxa"/>
              <w:bottom w:w="80" w:type="dxa"/>
              <w:end w:w="120" w:type="dxa"/>
            </w:tcMar>
            <w:vAlign w:val="center"/>
          </w:tcPr>
          <w:p>
            <w:pPr>
              <w:spacing w:after="0" w:line="240" w:lineRule="auto"/>
            </w:pPr>
            <w:r>
              <w:rPr>
                <w:rFonts w:ascii="Calibri" w:hAnsi="Calibri"/>
                <w:b w:val="0"/>
                <w:i w:val="0"/>
                <w:color w:val="111827"/>
                <w:sz w:val="18"/>
              </w:rPr>
              <w:t>None</w:t>
            </w:r>
          </w:p>
        </w:tc>
      </w:tr>
      <w:tr>
        <w:trPr>
          <w:cantSplit/>
        </w:trPr>
        <w:tc>
          <w:tcPr>
            <w:tcW w:type="dxa" w:w="43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Unigram + bigram, stopwords removed</w:t>
            </w:r>
          </w:p>
        </w:tc>
        <w:tc>
          <w:tcPr>
            <w:tcW w:type="dxa" w:w="1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(1, 2)</w:t>
            </w:r>
          </w:p>
        </w:tc>
        <w:tc>
          <w:tcPr>
            <w:tcW w:type="dxa" w:w="3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English stopwords removed</w:t>
            </w:r>
          </w:p>
        </w:tc>
      </w:tr>
    </w:tbl>
    <w:p>
      <w:pPr>
        <w:spacing w:after="0"/>
      </w:pPr>
    </w:p>
    <w:p>
      <w:pPr>
        <w:pStyle w:val="Heading2"/>
      </w:pPr>
      <w:r>
        <w:t>5.5 Chi-square feature scoring</w:t>
      </w:r>
    </w:p>
    <w:p>
      <w:r>
        <w:t>Chi-square scoring measures whether the occurrence pattern of a non-negative TF-IDF feature is associated with the two Recommended IND classes. A larger score indicates a stronger association. For every configuration, the average score among its top 100 terms and its maximum score are recorded. The configuration with the highest top-100 average is chosen.</w:t>
      </w:r>
    </w:p>
    <w:p>
      <w:pPr>
        <w:spacing w:before="100" w:after="160"/>
        <w:jc w:val="center"/>
      </w:pPr>
      <w:r>
        <w:rPr>
          <w:rFonts w:ascii="Calibri" w:hAnsi="Calibri"/>
          <w:b/>
          <w:i w:val="0"/>
          <w:color w:val="17365D"/>
          <w:sz w:val="22"/>
        </w:rPr>
        <w:t>chi-square = sum[(Observed - Expected)^2 / Expected]</w:t>
      </w:r>
    </w:p>
    <w:p>
      <w:pPr>
        <w:pStyle w:val="Heading2"/>
      </w:pPr>
      <w:r>
        <w:t>5.6 Dynamic feature selection</w:t>
      </w:r>
    </w:p>
    <w:p>
      <w:r>
        <w:t>Features in the selected configuration are sorted from highest to lowest Chi-square score. The smallest number of features whose cumulative scores reach 80% of total Chi-square importance is retained. SelectKBest then constructs the final sparse matrix from these features. This avoids choosing an arbitrary fixed vocabulary size.</w:t>
      </w:r>
    </w:p>
    <w:p>
      <w:pPr>
        <w:pStyle w:val="Heading1"/>
      </w:pPr>
      <w:r>
        <w:t>6. Results and Interpretation</w:t>
      </w:r>
    </w:p>
    <w:p>
      <w:r>
        <w:t>A verification run on the supplied dataset identified unigram TF-IDF with English stopword removal as the strongest configuration by average Chi-square score among the top 100 terms. The result indicates that single informative words provided a clearer recommendation signal than the tested unigram-bigram spaces, while stopword removal reduced noise.</w:t>
      </w:r>
    </w:p>
    <w:tbl>
      <w:tblPr>
        <w:tblStyle w:val="TableGrid"/>
        <w:tblW w:type="dxa" w:w="9360"/>
        <w:jc w:val="left"/>
        <w:tblLayout w:type="fixed"/>
        <w:tblLook w:firstColumn="1" w:firstRow="1" w:lastColumn="0" w:lastRow="0" w:noHBand="0" w:noVBand="1" w:val="04A0"/>
        <w:tblInd w:w="120" w:type="dxa"/>
      </w:tblPr>
      <w:tblGrid>
        <w:gridCol w:w="3900"/>
        <w:gridCol w:w="1500"/>
        <w:gridCol w:w="2200"/>
        <w:gridCol w:w="1760"/>
      </w:tblGrid>
      <w:tr>
        <w:trPr>
          <w:tblHeader w:val="true"/>
          <w:cantSplit/>
        </w:trPr>
        <w:tc>
          <w:tcPr>
            <w:tcW w:type="dxa" w:w="39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Configuration</w:t>
            </w:r>
          </w:p>
        </w:tc>
        <w:tc>
          <w:tcPr>
            <w:tcW w:type="dxa" w:w="15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Features</w:t>
            </w:r>
          </w:p>
        </w:tc>
        <w:tc>
          <w:tcPr>
            <w:tcW w:type="dxa" w:w="22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Top-100 mean chi-square</w:t>
            </w:r>
          </w:p>
        </w:tc>
        <w:tc>
          <w:tcPr>
            <w:tcW w:type="dxa" w:w="176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Sparsity</w:t>
            </w:r>
          </w:p>
        </w:tc>
      </w:tr>
      <w:tr>
        <w:trPr>
          <w:cantSplit/>
        </w:trPr>
        <w:tc>
          <w:tcPr>
            <w:tcW w:type="dxa" w:w="3900"/>
            <w:tcMar>
              <w:top w:w="80" w:type="dxa"/>
              <w:start w:w="120" w:type="dxa"/>
              <w:bottom w:w="80" w:type="dxa"/>
              <w:end w:w="120" w:type="dxa"/>
            </w:tcMar>
            <w:vAlign w:val="center"/>
          </w:tcPr>
          <w:p>
            <w:pPr>
              <w:spacing w:after="0" w:line="240" w:lineRule="auto"/>
            </w:pPr>
            <w:r>
              <w:rPr>
                <w:rFonts w:ascii="Calibri" w:hAnsi="Calibri"/>
                <w:b w:val="0"/>
                <w:i w:val="0"/>
                <w:color w:val="111827"/>
                <w:sz w:val="18"/>
              </w:rPr>
              <w:t>Unigram, stopwords removed</w:t>
            </w:r>
          </w:p>
        </w:tc>
        <w:tc>
          <w:tcPr>
            <w:tcW w:type="dxa" w:w="1500"/>
            <w:tcMar>
              <w:top w:w="80" w:type="dxa"/>
              <w:start w:w="120" w:type="dxa"/>
              <w:bottom w:w="80" w:type="dxa"/>
              <w:end w:w="120" w:type="dxa"/>
            </w:tcMar>
            <w:vAlign w:val="center"/>
          </w:tcPr>
          <w:p>
            <w:pPr>
              <w:spacing w:after="0" w:line="240" w:lineRule="auto"/>
            </w:pPr>
            <w:r>
              <w:rPr>
                <w:rFonts w:ascii="Calibri" w:hAnsi="Calibri"/>
                <w:b w:val="0"/>
                <w:i w:val="0"/>
                <w:color w:val="111827"/>
                <w:sz w:val="18"/>
              </w:rPr>
              <w:t>4,468</w:t>
            </w:r>
          </w:p>
        </w:tc>
        <w:tc>
          <w:tcPr>
            <w:tcW w:type="dxa" w:w="2200"/>
            <w:tcMar>
              <w:top w:w="80" w:type="dxa"/>
              <w:start w:w="120" w:type="dxa"/>
              <w:bottom w:w="80" w:type="dxa"/>
              <w:end w:w="120" w:type="dxa"/>
            </w:tcMar>
            <w:vAlign w:val="center"/>
          </w:tcPr>
          <w:p>
            <w:pPr>
              <w:spacing w:after="0" w:line="240" w:lineRule="auto"/>
            </w:pPr>
            <w:r>
              <w:rPr>
                <w:rFonts w:ascii="Calibri" w:hAnsi="Calibri"/>
                <w:b w:val="0"/>
                <w:i w:val="0"/>
                <w:color w:val="111827"/>
                <w:sz w:val="18"/>
              </w:rPr>
              <w:t>38.91</w:t>
            </w:r>
          </w:p>
        </w:tc>
        <w:tc>
          <w:tcPr>
            <w:tcW w:type="dxa" w:w="1760"/>
            <w:tcMar>
              <w:top w:w="80" w:type="dxa"/>
              <w:start w:w="120" w:type="dxa"/>
              <w:bottom w:w="80" w:type="dxa"/>
              <w:end w:w="120" w:type="dxa"/>
            </w:tcMar>
            <w:vAlign w:val="center"/>
          </w:tcPr>
          <w:p>
            <w:pPr>
              <w:spacing w:after="0" w:line="240" w:lineRule="auto"/>
            </w:pPr>
            <w:r>
              <w:rPr>
                <w:rFonts w:ascii="Calibri" w:hAnsi="Calibri"/>
                <w:b w:val="0"/>
                <w:i w:val="0"/>
                <w:color w:val="111827"/>
                <w:sz w:val="18"/>
              </w:rPr>
              <w:t>99.50%</w:t>
            </w:r>
          </w:p>
        </w:tc>
      </w:tr>
      <w:tr>
        <w:trPr>
          <w:cantSplit/>
        </w:trPr>
        <w:tc>
          <w:tcPr>
            <w:tcW w:type="dxa" w:w="3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Unigram, stopwords retained</w:t>
            </w:r>
          </w:p>
        </w:tc>
        <w:tc>
          <w:tcPr>
            <w:tcW w:type="dxa" w:w="15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4,729</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35.80</w:t>
            </w:r>
          </w:p>
        </w:tc>
        <w:tc>
          <w:tcPr>
            <w:tcW w:type="dxa" w:w="17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99.12%</w:t>
            </w:r>
          </w:p>
        </w:tc>
      </w:tr>
      <w:tr>
        <w:trPr>
          <w:cantSplit/>
        </w:trPr>
        <w:tc>
          <w:tcPr>
            <w:tcW w:type="dxa" w:w="3900"/>
            <w:tcMar>
              <w:top w:w="80" w:type="dxa"/>
              <w:start w:w="120" w:type="dxa"/>
              <w:bottom w:w="80" w:type="dxa"/>
              <w:end w:w="120" w:type="dxa"/>
            </w:tcMar>
            <w:vAlign w:val="center"/>
          </w:tcPr>
          <w:p>
            <w:pPr>
              <w:spacing w:after="0" w:line="240" w:lineRule="auto"/>
            </w:pPr>
            <w:r>
              <w:rPr>
                <w:rFonts w:ascii="Calibri" w:hAnsi="Calibri"/>
                <w:b w:val="0"/>
                <w:i w:val="0"/>
                <w:color w:val="111827"/>
                <w:sz w:val="18"/>
              </w:rPr>
              <w:t>Unigram + bigram, stopwords removed</w:t>
            </w:r>
          </w:p>
        </w:tc>
        <w:tc>
          <w:tcPr>
            <w:tcW w:type="dxa" w:w="1500"/>
            <w:tcMar>
              <w:top w:w="80" w:type="dxa"/>
              <w:start w:w="120" w:type="dxa"/>
              <w:bottom w:w="80" w:type="dxa"/>
              <w:end w:w="120" w:type="dxa"/>
            </w:tcMar>
            <w:vAlign w:val="center"/>
          </w:tcPr>
          <w:p>
            <w:pPr>
              <w:spacing w:after="0" w:line="240" w:lineRule="auto"/>
            </w:pPr>
            <w:r>
              <w:rPr>
                <w:rFonts w:ascii="Calibri" w:hAnsi="Calibri"/>
                <w:b w:val="0"/>
                <w:i w:val="0"/>
                <w:color w:val="111827"/>
                <w:sz w:val="18"/>
              </w:rPr>
              <w:t>21,022</w:t>
            </w:r>
          </w:p>
        </w:tc>
        <w:tc>
          <w:tcPr>
            <w:tcW w:type="dxa" w:w="2200"/>
            <w:tcMar>
              <w:top w:w="80" w:type="dxa"/>
              <w:start w:w="120" w:type="dxa"/>
              <w:bottom w:w="80" w:type="dxa"/>
              <w:end w:w="120" w:type="dxa"/>
            </w:tcMar>
            <w:vAlign w:val="center"/>
          </w:tcPr>
          <w:p>
            <w:pPr>
              <w:spacing w:after="0" w:line="240" w:lineRule="auto"/>
            </w:pPr>
            <w:r>
              <w:rPr>
                <w:rFonts w:ascii="Calibri" w:hAnsi="Calibri"/>
                <w:b w:val="0"/>
                <w:i w:val="0"/>
                <w:color w:val="111827"/>
                <w:sz w:val="18"/>
              </w:rPr>
              <w:t>31.74</w:t>
            </w:r>
          </w:p>
        </w:tc>
        <w:tc>
          <w:tcPr>
            <w:tcW w:type="dxa" w:w="1760"/>
            <w:tcMar>
              <w:top w:w="80" w:type="dxa"/>
              <w:start w:w="120" w:type="dxa"/>
              <w:bottom w:w="80" w:type="dxa"/>
              <w:end w:w="120" w:type="dxa"/>
            </w:tcMar>
            <w:vAlign w:val="center"/>
          </w:tcPr>
          <w:p>
            <w:pPr>
              <w:spacing w:after="0" w:line="240" w:lineRule="auto"/>
            </w:pPr>
            <w:r>
              <w:rPr>
                <w:rFonts w:ascii="Calibri" w:hAnsi="Calibri"/>
                <w:b w:val="0"/>
                <w:i w:val="0"/>
                <w:color w:val="111827"/>
                <w:sz w:val="18"/>
              </w:rPr>
              <w:t>99.84%</w:t>
            </w:r>
          </w:p>
        </w:tc>
      </w:tr>
      <w:tr>
        <w:trPr>
          <w:cantSplit/>
        </w:trPr>
        <w:tc>
          <w:tcPr>
            <w:tcW w:type="dxa" w:w="3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Unigram + bigram, stopwords retained</w:t>
            </w:r>
          </w:p>
        </w:tc>
        <w:tc>
          <w:tcPr>
            <w:tcW w:type="dxa" w:w="15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34,618</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29.23</w:t>
            </w:r>
          </w:p>
        </w:tc>
        <w:tc>
          <w:tcPr>
            <w:tcW w:type="dxa" w:w="17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99.76%</w:t>
            </w:r>
          </w:p>
        </w:tc>
      </w:tr>
    </w:tbl>
    <w:p>
      <w:pPr>
        <w:spacing w:after="0"/>
      </w:pPr>
    </w:p>
    <w:p>
      <w:pPr>
        <w:pStyle w:val="Caption"/>
      </w:pPr>
      <w:r>
        <w:t>Note: exact vocabulary counts can vary slightly with the installed NLTK/WordNet and scikit-learn versions; the selection logic remains unchanged.</w:t>
      </w:r>
    </w:p>
    <w:p>
      <w:pPr>
        <w:pStyle w:val="Heading2"/>
      </w:pPr>
      <w:r>
        <w:t>6.1 Feature reduction</w:t>
      </w:r>
    </w:p>
    <w:p>
      <w:r>
        <w:t>Using the 80% cumulative Chi-square rule, the verification run retained 728 of 4,468 unigram features. This corresponds to an 83.71% reduction in dimensionality while preserving the majority of measured association strength. The final matrix contains one row for each usable review and one column for each retained feature.</w:t>
      </w:r>
    </w:p>
    <w:tbl>
      <w:tblPr>
        <w:tblStyle w:val="TableGrid"/>
        <w:tblW w:type="dxa" w:w="9360"/>
        <w:jc w:val="left"/>
        <w:tblLayout w:type="fixed"/>
        <w:tblLook w:firstColumn="1" w:firstRow="1" w:lastColumn="0" w:lastRow="0" w:noHBand="0" w:noVBand="1" w:val="04A0"/>
        <w:tblInd w:w="120" w:type="dxa"/>
      </w:tblPr>
      <w:tblGrid>
        <w:gridCol w:w="5200"/>
        <w:gridCol w:w="4160"/>
      </w:tblGrid>
      <w:tr>
        <w:trPr>
          <w:tblHeader w:val="true"/>
          <w:cantSplit/>
        </w:trPr>
        <w:tc>
          <w:tcPr>
            <w:tcW w:type="dxa" w:w="52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Measure</w:t>
            </w:r>
          </w:p>
        </w:tc>
        <w:tc>
          <w:tcPr>
            <w:tcW w:type="dxa" w:w="416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Result</w:t>
            </w:r>
          </w:p>
        </w:tc>
      </w:tr>
      <w:tr>
        <w:trPr>
          <w:cantSplit/>
        </w:trPr>
        <w:tc>
          <w:tcPr>
            <w:tcW w:type="dxa" w:w="5200"/>
            <w:tcMar>
              <w:top w:w="80" w:type="dxa"/>
              <w:start w:w="120" w:type="dxa"/>
              <w:bottom w:w="80" w:type="dxa"/>
              <w:end w:w="120" w:type="dxa"/>
            </w:tcMar>
            <w:vAlign w:val="center"/>
          </w:tcPr>
          <w:p>
            <w:pPr>
              <w:spacing w:after="0" w:line="240" w:lineRule="auto"/>
            </w:pPr>
            <w:r>
              <w:rPr>
                <w:rFonts w:ascii="Calibri" w:hAnsi="Calibri"/>
                <w:b w:val="0"/>
                <w:i w:val="0"/>
                <w:color w:val="111827"/>
                <w:sz w:val="18"/>
              </w:rPr>
              <w:t>Usable review documents</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22,641</w:t>
            </w:r>
          </w:p>
        </w:tc>
      </w:tr>
      <w:tr>
        <w:trPr>
          <w:cantSplit/>
        </w:trPr>
        <w:tc>
          <w:tcPr>
            <w:tcW w:type="dxa" w:w="5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Features before selection</w:t>
            </w:r>
          </w:p>
        </w:tc>
        <w:tc>
          <w:tcPr>
            <w:tcW w:type="dxa" w:w="4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4,468</w:t>
            </w:r>
          </w:p>
        </w:tc>
      </w:tr>
      <w:tr>
        <w:trPr>
          <w:cantSplit/>
        </w:trPr>
        <w:tc>
          <w:tcPr>
            <w:tcW w:type="dxa" w:w="5200"/>
            <w:tcMar>
              <w:top w:w="80" w:type="dxa"/>
              <w:start w:w="120" w:type="dxa"/>
              <w:bottom w:w="80" w:type="dxa"/>
              <w:end w:w="120" w:type="dxa"/>
            </w:tcMar>
            <w:vAlign w:val="center"/>
          </w:tcPr>
          <w:p>
            <w:pPr>
              <w:spacing w:after="0" w:line="240" w:lineRule="auto"/>
            </w:pPr>
            <w:r>
              <w:rPr>
                <w:rFonts w:ascii="Calibri" w:hAnsi="Calibri"/>
                <w:b w:val="0"/>
                <w:i w:val="0"/>
                <w:color w:val="111827"/>
                <w:sz w:val="18"/>
              </w:rPr>
              <w:t>Features selected</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728</w:t>
            </w:r>
          </w:p>
        </w:tc>
      </w:tr>
      <w:tr>
        <w:trPr>
          <w:cantSplit/>
        </w:trPr>
        <w:tc>
          <w:tcPr>
            <w:tcW w:type="dxa" w:w="5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Feature reduction</w:t>
            </w:r>
          </w:p>
        </w:tc>
        <w:tc>
          <w:tcPr>
            <w:tcW w:type="dxa" w:w="4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83.71%</w:t>
            </w:r>
          </w:p>
        </w:tc>
      </w:tr>
      <w:tr>
        <w:trPr>
          <w:cantSplit/>
        </w:trPr>
        <w:tc>
          <w:tcPr>
            <w:tcW w:type="dxa" w:w="5200"/>
            <w:tcMar>
              <w:top w:w="80" w:type="dxa"/>
              <w:start w:w="120" w:type="dxa"/>
              <w:bottom w:w="80" w:type="dxa"/>
              <w:end w:w="120" w:type="dxa"/>
            </w:tcMar>
            <w:vAlign w:val="center"/>
          </w:tcPr>
          <w:p>
            <w:pPr>
              <w:spacing w:after="0" w:line="240" w:lineRule="auto"/>
            </w:pPr>
            <w:r>
              <w:rPr>
                <w:rFonts w:ascii="Calibri" w:hAnsi="Calibri"/>
                <w:b w:val="0"/>
                <w:i w:val="0"/>
                <w:color w:val="111827"/>
                <w:sz w:val="18"/>
              </w:rPr>
              <w:t>Final matrix shape</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22,641 x 728</w:t>
            </w:r>
          </w:p>
        </w:tc>
      </w:tr>
    </w:tbl>
    <w:p>
      <w:pPr>
        <w:spacing w:after="0"/>
      </w:pPr>
    </w:p>
    <w:p>
      <w:pPr>
        <w:pStyle w:val="Heading2"/>
      </w:pPr>
      <w:r>
        <w:t>6.2 Most informative terms</w:t>
      </w:r>
    </w:p>
    <w:p>
      <w:r>
        <w:t>The highest-scoring terms mainly express dissatisfaction, product-quality concerns, returns, fit problems, and a smaller set of positive experience signals. Their high scores mean their TF-IDF patterns differ substantially between recommended and non-recommended reviews.</w:t>
      </w:r>
    </w:p>
    <w:tbl>
      <w:tblPr>
        <w:tblStyle w:val="TableGrid"/>
        <w:tblW w:type="dxa" w:w="9360"/>
        <w:jc w:val="left"/>
        <w:tblLayout w:type="fixed"/>
        <w:tblLook w:firstColumn="1" w:firstRow="1" w:lastColumn="0" w:lastRow="0" w:noHBand="0" w:noVBand="1" w:val="04A0"/>
        <w:tblInd w:w="120" w:type="dxa"/>
      </w:tblPr>
      <w:tblGrid>
        <w:gridCol w:w="900"/>
        <w:gridCol w:w="2100"/>
        <w:gridCol w:w="2200"/>
        <w:gridCol w:w="4160"/>
      </w:tblGrid>
      <w:tr>
        <w:trPr>
          <w:tblHeader w:val="true"/>
          <w:cantSplit/>
        </w:trPr>
        <w:tc>
          <w:tcPr>
            <w:tcW w:type="dxa" w:w="9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Rank</w:t>
            </w:r>
          </w:p>
        </w:tc>
        <w:tc>
          <w:tcPr>
            <w:tcW w:type="dxa" w:w="21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Feature</w:t>
            </w:r>
          </w:p>
        </w:tc>
        <w:tc>
          <w:tcPr>
            <w:tcW w:type="dxa" w:w="22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Chi-square score</w:t>
            </w:r>
          </w:p>
        </w:tc>
        <w:tc>
          <w:tcPr>
            <w:tcW w:type="dxa" w:w="416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Interpretive theme</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b w:val="0"/>
                <w:i w:val="0"/>
                <w:color w:val="111827"/>
                <w:sz w:val="18"/>
              </w:rPr>
              <w:t>1</w:t>
            </w:r>
          </w:p>
        </w:tc>
        <w:tc>
          <w:tcPr>
            <w:tcW w:type="dxa" w:w="2100"/>
            <w:tcMar>
              <w:top w:w="80" w:type="dxa"/>
              <w:start w:w="120" w:type="dxa"/>
              <w:bottom w:w="80" w:type="dxa"/>
              <w:end w:w="120" w:type="dxa"/>
            </w:tcMar>
            <w:vAlign w:val="center"/>
          </w:tcPr>
          <w:p>
            <w:pPr>
              <w:spacing w:after="0" w:line="240" w:lineRule="auto"/>
            </w:pPr>
            <w:r>
              <w:rPr>
                <w:rFonts w:ascii="Calibri" w:hAnsi="Calibri"/>
                <w:b w:val="0"/>
                <w:i w:val="0"/>
                <w:color w:val="111827"/>
                <w:sz w:val="18"/>
              </w:rPr>
              <w:t>disappointed</w:t>
            </w:r>
          </w:p>
        </w:tc>
        <w:tc>
          <w:tcPr>
            <w:tcW w:type="dxa" w:w="2200"/>
            <w:tcMar>
              <w:top w:w="80" w:type="dxa"/>
              <w:start w:w="120" w:type="dxa"/>
              <w:bottom w:w="80" w:type="dxa"/>
              <w:end w:w="120" w:type="dxa"/>
            </w:tcMar>
            <w:vAlign w:val="center"/>
          </w:tcPr>
          <w:p>
            <w:pPr>
              <w:spacing w:after="0" w:line="240" w:lineRule="auto"/>
            </w:pPr>
            <w:r>
              <w:rPr>
                <w:rFonts w:ascii="Calibri" w:hAnsi="Calibri"/>
                <w:b w:val="0"/>
                <w:i w:val="0"/>
                <w:color w:val="111827"/>
                <w:sz w:val="18"/>
              </w:rPr>
              <w:t>168.13</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Dissatisfaction</w:t>
            </w:r>
          </w:p>
        </w:tc>
      </w:tr>
      <w:tr>
        <w:trPr>
          <w:cantSplit/>
        </w:trPr>
        <w:tc>
          <w:tcPr>
            <w:tcW w:type="dxa" w:w="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2</w:t>
            </w:r>
          </w:p>
        </w:tc>
        <w:tc>
          <w:tcPr>
            <w:tcW w:type="dxa" w:w="21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unflattering</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135.31</w:t>
            </w:r>
          </w:p>
        </w:tc>
        <w:tc>
          <w:tcPr>
            <w:tcW w:type="dxa" w:w="4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Fit / appearance issue</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b w:val="0"/>
                <w:i w:val="0"/>
                <w:color w:val="111827"/>
                <w:sz w:val="18"/>
              </w:rPr>
              <w:t>3</w:t>
            </w:r>
          </w:p>
        </w:tc>
        <w:tc>
          <w:tcPr>
            <w:tcW w:type="dxa" w:w="2100"/>
            <w:tcMar>
              <w:top w:w="80" w:type="dxa"/>
              <w:start w:w="120" w:type="dxa"/>
              <w:bottom w:w="80" w:type="dxa"/>
              <w:end w:w="120" w:type="dxa"/>
            </w:tcMar>
            <w:vAlign w:val="center"/>
          </w:tcPr>
          <w:p>
            <w:pPr>
              <w:spacing w:after="0" w:line="240" w:lineRule="auto"/>
            </w:pPr>
            <w:r>
              <w:rPr>
                <w:rFonts w:ascii="Calibri" w:hAnsi="Calibri"/>
                <w:b w:val="0"/>
                <w:i w:val="0"/>
                <w:color w:val="111827"/>
                <w:sz w:val="18"/>
              </w:rPr>
              <w:t>cheap</w:t>
            </w:r>
          </w:p>
        </w:tc>
        <w:tc>
          <w:tcPr>
            <w:tcW w:type="dxa" w:w="2200"/>
            <w:tcMar>
              <w:top w:w="80" w:type="dxa"/>
              <w:start w:w="120" w:type="dxa"/>
              <w:bottom w:w="80" w:type="dxa"/>
              <w:end w:w="120" w:type="dxa"/>
            </w:tcMar>
            <w:vAlign w:val="center"/>
          </w:tcPr>
          <w:p>
            <w:pPr>
              <w:spacing w:after="0" w:line="240" w:lineRule="auto"/>
            </w:pPr>
            <w:r>
              <w:rPr>
                <w:rFonts w:ascii="Calibri" w:hAnsi="Calibri"/>
                <w:b w:val="0"/>
                <w:i w:val="0"/>
                <w:color w:val="111827"/>
                <w:sz w:val="18"/>
              </w:rPr>
              <w:t>132.83</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Perceived quality issue</w:t>
            </w:r>
          </w:p>
        </w:tc>
      </w:tr>
      <w:tr>
        <w:trPr>
          <w:cantSplit/>
        </w:trPr>
        <w:tc>
          <w:tcPr>
            <w:tcW w:type="dxa" w:w="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4</w:t>
            </w:r>
          </w:p>
        </w:tc>
        <w:tc>
          <w:tcPr>
            <w:tcW w:type="dxa" w:w="21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returned</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124.79</w:t>
            </w:r>
          </w:p>
        </w:tc>
        <w:tc>
          <w:tcPr>
            <w:tcW w:type="dxa" w:w="4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Product return</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b w:val="0"/>
                <w:i w:val="0"/>
                <w:color w:val="111827"/>
                <w:sz w:val="18"/>
              </w:rPr>
              <w:t>5</w:t>
            </w:r>
          </w:p>
        </w:tc>
        <w:tc>
          <w:tcPr>
            <w:tcW w:type="dxa" w:w="2100"/>
            <w:tcMar>
              <w:top w:w="80" w:type="dxa"/>
              <w:start w:w="120" w:type="dxa"/>
              <w:bottom w:w="80" w:type="dxa"/>
              <w:end w:w="120" w:type="dxa"/>
            </w:tcMar>
            <w:vAlign w:val="center"/>
          </w:tcPr>
          <w:p>
            <w:pPr>
              <w:spacing w:after="0" w:line="240" w:lineRule="auto"/>
            </w:pPr>
            <w:r>
              <w:rPr>
                <w:rFonts w:ascii="Calibri" w:hAnsi="Calibri"/>
                <w:b w:val="0"/>
                <w:i w:val="0"/>
                <w:color w:val="111827"/>
                <w:sz w:val="18"/>
              </w:rPr>
              <w:t>returning</w:t>
            </w:r>
          </w:p>
        </w:tc>
        <w:tc>
          <w:tcPr>
            <w:tcW w:type="dxa" w:w="2200"/>
            <w:tcMar>
              <w:top w:w="80" w:type="dxa"/>
              <w:start w:w="120" w:type="dxa"/>
              <w:bottom w:w="80" w:type="dxa"/>
              <w:end w:w="120" w:type="dxa"/>
            </w:tcMar>
            <w:vAlign w:val="center"/>
          </w:tcPr>
          <w:p>
            <w:pPr>
              <w:spacing w:after="0" w:line="240" w:lineRule="auto"/>
            </w:pPr>
            <w:r>
              <w:rPr>
                <w:rFonts w:ascii="Calibri" w:hAnsi="Calibri"/>
                <w:b w:val="0"/>
                <w:i w:val="0"/>
                <w:color w:val="111827"/>
                <w:sz w:val="18"/>
              </w:rPr>
              <w:t>119.25</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Product return</w:t>
            </w:r>
          </w:p>
        </w:tc>
      </w:tr>
      <w:tr>
        <w:trPr>
          <w:cantSplit/>
        </w:trPr>
        <w:tc>
          <w:tcPr>
            <w:tcW w:type="dxa" w:w="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6</w:t>
            </w:r>
          </w:p>
        </w:tc>
        <w:tc>
          <w:tcPr>
            <w:tcW w:type="dxa" w:w="21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looked</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114.31</w:t>
            </w:r>
          </w:p>
        </w:tc>
        <w:tc>
          <w:tcPr>
            <w:tcW w:type="dxa" w:w="4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Expectation mismatch</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b w:val="0"/>
                <w:i w:val="0"/>
                <w:color w:val="111827"/>
                <w:sz w:val="18"/>
              </w:rPr>
              <w:t>7</w:t>
            </w:r>
          </w:p>
        </w:tc>
        <w:tc>
          <w:tcPr>
            <w:tcW w:type="dxa" w:w="2100"/>
            <w:tcMar>
              <w:top w:w="80" w:type="dxa"/>
              <w:start w:w="120" w:type="dxa"/>
              <w:bottom w:w="80" w:type="dxa"/>
              <w:end w:w="120" w:type="dxa"/>
            </w:tcMar>
            <w:vAlign w:val="center"/>
          </w:tcPr>
          <w:p>
            <w:pPr>
              <w:spacing w:after="0" w:line="240" w:lineRule="auto"/>
            </w:pPr>
            <w:r>
              <w:rPr>
                <w:rFonts w:ascii="Calibri" w:hAnsi="Calibri"/>
                <w:b w:val="0"/>
                <w:i w:val="0"/>
                <w:color w:val="111827"/>
                <w:sz w:val="18"/>
              </w:rPr>
              <w:t>huge</w:t>
            </w:r>
          </w:p>
        </w:tc>
        <w:tc>
          <w:tcPr>
            <w:tcW w:type="dxa" w:w="2200"/>
            <w:tcMar>
              <w:top w:w="80" w:type="dxa"/>
              <w:start w:w="120" w:type="dxa"/>
              <w:bottom w:w="80" w:type="dxa"/>
              <w:end w:w="120" w:type="dxa"/>
            </w:tcMar>
            <w:vAlign w:val="center"/>
          </w:tcPr>
          <w:p>
            <w:pPr>
              <w:spacing w:after="0" w:line="240" w:lineRule="auto"/>
            </w:pPr>
            <w:r>
              <w:rPr>
                <w:rFonts w:ascii="Calibri" w:hAnsi="Calibri"/>
                <w:b w:val="0"/>
                <w:i w:val="0"/>
                <w:color w:val="111827"/>
                <w:sz w:val="18"/>
              </w:rPr>
              <w:t>110.58</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Sizing issue</w:t>
            </w:r>
          </w:p>
        </w:tc>
      </w:tr>
      <w:tr>
        <w:trPr>
          <w:cantSplit/>
        </w:trPr>
        <w:tc>
          <w:tcPr>
            <w:tcW w:type="dxa" w:w="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8</w:t>
            </w:r>
          </w:p>
        </w:tc>
        <w:tc>
          <w:tcPr>
            <w:tcW w:type="dxa" w:w="21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unfortunately</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103.41</w:t>
            </w:r>
          </w:p>
        </w:tc>
        <w:tc>
          <w:tcPr>
            <w:tcW w:type="dxa" w:w="4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Negative experience</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b w:val="0"/>
                <w:i w:val="0"/>
                <w:color w:val="111827"/>
                <w:sz w:val="18"/>
              </w:rPr>
              <w:t>9</w:t>
            </w:r>
          </w:p>
        </w:tc>
        <w:tc>
          <w:tcPr>
            <w:tcW w:type="dxa" w:w="2100"/>
            <w:tcMar>
              <w:top w:w="80" w:type="dxa"/>
              <w:start w:w="120" w:type="dxa"/>
              <w:bottom w:w="80" w:type="dxa"/>
              <w:end w:w="120" w:type="dxa"/>
            </w:tcMar>
            <w:vAlign w:val="center"/>
          </w:tcPr>
          <w:p>
            <w:pPr>
              <w:spacing w:after="0" w:line="240" w:lineRule="auto"/>
            </w:pPr>
            <w:r>
              <w:rPr>
                <w:rFonts w:ascii="Calibri" w:hAnsi="Calibri"/>
                <w:b w:val="0"/>
                <w:i w:val="0"/>
                <w:color w:val="111827"/>
                <w:sz w:val="18"/>
              </w:rPr>
              <w:t>wanted</w:t>
            </w:r>
          </w:p>
        </w:tc>
        <w:tc>
          <w:tcPr>
            <w:tcW w:type="dxa" w:w="2200"/>
            <w:tcMar>
              <w:top w:w="80" w:type="dxa"/>
              <w:start w:w="120" w:type="dxa"/>
              <w:bottom w:w="80" w:type="dxa"/>
              <w:end w:w="120" w:type="dxa"/>
            </w:tcMar>
            <w:vAlign w:val="center"/>
          </w:tcPr>
          <w:p>
            <w:pPr>
              <w:spacing w:after="0" w:line="240" w:lineRule="auto"/>
            </w:pPr>
            <w:r>
              <w:rPr>
                <w:rFonts w:ascii="Calibri" w:hAnsi="Calibri"/>
                <w:b w:val="0"/>
                <w:i w:val="0"/>
                <w:color w:val="111827"/>
                <w:sz w:val="18"/>
              </w:rPr>
              <w:t>92.67</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Unmet expectation</w:t>
            </w:r>
          </w:p>
        </w:tc>
      </w:tr>
      <w:tr>
        <w:trPr>
          <w:cantSplit/>
        </w:trPr>
        <w:tc>
          <w:tcPr>
            <w:tcW w:type="dxa" w:w="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10</w:t>
            </w:r>
          </w:p>
        </w:tc>
        <w:tc>
          <w:tcPr>
            <w:tcW w:type="dxa" w:w="21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poor</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83.72</w:t>
            </w:r>
          </w:p>
        </w:tc>
        <w:tc>
          <w:tcPr>
            <w:tcW w:type="dxa" w:w="4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Quality / experience issue</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b w:val="0"/>
                <w:i w:val="0"/>
                <w:color w:val="111827"/>
                <w:sz w:val="18"/>
              </w:rPr>
              <w:t>15</w:t>
            </w:r>
          </w:p>
        </w:tc>
        <w:tc>
          <w:tcPr>
            <w:tcW w:type="dxa" w:w="2100"/>
            <w:tcMar>
              <w:top w:w="80" w:type="dxa"/>
              <w:start w:w="120" w:type="dxa"/>
              <w:bottom w:w="80" w:type="dxa"/>
              <w:end w:w="120" w:type="dxa"/>
            </w:tcMar>
            <w:vAlign w:val="center"/>
          </w:tcPr>
          <w:p>
            <w:pPr>
              <w:spacing w:after="0" w:line="240" w:lineRule="auto"/>
            </w:pPr>
            <w:r>
              <w:rPr>
                <w:rFonts w:ascii="Calibri" w:hAnsi="Calibri"/>
                <w:b w:val="0"/>
                <w:i w:val="0"/>
                <w:color w:val="111827"/>
                <w:sz w:val="18"/>
              </w:rPr>
              <w:t>perfect</w:t>
            </w:r>
          </w:p>
        </w:tc>
        <w:tc>
          <w:tcPr>
            <w:tcW w:type="dxa" w:w="2200"/>
            <w:tcMar>
              <w:top w:w="80" w:type="dxa"/>
              <w:start w:w="120" w:type="dxa"/>
              <w:bottom w:w="80" w:type="dxa"/>
              <w:end w:w="120" w:type="dxa"/>
            </w:tcMar>
            <w:vAlign w:val="center"/>
          </w:tcPr>
          <w:p>
            <w:pPr>
              <w:spacing w:after="0" w:line="240" w:lineRule="auto"/>
            </w:pPr>
            <w:r>
              <w:rPr>
                <w:rFonts w:ascii="Calibri" w:hAnsi="Calibri"/>
                <w:b w:val="0"/>
                <w:i w:val="0"/>
                <w:color w:val="111827"/>
                <w:sz w:val="18"/>
              </w:rPr>
              <w:t>60.04</w:t>
            </w:r>
          </w:p>
        </w:tc>
        <w:tc>
          <w:tcPr>
            <w:tcW w:type="dxa" w:w="4160"/>
            <w:tcMar>
              <w:top w:w="80" w:type="dxa"/>
              <w:start w:w="120" w:type="dxa"/>
              <w:bottom w:w="80" w:type="dxa"/>
              <w:end w:w="120" w:type="dxa"/>
            </w:tcMar>
            <w:vAlign w:val="center"/>
          </w:tcPr>
          <w:p>
            <w:pPr>
              <w:spacing w:after="0" w:line="240" w:lineRule="auto"/>
            </w:pPr>
            <w:r>
              <w:rPr>
                <w:rFonts w:ascii="Calibri" w:hAnsi="Calibri"/>
                <w:b w:val="0"/>
                <w:i w:val="0"/>
                <w:color w:val="111827"/>
                <w:sz w:val="18"/>
              </w:rPr>
              <w:t>Positive experience</w:t>
            </w:r>
          </w:p>
        </w:tc>
      </w:tr>
      <w:tr>
        <w:trPr>
          <w:cantSplit/>
        </w:trPr>
        <w:tc>
          <w:tcPr>
            <w:tcW w:type="dxa" w:w="9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16</w:t>
            </w:r>
          </w:p>
        </w:tc>
        <w:tc>
          <w:tcPr>
            <w:tcW w:type="dxa" w:w="21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comfortable</w:t>
            </w:r>
          </w:p>
        </w:tc>
        <w:tc>
          <w:tcPr>
            <w:tcW w:type="dxa" w:w="22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55.78</w:t>
            </w:r>
          </w:p>
        </w:tc>
        <w:tc>
          <w:tcPr>
            <w:tcW w:type="dxa" w:w="41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Positive fit / comfort</w:t>
            </w:r>
          </w:p>
        </w:tc>
      </w:tr>
    </w:tbl>
    <w:p>
      <w:pPr>
        <w:spacing w:after="0"/>
      </w:pPr>
    </w:p>
    <w:p>
      <w:r>
        <w:br w:type="page"/>
      </w:r>
    </w:p>
    <w:p>
      <w:pPr>
        <w:pStyle w:val="Heading1"/>
      </w:pPr>
      <w:r>
        <w:t>7. Key Findings</w:t>
      </w:r>
    </w:p>
    <w:p>
      <w:pPr>
        <w:spacing w:after="100"/>
      </w:pPr>
      <w:r>
        <w:rPr>
          <w:rFonts w:ascii="Calibri" w:hAnsi="Calibri"/>
          <w:b/>
          <w:i w:val="0"/>
          <w:color w:val="1F4D78"/>
          <w:sz w:val="22"/>
        </w:rPr>
        <w:t xml:space="preserve">Finding 1: </w:t>
      </w:r>
      <w:r>
        <w:rPr>
          <w:rFonts w:ascii="Calibri" w:hAnsi="Calibri"/>
          <w:b w:val="0"/>
          <w:i w:val="0"/>
          <w:color w:val="111827"/>
          <w:sz w:val="22"/>
        </w:rPr>
        <w:t>Removing English stopwords improved the concentration of high-value Chi-square features.</w:t>
      </w:r>
    </w:p>
    <w:p>
      <w:pPr>
        <w:spacing w:after="100"/>
      </w:pPr>
      <w:r>
        <w:rPr>
          <w:rFonts w:ascii="Calibri" w:hAnsi="Calibri"/>
          <w:b/>
          <w:i w:val="0"/>
          <w:color w:val="1F4D78"/>
          <w:sz w:val="22"/>
        </w:rPr>
        <w:t xml:space="preserve">Finding 2: </w:t>
      </w:r>
      <w:r>
        <w:rPr>
          <w:rFonts w:ascii="Calibri" w:hAnsi="Calibri"/>
          <w:b w:val="0"/>
          <w:i w:val="0"/>
          <w:color w:val="111827"/>
          <w:sz w:val="22"/>
        </w:rPr>
        <w:t>Unigrams outperformed the tested unigram-bigram spaces under the chosen relevance criterion.</w:t>
      </w:r>
    </w:p>
    <w:p>
      <w:pPr>
        <w:spacing w:after="100"/>
      </w:pPr>
      <w:r>
        <w:rPr>
          <w:rFonts w:ascii="Calibri" w:hAnsi="Calibri"/>
          <w:b/>
          <w:i w:val="0"/>
          <w:color w:val="1F4D78"/>
          <w:sz w:val="22"/>
        </w:rPr>
        <w:t xml:space="preserve">Finding 3: </w:t>
      </w:r>
      <w:r>
        <w:rPr>
          <w:rFonts w:ascii="Calibri" w:hAnsi="Calibri"/>
          <w:b w:val="0"/>
          <w:i w:val="0"/>
          <w:color w:val="111827"/>
          <w:sz w:val="22"/>
        </w:rPr>
        <w:t>Negative experience and return-related words showed the strongest relationship with recommendation status.</w:t>
      </w:r>
    </w:p>
    <w:p>
      <w:pPr>
        <w:spacing w:after="100"/>
      </w:pPr>
      <w:r>
        <w:rPr>
          <w:rFonts w:ascii="Calibri" w:hAnsi="Calibri"/>
          <w:b/>
          <w:i w:val="0"/>
          <w:color w:val="1F4D78"/>
          <w:sz w:val="22"/>
        </w:rPr>
        <w:t xml:space="preserve">Finding 4: </w:t>
      </w:r>
      <w:r>
        <w:rPr>
          <w:rFonts w:ascii="Calibri" w:hAnsi="Calibri"/>
          <w:b w:val="0"/>
          <w:i w:val="0"/>
          <w:color w:val="111827"/>
          <w:sz w:val="22"/>
        </w:rPr>
        <w:t>Dynamic Chi-square selection substantially reduced feature dimensionality while keeping 80% of cumulative score.</w:t>
      </w:r>
    </w:p>
    <w:p>
      <w:pPr>
        <w:pStyle w:val="Heading1"/>
      </w:pPr>
      <w:r>
        <w:t>8. Limitations</w:t>
      </w:r>
    </w:p>
    <w:p>
      <w:r>
        <w:t>Chi-square scores describe statistical association with Recommended IND, not causation. The target is also imbalanced, with substantially more recommended than non-recommended reviews. Finally, vocabulary counts can change slightly across library and language-resource versions. These limitations do not alter the task outcome, which is a selected text-feature matrix rather than a predictive performance claim.</w:t>
      </w:r>
    </w:p>
    <w:p>
      <w:pPr>
        <w:pStyle w:val="Heading1"/>
      </w:pPr>
      <w:r>
        <w:t>9. Conclusion</w:t>
      </w:r>
    </w:p>
    <w:p>
      <w:r>
        <w:t>The task was completed by transforming cleaned and lemmatized review text into TF-IDF features, testing n-gram and stopword alternatives, and using Chi-square scoring to retain the most informative terms. The selected unigram TF-IDF configuration with English stopword removal produced the strongest top-feature relevance in the verification run. Dynamic selection reduced the vocabulary to a compact, interpretable final matrix. No work outside the requested scope was added.</w:t>
      </w:r>
    </w:p>
    <w:p>
      <w:pPr>
        <w:pStyle w:val="Heading1"/>
      </w:pPr>
      <w:r>
        <w:t>10. Software Used</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Component</w:t>
            </w:r>
          </w:p>
        </w:tc>
        <w:tc>
          <w:tcPr>
            <w:tcW w:type="dxa" w:w="6060"/>
            <w:tcMar>
              <w:top w:w="80" w:type="dxa"/>
              <w:start w:w="120" w:type="dxa"/>
              <w:bottom w:w="80" w:type="dxa"/>
              <w:end w:w="120" w:type="dxa"/>
            </w:tcMar>
            <w:vAlign w:val="center"/>
            <w:shd w:fill="17365D"/>
          </w:tcPr>
          <w:p>
            <w:pPr>
              <w:spacing w:after="0" w:line="240" w:lineRule="auto"/>
            </w:pPr>
            <w:r>
              <w:rPr>
                <w:rFonts w:ascii="Calibri" w:hAnsi="Calibri"/>
                <w:b/>
                <w:i w:val="0"/>
                <w:color w:val="FFFFFF"/>
                <w:sz w:val="19"/>
              </w:rPr>
              <w:t>Purpose</w:t>
            </w:r>
          </w:p>
        </w:tc>
      </w:tr>
      <w:tr>
        <w:trPr>
          <w:cantSplit/>
        </w:trPr>
        <w:tc>
          <w:tcPr>
            <w:tcW w:type="dxa" w:w="3300"/>
            <w:tcMar>
              <w:top w:w="80" w:type="dxa"/>
              <w:start w:w="120" w:type="dxa"/>
              <w:bottom w:w="80" w:type="dxa"/>
              <w:end w:w="120" w:type="dxa"/>
            </w:tcMar>
            <w:vAlign w:val="center"/>
          </w:tcPr>
          <w:p>
            <w:pPr>
              <w:spacing w:after="0" w:line="240" w:lineRule="auto"/>
            </w:pPr>
            <w:r>
              <w:rPr>
                <w:rFonts w:ascii="Calibri" w:hAnsi="Calibri"/>
                <w:b w:val="0"/>
                <w:i w:val="0"/>
                <w:color w:val="111827"/>
                <w:sz w:val="18"/>
              </w:rPr>
              <w:t>Python</w:t>
            </w:r>
          </w:p>
        </w:tc>
        <w:tc>
          <w:tcPr>
            <w:tcW w:type="dxa" w:w="6060"/>
            <w:tcMar>
              <w:top w:w="80" w:type="dxa"/>
              <w:start w:w="120" w:type="dxa"/>
              <w:bottom w:w="80" w:type="dxa"/>
              <w:end w:w="120" w:type="dxa"/>
            </w:tcMar>
            <w:vAlign w:val="center"/>
          </w:tcPr>
          <w:p>
            <w:pPr>
              <w:spacing w:after="0" w:line="240" w:lineRule="auto"/>
            </w:pPr>
            <w:r>
              <w:rPr>
                <w:rFonts w:ascii="Calibri" w:hAnsi="Calibri"/>
                <w:b w:val="0"/>
                <w:i w:val="0"/>
                <w:color w:val="111827"/>
                <w:sz w:val="18"/>
              </w:rPr>
              <w:t>Implementation language</w:t>
            </w:r>
          </w:p>
        </w:tc>
      </w:tr>
      <w:tr>
        <w:trPr>
          <w:cantSplit/>
        </w:trPr>
        <w:tc>
          <w:tcPr>
            <w:tcW w:type="dxa" w:w="33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pandas / NumPy</w:t>
            </w:r>
          </w:p>
        </w:tc>
        <w:tc>
          <w:tcPr>
            <w:tcW w:type="dxa" w:w="60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Dataset handling and numerical operations</w:t>
            </w:r>
          </w:p>
        </w:tc>
      </w:tr>
      <w:tr>
        <w:trPr>
          <w:cantSplit/>
        </w:trPr>
        <w:tc>
          <w:tcPr>
            <w:tcW w:type="dxa" w:w="3300"/>
            <w:tcMar>
              <w:top w:w="80" w:type="dxa"/>
              <w:start w:w="120" w:type="dxa"/>
              <w:bottom w:w="80" w:type="dxa"/>
              <w:end w:w="120" w:type="dxa"/>
            </w:tcMar>
            <w:vAlign w:val="center"/>
          </w:tcPr>
          <w:p>
            <w:pPr>
              <w:spacing w:after="0" w:line="240" w:lineRule="auto"/>
            </w:pPr>
            <w:r>
              <w:rPr>
                <w:rFonts w:ascii="Calibri" w:hAnsi="Calibri"/>
                <w:b w:val="0"/>
                <w:i w:val="0"/>
                <w:color w:val="111827"/>
                <w:sz w:val="18"/>
              </w:rPr>
              <w:t>re</w:t>
            </w:r>
          </w:p>
        </w:tc>
        <w:tc>
          <w:tcPr>
            <w:tcW w:type="dxa" w:w="6060"/>
            <w:tcMar>
              <w:top w:w="80" w:type="dxa"/>
              <w:start w:w="120" w:type="dxa"/>
              <w:bottom w:w="80" w:type="dxa"/>
              <w:end w:w="120" w:type="dxa"/>
            </w:tcMar>
            <w:vAlign w:val="center"/>
          </w:tcPr>
          <w:p>
            <w:pPr>
              <w:spacing w:after="0" w:line="240" w:lineRule="auto"/>
            </w:pPr>
            <w:r>
              <w:rPr>
                <w:rFonts w:ascii="Calibri" w:hAnsi="Calibri"/>
                <w:b w:val="0"/>
                <w:i w:val="0"/>
                <w:color w:val="111827"/>
                <w:sz w:val="18"/>
              </w:rPr>
              <w:t>Text normalization using regular expressions</w:t>
            </w:r>
          </w:p>
        </w:tc>
      </w:tr>
      <w:tr>
        <w:trPr>
          <w:cantSplit/>
        </w:trPr>
        <w:tc>
          <w:tcPr>
            <w:tcW w:type="dxa" w:w="33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NLTK WordNetLemmatizer</w:t>
            </w:r>
          </w:p>
        </w:tc>
        <w:tc>
          <w:tcPr>
            <w:tcW w:type="dxa" w:w="60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Lemmatization</w:t>
            </w:r>
          </w:p>
        </w:tc>
      </w:tr>
      <w:tr>
        <w:trPr>
          <w:cantSplit/>
        </w:trPr>
        <w:tc>
          <w:tcPr>
            <w:tcW w:type="dxa" w:w="3300"/>
            <w:tcMar>
              <w:top w:w="80" w:type="dxa"/>
              <w:start w:w="120" w:type="dxa"/>
              <w:bottom w:w="80" w:type="dxa"/>
              <w:end w:w="120" w:type="dxa"/>
            </w:tcMar>
            <w:vAlign w:val="center"/>
          </w:tcPr>
          <w:p>
            <w:pPr>
              <w:spacing w:after="0" w:line="240" w:lineRule="auto"/>
            </w:pPr>
            <w:r>
              <w:rPr>
                <w:rFonts w:ascii="Calibri" w:hAnsi="Calibri"/>
                <w:b w:val="0"/>
                <w:i w:val="0"/>
                <w:color w:val="111827"/>
                <w:sz w:val="18"/>
              </w:rPr>
              <w:t>scikit-learn TfidfVectorizer</w:t>
            </w:r>
          </w:p>
        </w:tc>
        <w:tc>
          <w:tcPr>
            <w:tcW w:type="dxa" w:w="6060"/>
            <w:tcMar>
              <w:top w:w="80" w:type="dxa"/>
              <w:start w:w="120" w:type="dxa"/>
              <w:bottom w:w="80" w:type="dxa"/>
              <w:end w:w="120" w:type="dxa"/>
            </w:tcMar>
            <w:vAlign w:val="center"/>
          </w:tcPr>
          <w:p>
            <w:pPr>
              <w:spacing w:after="0" w:line="240" w:lineRule="auto"/>
            </w:pPr>
            <w:r>
              <w:rPr>
                <w:rFonts w:ascii="Calibri" w:hAnsi="Calibri"/>
                <w:b w:val="0"/>
                <w:i w:val="0"/>
                <w:color w:val="111827"/>
                <w:sz w:val="18"/>
              </w:rPr>
              <w:t>TF-IDF and n-gram feature generation</w:t>
            </w:r>
          </w:p>
        </w:tc>
      </w:tr>
      <w:tr>
        <w:trPr>
          <w:cantSplit/>
        </w:trPr>
        <w:tc>
          <w:tcPr>
            <w:tcW w:type="dxa" w:w="330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scikit-learn chi2 / SelectKBest</w:t>
            </w:r>
          </w:p>
        </w:tc>
        <w:tc>
          <w:tcPr>
            <w:tcW w:type="dxa" w:w="6060"/>
            <w:shd w:fill="F2F4F7"/>
            <w:tcMar>
              <w:top w:w="80" w:type="dxa"/>
              <w:start w:w="120" w:type="dxa"/>
              <w:bottom w:w="80" w:type="dxa"/>
              <w:end w:w="120" w:type="dxa"/>
            </w:tcMar>
            <w:vAlign w:val="center"/>
          </w:tcPr>
          <w:p>
            <w:pPr>
              <w:spacing w:after="0" w:line="240" w:lineRule="auto"/>
            </w:pPr>
            <w:r>
              <w:rPr>
                <w:rFonts w:ascii="Calibri" w:hAnsi="Calibri"/>
                <w:b w:val="0"/>
                <w:i w:val="0"/>
                <w:color w:val="111827"/>
                <w:sz w:val="18"/>
              </w:rPr>
              <w:t>Feature scoring and selection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WOMEN'S CLOTHING | TEXT FEATURE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 TF-IDF Project Report</dc:title>
  <dc:subject>Review text vectorization and Chi-square feature selection</dc:subject>
  <dc:creator>Harsh Panchal</dc:creator>
  <cp:keywords>TF-IDF, n-grams, stopwords, lemmatization, chi-square, women clothing reviews</cp:keywords>
  <dc:description>generated by python-docx</dc:description>
  <cp:lastModifiedBy/>
  <cp:revision>1</cp:revision>
  <dcterms:created xsi:type="dcterms:W3CDTF">2013-12-23T23:15:00Z</dcterms:created>
  <dcterms:modified xsi:type="dcterms:W3CDTF">2013-12-23T23:15:00Z</dcterms:modified>
  <cp:category/>
</cp:coreProperties>
</file>