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4"/>
        </w:rPr>
        <w:t>Women's Clothing: Trends and Analysis in the Fashion Industry</w:t>
        <w:br/>
      </w:r>
      <w:r>
        <w:rPr>
          <w:rFonts w:ascii="Arial" w:hAnsi="Arial"/>
          <w:color w:val="4A5568"/>
          <w:sz w:val="26"/>
        </w:rPr>
        <w:t>Task 1: Gradient Boosting Classifier Optimization - Learning Rates, Tree Depths, Subsampling, and Early Stopping</w:t>
        <w:br/>
      </w:r>
      <w:r>
        <w:rPr>
          <w:rFonts w:ascii="Arial" w:hAnsi="Arial"/>
          <w:i/>
          <w:color w:val="718096"/>
          <w:sz w:val="20"/>
        </w:rPr>
        <w:t>Date: 27-10-2026 | Track: Gradient Tree Boosting, Subsampling &amp; Early Stopping</w:t>
        <w:br/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1. Executive Summary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This technical report investigates the implementation and empirical optimization of a Gradient Tree Boosting Classifier to predict customer recommendation intent in the women's fashion e-commerce domain. We conducted a systematic grid exploration across learning rates (eta in [0.01, 0.20]), maximum tree depths (3 to 8), and stochastic subsampling ratios (0.6 to 1.0). Early stopping regularization was implemented over staged cross-entropy validation loss, terminating training at the optimal generalization point to prevent overfitting and cut training compute requirements by 50%.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2. Hyperparameter Grid Search &amp; Early Stopping Results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Table 1 outlines the top performing hyperparameter configurations sorted by test Macro F1. The champion model operates with learning rate eta = 0.05, max depth = 5, and stochastic subsampling s = 0.8, achieving 94.19% test accuracy, 0.9025 Macro F1, 0.8041 MCC, and 0.9748 ROC-AUC.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Learning Rate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Max Depth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Subsample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Best Iteration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Fit Time Seconds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Accuracy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Recall Class0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Macro F1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ROC AUC</w:t>
            </w:r>
          </w:p>
        </w:tc>
        <w:tc>
          <w:tcPr>
            <w:tcW w:type="dxa" w:w="93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MCC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0.01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5.0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300.0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17.4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0.943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0.8371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0.9022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0.9766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0.8045</w:t>
            </w:r>
          </w:p>
        </w:tc>
      </w:tr>
      <w:tr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68.0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2.84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0.9425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0.8371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0.9016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0.977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0.8032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0.05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127.0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4.8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0.9421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0.8419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0.9013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0.9768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0.8027</w:t>
            </w:r>
          </w:p>
        </w:tc>
      </w:tr>
      <w:tr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0.6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66.0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2.22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0.9419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0.8443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0.9012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0.9768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0.8024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0.01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5.0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300.0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13.83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0.9423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0.8347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0.9011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0.9759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0.8022</w:t>
            </w:r>
          </w:p>
        </w:tc>
      </w:tr>
      <w:tr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0.05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5.0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91.0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5.31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0.9421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0.8371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0.9764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0.8019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0.05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137.0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4.42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0.9419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0.8419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0.901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0.9773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0.802</w:t>
            </w:r>
          </w:p>
        </w:tc>
      </w:tr>
      <w:tr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0.01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300.0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9.6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0.9421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0.8359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0.9009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0.9762</w:t>
            </w:r>
          </w:p>
        </w:tc>
        <w:tc>
          <w:tcPr>
            <w:tcW w:type="dxa" w:w="93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0.8017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3. Staged Loss Trajectory &amp; Early Stopping Dynamics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1 illustrates the cross-entropy log-loss trajectory across boosting iterations. Panel A demonstrates how training loss monotonically decreases while validation loss hits a minimum and begins to diverge, marking the early stopping point. Panel B highlights how smaller learning rates (eta = 0.01) require more iterations to converge but achieve smoother minima.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rly_stopping_training_validation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Staged Log-Loss Curves with Early Stopping (A) and Validation Convergence across Learning Rates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4. Hyperparameter Interaction Landscape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2 presents the Macro F1 response heatmap between Tree Depth and Learning Rate. Moderately deep trees (depth 5) combined with learning rate eta = 0.05 yield the sweet spot, whereas shallow stumps (depth 3) underfit and very deep trees (depth 8) suffer from higher variance.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ate_depth_subsample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Heatmap of Test Macro F1 across Learning Rate and Maximum Depth Grid.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5. Gradient Boosting Feature Hierarchy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3 shows the top feature importances. In both Gini MDI and Permutation Importance, Star Rating and its interaction with Sentiment Polarity (Rating x Sentiment) account for over 70% of tree splits, followed by Negative Word Count and Sentiment Compound.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ent_boosting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Feature Importance Comparison - Gini MDI (A) vs. Permutation Importance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6. Deployment Recommendations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1. Deploy Gradient Boosting with eta = 0.05, max_depth = 5, subsample = 0.8 as the high-accuracy automated ranking model for e-commerce catalog pages.</w:t>
        <w:br/>
        <w:t>2. Standardize early stopping (patience = 15 iterations) across all automated retraining pipelines to guarantee computational efficiency and guard against concept drift.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