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b/>
          <w:color w:val="B7791F"/>
          <w:sz w:val="22"/>
        </w:rPr>
        <w:t>DATA ANALYSIS PROJECT REPORT</w:t>
      </w:r>
    </w:p>
    <w:p>
      <w:pPr>
        <w:spacing w:after="60"/>
        <w:jc w:val="center"/>
      </w:pPr>
      <w:r>
        <w:rPr>
          <w:b/>
          <w:color w:val="17365D"/>
          <w:sz w:val="60"/>
        </w:rPr>
        <w:t>Women's Clothing</w:t>
      </w:r>
    </w:p>
    <w:p>
      <w:pPr>
        <w:spacing w:after="360"/>
        <w:jc w:val="center"/>
      </w:pPr>
      <w:r>
        <w:rPr>
          <w:color w:val="2E74B5"/>
          <w:sz w:val="30"/>
        </w:rPr>
        <w:t>Trends and Analysis in the Fashion Industry</w:t>
      </w:r>
    </w:p>
    <w:p>
      <w:pPr>
        <w:spacing w:after="1440"/>
        <w:jc w:val="center"/>
      </w:pPr>
      <w:r>
        <w:rPr>
          <w:i/>
          <w:color w:val="667085"/>
          <w:sz w:val="26"/>
        </w:rPr>
        <w:t>Univariate Analysis of Numerical Features</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E8F1F8"/>
            <w:tcMar>
              <w:top w:w="80" w:type="dxa"/>
              <w:start w:w="120" w:type="dxa"/>
              <w:bottom w:w="80" w:type="dxa"/>
              <w:end w:w="120" w:type="dxa"/>
            </w:tcMar>
            <w:vAlign w:val="center"/>
          </w:tcPr>
          <w:p>
            <w:pPr>
              <w:spacing w:before="0" w:after="40" w:line="240" w:lineRule="auto"/>
            </w:pPr>
            <w:r>
              <w:rPr>
                <w:rFonts w:ascii="Calibri" w:hAnsi="Calibri"/>
                <w:b/>
              </w:rPr>
              <w:t>Prepared by</w:t>
            </w:r>
          </w:p>
        </w:tc>
        <w:tc>
          <w:tcPr>
            <w:tcW w:type="dxa" w:w="6960"/>
            <w:tcMar>
              <w:top w:w="80" w:type="dxa"/>
              <w:start w:w="120" w:type="dxa"/>
              <w:bottom w:w="80" w:type="dxa"/>
              <w:end w:w="120" w:type="dxa"/>
            </w:tcMar>
            <w:vAlign w:val="center"/>
          </w:tcPr>
          <w:p>
            <w:pPr>
              <w:spacing w:before="0" w:after="40" w:line="240" w:lineRule="auto"/>
            </w:pPr>
            <w:r>
              <w:rPr>
                <w:rFonts w:ascii="Calibri" w:hAnsi="Calibri"/>
              </w:rPr>
              <w:t>Harsh Panchal</w:t>
            </w:r>
          </w:p>
        </w:tc>
      </w:tr>
      <w:tr>
        <w:tc>
          <w:tcPr>
            <w:tcW w:type="dxa" w:w="2400"/>
            <w:shd w:fill="E8F1F8"/>
            <w:tcMar>
              <w:top w:w="80" w:type="dxa"/>
              <w:start w:w="120" w:type="dxa"/>
              <w:bottom w:w="80" w:type="dxa"/>
              <w:end w:w="120" w:type="dxa"/>
            </w:tcMar>
            <w:vAlign w:val="center"/>
          </w:tcPr>
          <w:p>
            <w:pPr>
              <w:spacing w:before="0" w:after="40" w:line="240" w:lineRule="auto"/>
            </w:pPr>
            <w:r>
              <w:rPr>
                <w:rFonts w:ascii="Calibri" w:hAnsi="Calibri"/>
                <w:b/>
                <w:sz w:val="20"/>
              </w:rPr>
              <w:t>Dataset</w:t>
            </w:r>
          </w:p>
        </w:tc>
        <w:tc>
          <w:tcPr>
            <w:tcW w:type="dxa" w:w="6960"/>
            <w:tcMar>
              <w:top w:w="80" w:type="dxa"/>
              <w:start w:w="120" w:type="dxa"/>
              <w:bottom w:w="80" w:type="dxa"/>
              <w:end w:w="120" w:type="dxa"/>
            </w:tcMar>
            <w:vAlign w:val="center"/>
          </w:tcPr>
          <w:p>
            <w:pPr>
              <w:spacing w:before="0" w:after="40" w:line="240" w:lineRule="auto"/>
            </w:pPr>
            <w:r>
              <w:rPr>
                <w:rFonts w:ascii="Calibri" w:hAnsi="Calibri"/>
                <w:sz w:val="20"/>
              </w:rPr>
              <w:t>Women's Clothing E-Commerce Reviews</w:t>
            </w:r>
          </w:p>
        </w:tc>
      </w:tr>
      <w:tr>
        <w:tc>
          <w:tcPr>
            <w:tcW w:type="dxa" w:w="2400"/>
            <w:shd w:fill="F2F4F7"/>
            <w:tcMar>
              <w:top w:w="80" w:type="dxa"/>
              <w:start w:w="120" w:type="dxa"/>
              <w:bottom w:w="80" w:type="dxa"/>
              <w:end w:w="120" w:type="dxa"/>
            </w:tcMar>
            <w:vAlign w:val="center"/>
          </w:tcPr>
          <w:p>
            <w:pPr>
              <w:spacing w:before="0" w:after="40" w:line="240" w:lineRule="auto"/>
            </w:pPr>
            <w:r>
              <w:rPr>
                <w:rFonts w:ascii="Calibri" w:hAnsi="Calibri"/>
                <w:b/>
                <w:sz w:val="20"/>
              </w:rPr>
              <w:t>Analysis scope</w:t>
            </w:r>
          </w:p>
        </w:tc>
        <w:tc>
          <w:tcPr>
            <w:tcW w:type="dxa" w:w="6960"/>
            <w:tcMar>
              <w:top w:w="80" w:type="dxa"/>
              <w:start w:w="120" w:type="dxa"/>
              <w:bottom w:w="80" w:type="dxa"/>
              <w:end w:w="120" w:type="dxa"/>
            </w:tcMar>
            <w:vAlign w:val="center"/>
            <w:shd w:fill="F2F4F7"/>
          </w:tcPr>
          <w:p>
            <w:pPr>
              <w:spacing w:before="0" w:after="40" w:line="240" w:lineRule="auto"/>
            </w:pPr>
            <w:r>
              <w:rPr>
                <w:rFonts w:ascii="Calibri" w:hAnsi="Calibri"/>
                <w:sz w:val="20"/>
              </w:rPr>
              <w:t>Histogram, Boxplot, KDE, Skewness, Kurtosis and Transformation</w:t>
            </w:r>
          </w:p>
        </w:tc>
      </w:tr>
    </w:tbl>
    <w:p>
      <w:pPr>
        <w:spacing w:before="680"/>
        <w:jc w:val="center"/>
      </w:pPr>
      <w:r>
        <w:rPr>
          <w:color w:val="667085"/>
          <w:sz w:val="20"/>
        </w:rPr>
        <w:t>August 2026</w:t>
      </w:r>
    </w:p>
    <w:p>
      <w:r>
        <w:br w:type="page"/>
      </w:r>
    </w:p>
    <w:p>
      <w:pPr>
        <w:pStyle w:val="Heading1"/>
        <w:keepNext/>
      </w:pPr>
      <w:r>
        <w:t>Executive Summary</w:t>
      </w:r>
    </w:p>
    <w:p>
      <w:pPr>
        <w:keepLines w:val="0"/>
      </w:pPr>
      <w:r>
        <w:t>This report presents a univariate analysis of the numerical features in the Women's Clothing E-Commerce Reviews dataset. The analysis uses custom visualization and statistical functions to study each variable independently through histograms, boxplots, kernel density estimation (KDE), skewness, kurtosis, and IQR-based potential outlier detection.</w:t>
      </w:r>
    </w:p>
    <w:p>
      <w:pPr>
        <w:keepLines w:val="0"/>
      </w:pPr>
      <w:r>
        <w:t>The dataset contains 23,486 observations and 11 original columns. After excluding the saved index, the identifier field, and the binary recommendation indicator, three numerical features were selected: Age, Rating, and Positive Feedback Count. The results show mild positive skew in Age, strong negative skew in Rating because most customers gave high scores, and extreme positive skew in Positive Feedback Count. A log1p transformation reduced feedback skewness from 6.4730 to 1.0872.</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1F8"/>
          </w:tcPr>
          <w:p>
            <w:pPr>
              <w:spacing w:before="80" w:after="80"/>
            </w:pPr>
            <w:r>
              <w:rPr>
                <w:b/>
                <w:color w:val="17365D"/>
              </w:rPr>
              <w:t xml:space="preserve">Main conclusion: </w:t>
            </w:r>
            <w:r>
              <w:t>Age can remain unchanged, Rating should remain in its original ordinal scale, and Positive Feedback Count should use the added log1p feature when a model benefits from reduced skewness.</w:t>
            </w:r>
          </w:p>
        </w:tc>
      </w:tr>
    </w:tbl>
    <w:p>
      <w:pPr>
        <w:spacing w:after="0"/>
      </w:pPr>
    </w:p>
    <w:p>
      <w:pPr>
        <w:pStyle w:val="Heading1"/>
        <w:keepNext/>
      </w:pPr>
      <w:r>
        <w:t>1. Project Introduction</w:t>
      </w:r>
    </w:p>
    <w:p>
      <w:pPr>
        <w:keepLines w:val="0"/>
      </w:pPr>
      <w:r>
        <w:t>Fashion e-commerce platforms generate numerical and textual customer-review data. Before modeling or advanced analysis, the distribution of each numerical feature must be understood. Univariate analysis reveals central tendency, spread, asymmetry, tail behaviour, and potential extreme values. These properties influence the selection of transformations and the interpretation of later statistical or machine-learning results.</w:t>
      </w:r>
    </w:p>
    <w:p>
      <w:pPr>
        <w:pStyle w:val="Heading1"/>
        <w:keepNext/>
      </w:pPr>
      <w:r>
        <w:t>2. Objectives</w:t>
      </w:r>
    </w:p>
    <w:tbl>
      <w:tblPr>
        <w:tblStyle w:val="TableGrid"/>
        <w:tblW w:type="dxa" w:w="9360"/>
        <w:jc w:val="left"/>
        <w:tblLayout w:type="fixed"/>
        <w:tblLook w:firstColumn="1" w:firstRow="1" w:lastColumn="0" w:lastRow="0" w:noHBand="0" w:noVBand="1" w:val="04A0"/>
        <w:tblInd w:w="120" w:type="dxa"/>
      </w:tblPr>
      <w:tblGrid>
        <w:gridCol w:w="720"/>
        <w:gridCol w:w="8640"/>
      </w:tblGrid>
      <w:tr>
        <w:tc>
          <w:tcPr>
            <w:tcW w:type="dxa" w:w="720"/>
            <w:shd w:fill="E8F1F8"/>
            <w:tcMar>
              <w:top w:w="80" w:type="dxa"/>
              <w:start w:w="120" w:type="dxa"/>
              <w:bottom w:w="80" w:type="dxa"/>
              <w:end w:w="120" w:type="dxa"/>
            </w:tcMar>
            <w:vAlign w:val="center"/>
          </w:tcPr>
          <w:p>
            <w:pPr>
              <w:spacing w:before="0" w:after="40" w:line="240" w:lineRule="auto"/>
              <w:jc w:val="center"/>
            </w:pPr>
            <w:r>
              <w:rPr>
                <w:rFonts w:ascii="Calibri" w:hAnsi="Calibri"/>
                <w:b/>
              </w:rPr>
              <w:t>1</w:t>
            </w:r>
          </w:p>
        </w:tc>
        <w:tc>
          <w:tcPr>
            <w:tcW w:type="dxa" w:w="8640"/>
            <w:tcMar>
              <w:top w:w="80" w:type="dxa"/>
              <w:start w:w="120" w:type="dxa"/>
              <w:bottom w:w="80" w:type="dxa"/>
              <w:end w:w="120" w:type="dxa"/>
            </w:tcMar>
            <w:vAlign w:val="center"/>
          </w:tcPr>
          <w:p>
            <w:pPr>
              <w:spacing w:before="0" w:after="40" w:line="240" w:lineRule="auto"/>
            </w:pPr>
            <w:r>
              <w:rPr>
                <w:rFonts w:ascii="Calibri" w:hAnsi="Calibri"/>
              </w:rPr>
              <w:t>Automatically identify valid numerical features for distribution analysis.</w:t>
            </w:r>
          </w:p>
        </w:tc>
      </w:tr>
      <w:tr>
        <w:tc>
          <w:tcPr>
            <w:tcW w:type="dxa" w:w="720"/>
            <w:shd w:fill="E8F1F8"/>
            <w:tcMar>
              <w:top w:w="80" w:type="dxa"/>
              <w:start w:w="120" w:type="dxa"/>
              <w:bottom w:w="80" w:type="dxa"/>
              <w:end w:w="120" w:type="dxa"/>
            </w:tcMar>
            <w:vAlign w:val="center"/>
          </w:tcPr>
          <w:p>
            <w:pPr>
              <w:spacing w:before="0" w:after="40" w:line="240" w:lineRule="auto"/>
              <w:jc w:val="center"/>
            </w:pPr>
            <w:r>
              <w:rPr>
                <w:rFonts w:ascii="Calibri" w:hAnsi="Calibri"/>
                <w:b/>
                <w:sz w:val="20"/>
              </w:rPr>
              <w:t>2</w:t>
            </w:r>
          </w:p>
        </w:tc>
        <w:tc>
          <w:tcPr>
            <w:tcW w:type="dxa" w:w="8640"/>
            <w:tcMar>
              <w:top w:w="80" w:type="dxa"/>
              <w:start w:w="120" w:type="dxa"/>
              <w:bottom w:w="80" w:type="dxa"/>
              <w:end w:w="120" w:type="dxa"/>
            </w:tcMar>
            <w:vAlign w:val="center"/>
          </w:tcPr>
          <w:p>
            <w:pPr>
              <w:spacing w:before="0" w:after="40" w:line="240" w:lineRule="auto"/>
            </w:pPr>
            <w:r>
              <w:rPr>
                <w:rFonts w:ascii="Calibri" w:hAnsi="Calibri"/>
                <w:sz w:val="20"/>
              </w:rPr>
              <w:t>Implement reusable functions for histograms, boxplots, and KDE plots.</w:t>
            </w:r>
          </w:p>
        </w:tc>
      </w:tr>
      <w:tr>
        <w:tc>
          <w:tcPr>
            <w:tcW w:type="dxa" w:w="720"/>
            <w:shd w:fill="F2F4F7"/>
            <w:tcMar>
              <w:top w:w="80" w:type="dxa"/>
              <w:start w:w="120" w:type="dxa"/>
              <w:bottom w:w="80" w:type="dxa"/>
              <w:end w:w="120" w:type="dxa"/>
            </w:tcMar>
            <w:vAlign w:val="center"/>
          </w:tcPr>
          <w:p>
            <w:pPr>
              <w:spacing w:before="0" w:after="40" w:line="240" w:lineRule="auto"/>
              <w:jc w:val="center"/>
            </w:pPr>
            <w:r>
              <w:rPr>
                <w:rFonts w:ascii="Calibri" w:hAnsi="Calibri"/>
                <w:b/>
                <w:sz w:val="20"/>
              </w:rPr>
              <w:t>3</w:t>
            </w:r>
          </w:p>
        </w:tc>
        <w:tc>
          <w:tcPr>
            <w:tcW w:type="dxa" w:w="8640"/>
            <w:tcMar>
              <w:top w:w="80" w:type="dxa"/>
              <w:start w:w="120" w:type="dxa"/>
              <w:bottom w:w="80" w:type="dxa"/>
              <w:end w:w="120" w:type="dxa"/>
            </w:tcMar>
            <w:vAlign w:val="center"/>
            <w:shd w:fill="F2F4F7"/>
          </w:tcPr>
          <w:p>
            <w:pPr>
              <w:spacing w:before="0" w:after="40" w:line="240" w:lineRule="auto"/>
            </w:pPr>
            <w:r>
              <w:rPr>
                <w:rFonts w:ascii="Calibri" w:hAnsi="Calibri"/>
                <w:sz w:val="20"/>
              </w:rPr>
              <w:t>Calculate descriptive statistics, skewness, kurtosis, and IQR outliers.</w:t>
            </w:r>
          </w:p>
        </w:tc>
      </w:tr>
      <w:tr>
        <w:tc>
          <w:tcPr>
            <w:tcW w:type="dxa" w:w="720"/>
            <w:shd w:fill="E8F1F8"/>
            <w:tcMar>
              <w:top w:w="80" w:type="dxa"/>
              <w:start w:w="120" w:type="dxa"/>
              <w:bottom w:w="80" w:type="dxa"/>
              <w:end w:w="120" w:type="dxa"/>
            </w:tcMar>
            <w:vAlign w:val="center"/>
          </w:tcPr>
          <w:p>
            <w:pPr>
              <w:spacing w:before="0" w:after="40" w:line="240" w:lineRule="auto"/>
              <w:jc w:val="center"/>
            </w:pPr>
            <w:r>
              <w:rPr>
                <w:rFonts w:ascii="Calibri" w:hAnsi="Calibri"/>
                <w:b/>
                <w:sz w:val="20"/>
              </w:rPr>
              <w:t>4</w:t>
            </w:r>
          </w:p>
        </w:tc>
        <w:tc>
          <w:tcPr>
            <w:tcW w:type="dxa" w:w="8640"/>
            <w:tcMar>
              <w:top w:w="80" w:type="dxa"/>
              <w:start w:w="120" w:type="dxa"/>
              <w:bottom w:w="80" w:type="dxa"/>
              <w:end w:w="120" w:type="dxa"/>
            </w:tcMar>
            <w:vAlign w:val="center"/>
          </w:tcPr>
          <w:p>
            <w:pPr>
              <w:spacing w:before="0" w:after="40" w:line="240" w:lineRule="auto"/>
            </w:pPr>
            <w:r>
              <w:rPr>
                <w:rFonts w:ascii="Calibri" w:hAnsi="Calibri"/>
                <w:sz w:val="20"/>
              </w:rPr>
              <w:t>Interpret the distribution of each selected numerical column.</w:t>
            </w:r>
          </w:p>
        </w:tc>
      </w:tr>
      <w:tr>
        <w:tc>
          <w:tcPr>
            <w:tcW w:type="dxa" w:w="720"/>
            <w:shd w:fill="F2F4F7"/>
            <w:tcMar>
              <w:top w:w="80" w:type="dxa"/>
              <w:start w:w="120" w:type="dxa"/>
              <w:bottom w:w="80" w:type="dxa"/>
              <w:end w:w="120" w:type="dxa"/>
            </w:tcMar>
            <w:vAlign w:val="center"/>
          </w:tcPr>
          <w:p>
            <w:pPr>
              <w:spacing w:before="0" w:after="40" w:line="240" w:lineRule="auto"/>
              <w:jc w:val="center"/>
            </w:pPr>
            <w:r>
              <w:rPr>
                <w:rFonts w:ascii="Calibri" w:hAnsi="Calibri"/>
                <w:b/>
                <w:sz w:val="20"/>
              </w:rPr>
              <w:t>5</w:t>
            </w:r>
          </w:p>
        </w:tc>
        <w:tc>
          <w:tcPr>
            <w:tcW w:type="dxa" w:w="8640"/>
            <w:tcMar>
              <w:top w:w="80" w:type="dxa"/>
              <w:start w:w="120" w:type="dxa"/>
              <w:bottom w:w="80" w:type="dxa"/>
              <w:end w:w="120" w:type="dxa"/>
            </w:tcMar>
            <w:vAlign w:val="center"/>
            <w:shd w:fill="F2F4F7"/>
          </w:tcPr>
          <w:p>
            <w:pPr>
              <w:spacing w:before="0" w:after="40" w:line="240" w:lineRule="auto"/>
            </w:pPr>
            <w:r>
              <w:rPr>
                <w:rFonts w:ascii="Calibri" w:hAnsi="Calibri"/>
                <w:sz w:val="20"/>
              </w:rPr>
              <w:t>Identify and evaluate a suitable transformation where required.</w:t>
            </w:r>
          </w:p>
        </w:tc>
      </w:tr>
    </w:tbl>
    <w:p>
      <w:r>
        <w:br w:type="page"/>
      </w:r>
    </w:p>
    <w:p>
      <w:pPr>
        <w:pStyle w:val="Heading1"/>
        <w:keepNext/>
      </w:pPr>
      <w:r>
        <w:t>3. Dataset Overview</w:t>
      </w:r>
    </w:p>
    <w:tbl>
      <w:tblPr>
        <w:tblStyle w:val="TableGrid"/>
        <w:tblW w:type="dxa" w:w="9360"/>
        <w:jc w:val="left"/>
        <w:tblLayout w:type="fixed"/>
        <w:tblLook w:firstColumn="1" w:firstRow="1" w:lastColumn="0" w:lastRow="0" w:noHBand="0" w:noVBand="1" w:val="04A0"/>
        <w:tblInd w:w="120" w:type="dxa"/>
      </w:tblPr>
      <w:tblGrid>
        <w:gridCol w:w="1800"/>
        <w:gridCol w:w="1800"/>
        <w:gridCol w:w="2880"/>
        <w:gridCol w:w="2880"/>
      </w:tblGrid>
      <w:tr>
        <w:trPr>
          <w:tblHeader w:val="true"/>
        </w:trPr>
        <w:tc>
          <w:tcPr>
            <w:tcW w:type="dxa" w:w="180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Rows</w:t>
            </w:r>
          </w:p>
        </w:tc>
        <w:tc>
          <w:tcPr>
            <w:tcW w:type="dxa" w:w="180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Original columns</w:t>
            </w:r>
          </w:p>
        </w:tc>
        <w:tc>
          <w:tcPr>
            <w:tcW w:type="dxa" w:w="288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Selected numerical columns</w:t>
            </w:r>
          </w:p>
        </w:tc>
        <w:tc>
          <w:tcPr>
            <w:tcW w:type="dxa" w:w="288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Missing values in selected columns</w:t>
            </w:r>
          </w:p>
        </w:tc>
      </w:tr>
      <w:tr>
        <w:tc>
          <w:tcPr>
            <w:tcW w:type="dxa" w:w="1800"/>
            <w:tcMar>
              <w:top w:w="80" w:type="dxa"/>
              <w:start w:w="120" w:type="dxa"/>
              <w:bottom w:w="80" w:type="dxa"/>
              <w:end w:w="120" w:type="dxa"/>
            </w:tcMar>
            <w:vAlign w:val="center"/>
          </w:tcPr>
          <w:p>
            <w:pPr>
              <w:spacing w:before="0" w:after="40" w:line="240" w:lineRule="auto"/>
              <w:jc w:val="center"/>
            </w:pPr>
            <w:r>
              <w:rPr>
                <w:rFonts w:ascii="Calibri" w:hAnsi="Calibri"/>
                <w:sz w:val="18"/>
              </w:rPr>
              <w:t>23,486</w:t>
            </w:r>
          </w:p>
        </w:tc>
        <w:tc>
          <w:tcPr>
            <w:tcW w:type="dxa" w:w="1800"/>
            <w:tcMar>
              <w:top w:w="80" w:type="dxa"/>
              <w:start w:w="120" w:type="dxa"/>
              <w:bottom w:w="80" w:type="dxa"/>
              <w:end w:w="120" w:type="dxa"/>
            </w:tcMar>
            <w:vAlign w:val="center"/>
          </w:tcPr>
          <w:p>
            <w:pPr>
              <w:spacing w:before="0" w:after="40" w:line="240" w:lineRule="auto"/>
              <w:jc w:val="center"/>
            </w:pPr>
            <w:r>
              <w:rPr>
                <w:rFonts w:ascii="Calibri" w:hAnsi="Calibri"/>
                <w:sz w:val="18"/>
              </w:rPr>
              <w:t>11</w:t>
            </w:r>
          </w:p>
        </w:tc>
        <w:tc>
          <w:tcPr>
            <w:tcW w:type="dxa" w:w="2880"/>
            <w:tcMar>
              <w:top w:w="80" w:type="dxa"/>
              <w:start w:w="120" w:type="dxa"/>
              <w:bottom w:w="80" w:type="dxa"/>
              <w:end w:w="120" w:type="dxa"/>
            </w:tcMar>
            <w:vAlign w:val="center"/>
          </w:tcPr>
          <w:p>
            <w:pPr>
              <w:spacing w:before="0" w:after="40" w:line="240" w:lineRule="auto"/>
              <w:jc w:val="center"/>
            </w:pPr>
            <w:r>
              <w:rPr>
                <w:rFonts w:ascii="Calibri" w:hAnsi="Calibri"/>
                <w:sz w:val="18"/>
              </w:rPr>
              <w:t>3</w:t>
            </w:r>
          </w:p>
        </w:tc>
        <w:tc>
          <w:tcPr>
            <w:tcW w:type="dxa" w:w="2880"/>
            <w:tcMar>
              <w:top w:w="80" w:type="dxa"/>
              <w:start w:w="120" w:type="dxa"/>
              <w:bottom w:w="80" w:type="dxa"/>
              <w:end w:w="120" w:type="dxa"/>
            </w:tcMar>
            <w:vAlign w:val="center"/>
          </w:tcPr>
          <w:p>
            <w:pPr>
              <w:spacing w:before="0" w:after="40" w:line="240" w:lineRule="auto"/>
              <w:jc w:val="center"/>
            </w:pPr>
            <w:r>
              <w:rPr>
                <w:rFonts w:ascii="Calibri" w:hAnsi="Calibri"/>
                <w:sz w:val="18"/>
              </w:rPr>
              <w:t>0</w:t>
            </w:r>
          </w:p>
        </w:tc>
      </w:tr>
    </w:tbl>
    <w:p>
      <w:pPr>
        <w:keepLines w:val="0"/>
      </w:pPr>
      <w:r>
        <w:t>Clothing ID was excluded because it identifies products rather than measuring a continuous characteristic. Recommended IND was excluded because it contains only 0 and 1 and is therefore binary categorical data. The Unnamed: 0 field was removed because it was only a saved row index.</w:t>
      </w:r>
    </w:p>
    <w:p>
      <w:pPr>
        <w:pStyle w:val="Heading1"/>
        <w:keepNext/>
      </w:pPr>
      <w:r>
        <w:t>4. Methodology</w:t>
      </w:r>
    </w:p>
    <w:tbl>
      <w:tblPr>
        <w:tblStyle w:val="TableGrid"/>
        <w:tblW w:type="dxa" w:w="9360"/>
        <w:jc w:val="left"/>
        <w:tblLayout w:type="fixed"/>
        <w:tblLook w:firstColumn="1" w:firstRow="1" w:lastColumn="0" w:lastRow="0" w:noHBand="0" w:noVBand="1" w:val="04A0"/>
        <w:tblInd w:w="120" w:type="dxa"/>
      </w:tblPr>
      <w:tblGrid>
        <w:gridCol w:w="1800"/>
        <w:gridCol w:w="3420"/>
        <w:gridCol w:w="4140"/>
      </w:tblGrid>
      <w:tr>
        <w:trPr>
          <w:tblHeader w:val="true"/>
        </w:trPr>
        <w:tc>
          <w:tcPr>
            <w:tcW w:type="dxa" w:w="180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Technique</w:t>
            </w:r>
          </w:p>
        </w:tc>
        <w:tc>
          <w:tcPr>
            <w:tcW w:type="dxa" w:w="342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Purpose</w:t>
            </w:r>
          </w:p>
        </w:tc>
        <w:tc>
          <w:tcPr>
            <w:tcW w:type="dxa" w:w="41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Interpretation</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sz w:val="18"/>
              </w:rPr>
              <w:t>Histogram</w:t>
            </w:r>
          </w:p>
        </w:tc>
        <w:tc>
          <w:tcPr>
            <w:tcW w:type="dxa" w:w="3420"/>
            <w:tcMar>
              <w:top w:w="80" w:type="dxa"/>
              <w:start w:w="120" w:type="dxa"/>
              <w:bottom w:w="80" w:type="dxa"/>
              <w:end w:w="120" w:type="dxa"/>
            </w:tcMar>
            <w:vAlign w:val="center"/>
          </w:tcPr>
          <w:p>
            <w:pPr>
              <w:spacing w:before="0" w:after="40" w:line="240" w:lineRule="auto"/>
            </w:pPr>
            <w:r>
              <w:rPr>
                <w:rFonts w:ascii="Calibri" w:hAnsi="Calibri"/>
                <w:sz w:val="18"/>
              </w:rPr>
              <w:t>Shows frequencies across value ranges.</w:t>
            </w:r>
          </w:p>
        </w:tc>
        <w:tc>
          <w:tcPr>
            <w:tcW w:type="dxa" w:w="4140"/>
            <w:tcMar>
              <w:top w:w="80" w:type="dxa"/>
              <w:start w:w="120" w:type="dxa"/>
              <w:bottom w:w="80" w:type="dxa"/>
              <w:end w:w="120" w:type="dxa"/>
            </w:tcMar>
            <w:vAlign w:val="center"/>
          </w:tcPr>
          <w:p>
            <w:pPr>
              <w:spacing w:before="0" w:after="40" w:line="240" w:lineRule="auto"/>
            </w:pPr>
            <w:r>
              <w:rPr>
                <w:rFonts w:ascii="Calibri" w:hAnsi="Calibri"/>
                <w:sz w:val="18"/>
              </w:rPr>
              <w:t>Reveals peaks, gaps, concentration and asymmetry.</w:t>
            </w:r>
          </w:p>
        </w:tc>
      </w:tr>
      <w:tr>
        <w:tc>
          <w:tcPr>
            <w:tcW w:type="dxa" w:w="1800"/>
            <w:tcMar>
              <w:top w:w="80" w:type="dxa"/>
              <w:start w:w="120" w:type="dxa"/>
              <w:bottom w:w="80" w:type="dxa"/>
              <w:end w:w="120" w:type="dxa"/>
            </w:tcMar>
            <w:vAlign w:val="center"/>
            <w:shd w:fill="F2F4F7"/>
          </w:tcPr>
          <w:p>
            <w:pPr>
              <w:spacing w:before="0" w:after="40" w:line="240" w:lineRule="auto"/>
            </w:pPr>
            <w:r>
              <w:rPr>
                <w:rFonts w:ascii="Calibri" w:hAnsi="Calibri"/>
                <w:sz w:val="18"/>
              </w:rPr>
              <w:t>Boxplot</w:t>
            </w:r>
          </w:p>
        </w:tc>
        <w:tc>
          <w:tcPr>
            <w:tcW w:type="dxa" w:w="3420"/>
            <w:tcMar>
              <w:top w:w="80" w:type="dxa"/>
              <w:start w:w="120" w:type="dxa"/>
              <w:bottom w:w="80" w:type="dxa"/>
              <w:end w:w="120" w:type="dxa"/>
            </w:tcMar>
            <w:vAlign w:val="center"/>
            <w:shd w:fill="F2F4F7"/>
          </w:tcPr>
          <w:p>
            <w:pPr>
              <w:spacing w:before="0" w:after="40" w:line="240" w:lineRule="auto"/>
            </w:pPr>
            <w:r>
              <w:rPr>
                <w:rFonts w:ascii="Calibri" w:hAnsi="Calibri"/>
                <w:sz w:val="18"/>
              </w:rPr>
              <w:t>Summarizes quartiles, median and IQR.</w:t>
            </w:r>
          </w:p>
        </w:tc>
        <w:tc>
          <w:tcPr>
            <w:tcW w:type="dxa" w:w="4140"/>
            <w:tcMar>
              <w:top w:w="80" w:type="dxa"/>
              <w:start w:w="120" w:type="dxa"/>
              <w:bottom w:w="80" w:type="dxa"/>
              <w:end w:w="120" w:type="dxa"/>
            </w:tcMar>
            <w:vAlign w:val="center"/>
            <w:shd w:fill="F2F4F7"/>
          </w:tcPr>
          <w:p>
            <w:pPr>
              <w:spacing w:before="0" w:after="40" w:line="240" w:lineRule="auto"/>
            </w:pPr>
            <w:r>
              <w:rPr>
                <w:rFonts w:ascii="Calibri" w:hAnsi="Calibri"/>
                <w:sz w:val="18"/>
              </w:rPr>
              <w:t>Flags values beyond 1.5 x IQR as potential outliers.</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sz w:val="18"/>
              </w:rPr>
              <w:t>KDE plot</w:t>
            </w:r>
          </w:p>
        </w:tc>
        <w:tc>
          <w:tcPr>
            <w:tcW w:type="dxa" w:w="3420"/>
            <w:tcMar>
              <w:top w:w="80" w:type="dxa"/>
              <w:start w:w="120" w:type="dxa"/>
              <w:bottom w:w="80" w:type="dxa"/>
              <w:end w:w="120" w:type="dxa"/>
            </w:tcMar>
            <w:vAlign w:val="center"/>
          </w:tcPr>
          <w:p>
            <w:pPr>
              <w:spacing w:before="0" w:after="40" w:line="240" w:lineRule="auto"/>
            </w:pPr>
            <w:r>
              <w:rPr>
                <w:rFonts w:ascii="Calibri" w:hAnsi="Calibri"/>
                <w:sz w:val="18"/>
              </w:rPr>
              <w:t>Creates a smooth estimate of distribution shape.</w:t>
            </w:r>
          </w:p>
        </w:tc>
        <w:tc>
          <w:tcPr>
            <w:tcW w:type="dxa" w:w="4140"/>
            <w:tcMar>
              <w:top w:w="80" w:type="dxa"/>
              <w:start w:w="120" w:type="dxa"/>
              <w:bottom w:w="80" w:type="dxa"/>
              <w:end w:w="120" w:type="dxa"/>
            </w:tcMar>
            <w:vAlign w:val="center"/>
          </w:tcPr>
          <w:p>
            <w:pPr>
              <w:spacing w:before="0" w:after="40" w:line="240" w:lineRule="auto"/>
            </w:pPr>
            <w:r>
              <w:rPr>
                <w:rFonts w:ascii="Calibri" w:hAnsi="Calibri"/>
                <w:sz w:val="18"/>
              </w:rPr>
              <w:t>Supports visual comparison of density and skewness.</w:t>
            </w:r>
          </w:p>
        </w:tc>
      </w:tr>
      <w:tr>
        <w:tc>
          <w:tcPr>
            <w:tcW w:type="dxa" w:w="1800"/>
            <w:tcMar>
              <w:top w:w="80" w:type="dxa"/>
              <w:start w:w="120" w:type="dxa"/>
              <w:bottom w:w="80" w:type="dxa"/>
              <w:end w:w="120" w:type="dxa"/>
            </w:tcMar>
            <w:vAlign w:val="center"/>
            <w:shd w:fill="F2F4F7"/>
          </w:tcPr>
          <w:p>
            <w:pPr>
              <w:spacing w:before="0" w:after="40" w:line="240" w:lineRule="auto"/>
            </w:pPr>
            <w:r>
              <w:rPr>
                <w:rFonts w:ascii="Calibri" w:hAnsi="Calibri"/>
                <w:sz w:val="18"/>
              </w:rPr>
              <w:t>Skewness</w:t>
            </w:r>
          </w:p>
        </w:tc>
        <w:tc>
          <w:tcPr>
            <w:tcW w:type="dxa" w:w="3420"/>
            <w:tcMar>
              <w:top w:w="80" w:type="dxa"/>
              <w:start w:w="120" w:type="dxa"/>
              <w:bottom w:w="80" w:type="dxa"/>
              <w:end w:w="120" w:type="dxa"/>
            </w:tcMar>
            <w:vAlign w:val="center"/>
            <w:shd w:fill="F2F4F7"/>
          </w:tcPr>
          <w:p>
            <w:pPr>
              <w:spacing w:before="0" w:after="40" w:line="240" w:lineRule="auto"/>
            </w:pPr>
            <w:r>
              <w:rPr>
                <w:rFonts w:ascii="Calibri" w:hAnsi="Calibri"/>
                <w:sz w:val="18"/>
              </w:rPr>
              <w:t>Measures distribution asymmetry.</w:t>
            </w:r>
          </w:p>
        </w:tc>
        <w:tc>
          <w:tcPr>
            <w:tcW w:type="dxa" w:w="4140"/>
            <w:tcMar>
              <w:top w:w="80" w:type="dxa"/>
              <w:start w:w="120" w:type="dxa"/>
              <w:bottom w:w="80" w:type="dxa"/>
              <w:end w:w="120" w:type="dxa"/>
            </w:tcMar>
            <w:vAlign w:val="center"/>
            <w:shd w:fill="F2F4F7"/>
          </w:tcPr>
          <w:p>
            <w:pPr>
              <w:spacing w:before="0" w:after="40" w:line="240" w:lineRule="auto"/>
            </w:pPr>
            <w:r>
              <w:rPr>
                <w:rFonts w:ascii="Calibri" w:hAnsi="Calibri"/>
                <w:sz w:val="18"/>
              </w:rPr>
              <w:t>Negative = left skew; positive = right skew.</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sz w:val="18"/>
              </w:rPr>
              <w:t>Kurtosis</w:t>
            </w:r>
          </w:p>
        </w:tc>
        <w:tc>
          <w:tcPr>
            <w:tcW w:type="dxa" w:w="3420"/>
            <w:tcMar>
              <w:top w:w="80" w:type="dxa"/>
              <w:start w:w="120" w:type="dxa"/>
              <w:bottom w:w="80" w:type="dxa"/>
              <w:end w:w="120" w:type="dxa"/>
            </w:tcMar>
            <w:vAlign w:val="center"/>
          </w:tcPr>
          <w:p>
            <w:pPr>
              <w:spacing w:before="0" w:after="40" w:line="240" w:lineRule="auto"/>
            </w:pPr>
            <w:r>
              <w:rPr>
                <w:rFonts w:ascii="Calibri" w:hAnsi="Calibri"/>
                <w:sz w:val="18"/>
              </w:rPr>
              <w:t>Measures excess tail weight relative to normal.</w:t>
            </w:r>
          </w:p>
        </w:tc>
        <w:tc>
          <w:tcPr>
            <w:tcW w:type="dxa" w:w="4140"/>
            <w:tcMar>
              <w:top w:w="80" w:type="dxa"/>
              <w:start w:w="120" w:type="dxa"/>
              <w:bottom w:w="80" w:type="dxa"/>
              <w:end w:w="120" w:type="dxa"/>
            </w:tcMar>
            <w:vAlign w:val="center"/>
          </w:tcPr>
          <w:p>
            <w:pPr>
              <w:spacing w:before="0" w:after="40" w:line="240" w:lineRule="auto"/>
            </w:pPr>
            <w:r>
              <w:rPr>
                <w:rFonts w:ascii="Calibri" w:hAnsi="Calibri"/>
                <w:sz w:val="18"/>
              </w:rPr>
              <w:t>High positive values suggest heavy tails/extremes.</w:t>
            </w:r>
          </w:p>
        </w:tc>
      </w:tr>
    </w:tbl>
    <w:p>
      <w:pPr>
        <w:pStyle w:val="Heading2"/>
        <w:keepNext/>
      </w:pPr>
      <w:r>
        <w:t>4.1 Statistical Rules</w:t>
      </w:r>
    </w:p>
    <w:p>
      <w:pPr>
        <w:keepLines w:val="0"/>
      </w:pPr>
      <w:r>
        <w:t>Potential outliers were detected with the interquartile range rule: values below Q1 - 1.5 x IQR or above Q3 + 1.5 x IQR were flagged. These points were not automatically deleted because a statistical flag does not prove that a value is incorrect.</w:t>
      </w:r>
    </w:p>
    <w:tbl>
      <w:tblPr>
        <w:tblStyle w:val="TableGrid"/>
        <w:tblW w:type="dxa" w:w="9360"/>
        <w:jc w:val="left"/>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Skewness range</w:t>
            </w:r>
          </w:p>
        </w:tc>
        <w:tc>
          <w:tcPr>
            <w:tcW w:type="dxa" w:w="270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Classification</w:t>
            </w:r>
          </w:p>
        </w:tc>
        <w:tc>
          <w:tcPr>
            <w:tcW w:type="dxa" w:w="486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Typical action</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sz w:val="18"/>
              </w:rPr>
              <w:t>-0.5 to 0.5</w:t>
            </w:r>
          </w:p>
        </w:tc>
        <w:tc>
          <w:tcPr>
            <w:tcW w:type="dxa" w:w="2700"/>
            <w:tcMar>
              <w:top w:w="80" w:type="dxa"/>
              <w:start w:w="120" w:type="dxa"/>
              <w:bottom w:w="80" w:type="dxa"/>
              <w:end w:w="120" w:type="dxa"/>
            </w:tcMar>
            <w:vAlign w:val="center"/>
          </w:tcPr>
          <w:p>
            <w:pPr>
              <w:spacing w:before="0" w:after="40" w:line="240" w:lineRule="auto"/>
            </w:pPr>
            <w:r>
              <w:rPr>
                <w:rFonts w:ascii="Calibri" w:hAnsi="Calibri"/>
                <w:sz w:val="18"/>
              </w:rPr>
              <w:t>Approximately symmetric</w:t>
            </w:r>
          </w:p>
        </w:tc>
        <w:tc>
          <w:tcPr>
            <w:tcW w:type="dxa" w:w="4860"/>
            <w:tcMar>
              <w:top w:w="80" w:type="dxa"/>
              <w:start w:w="120" w:type="dxa"/>
              <w:bottom w:w="80" w:type="dxa"/>
              <w:end w:w="120" w:type="dxa"/>
            </w:tcMar>
            <w:vAlign w:val="center"/>
          </w:tcPr>
          <w:p>
            <w:pPr>
              <w:spacing w:before="0" w:after="40" w:line="240" w:lineRule="auto"/>
            </w:pPr>
            <w:r>
              <w:rPr>
                <w:rFonts w:ascii="Calibri" w:hAnsi="Calibri"/>
                <w:sz w:val="18"/>
              </w:rPr>
              <w:t>Usually no transformation</w:t>
            </w:r>
          </w:p>
        </w:tc>
      </w:tr>
      <w:tr>
        <w:tc>
          <w:tcPr>
            <w:tcW w:type="dxa" w:w="1800"/>
            <w:tcMar>
              <w:top w:w="80" w:type="dxa"/>
              <w:start w:w="120" w:type="dxa"/>
              <w:bottom w:w="80" w:type="dxa"/>
              <w:end w:w="120" w:type="dxa"/>
            </w:tcMar>
            <w:vAlign w:val="center"/>
            <w:shd w:fill="F2F4F7"/>
          </w:tcPr>
          <w:p>
            <w:pPr>
              <w:spacing w:before="0" w:after="40" w:line="240" w:lineRule="auto"/>
            </w:pPr>
            <w:r>
              <w:rPr>
                <w:rFonts w:ascii="Calibri" w:hAnsi="Calibri"/>
                <w:sz w:val="18"/>
              </w:rPr>
              <w:t>0.5 to 1.0</w:t>
            </w:r>
          </w:p>
        </w:tc>
        <w:tc>
          <w:tcPr>
            <w:tcW w:type="dxa" w:w="2700"/>
            <w:tcMar>
              <w:top w:w="80" w:type="dxa"/>
              <w:start w:w="120" w:type="dxa"/>
              <w:bottom w:w="80" w:type="dxa"/>
              <w:end w:w="120" w:type="dxa"/>
            </w:tcMar>
            <w:vAlign w:val="center"/>
            <w:shd w:fill="F2F4F7"/>
          </w:tcPr>
          <w:p>
            <w:pPr>
              <w:spacing w:before="0" w:after="40" w:line="240" w:lineRule="auto"/>
            </w:pPr>
            <w:r>
              <w:rPr>
                <w:rFonts w:ascii="Calibri" w:hAnsi="Calibri"/>
                <w:sz w:val="18"/>
              </w:rPr>
              <w:t>Moderate right skew</w:t>
            </w:r>
          </w:p>
        </w:tc>
        <w:tc>
          <w:tcPr>
            <w:tcW w:type="dxa" w:w="4860"/>
            <w:tcMar>
              <w:top w:w="80" w:type="dxa"/>
              <w:start w:w="120" w:type="dxa"/>
              <w:bottom w:w="80" w:type="dxa"/>
              <w:end w:w="120" w:type="dxa"/>
            </w:tcMar>
            <w:vAlign w:val="center"/>
            <w:shd w:fill="F2F4F7"/>
          </w:tcPr>
          <w:p>
            <w:pPr>
              <w:spacing w:before="0" w:after="40" w:line="240" w:lineRule="auto"/>
            </w:pPr>
            <w:r>
              <w:rPr>
                <w:rFonts w:ascii="Calibri" w:hAnsi="Calibri"/>
                <w:sz w:val="18"/>
              </w:rPr>
              <w:t>Optional square-root transform</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sz w:val="18"/>
              </w:rPr>
              <w:t>&gt; 1.0</w:t>
            </w:r>
          </w:p>
        </w:tc>
        <w:tc>
          <w:tcPr>
            <w:tcW w:type="dxa" w:w="2700"/>
            <w:tcMar>
              <w:top w:w="80" w:type="dxa"/>
              <w:start w:w="120" w:type="dxa"/>
              <w:bottom w:w="80" w:type="dxa"/>
              <w:end w:w="120" w:type="dxa"/>
            </w:tcMar>
            <w:vAlign w:val="center"/>
          </w:tcPr>
          <w:p>
            <w:pPr>
              <w:spacing w:before="0" w:after="40" w:line="240" w:lineRule="auto"/>
            </w:pPr>
            <w:r>
              <w:rPr>
                <w:rFonts w:ascii="Calibri" w:hAnsi="Calibri"/>
                <w:sz w:val="18"/>
              </w:rPr>
              <w:t>Strong right skew</w:t>
            </w:r>
          </w:p>
        </w:tc>
        <w:tc>
          <w:tcPr>
            <w:tcW w:type="dxa" w:w="4860"/>
            <w:tcMar>
              <w:top w:w="80" w:type="dxa"/>
              <w:start w:w="120" w:type="dxa"/>
              <w:bottom w:w="80" w:type="dxa"/>
              <w:end w:w="120" w:type="dxa"/>
            </w:tcMar>
            <w:vAlign w:val="center"/>
          </w:tcPr>
          <w:p>
            <w:pPr>
              <w:spacing w:before="0" w:after="40" w:line="240" w:lineRule="auto"/>
            </w:pPr>
            <w:r>
              <w:rPr>
                <w:rFonts w:ascii="Calibri" w:hAnsi="Calibri"/>
                <w:sz w:val="18"/>
              </w:rPr>
              <w:t>Consider log1p for non-negative values</w:t>
            </w:r>
          </w:p>
        </w:tc>
      </w:tr>
      <w:tr>
        <w:tc>
          <w:tcPr>
            <w:tcW w:type="dxa" w:w="1800"/>
            <w:tcMar>
              <w:top w:w="80" w:type="dxa"/>
              <w:start w:w="120" w:type="dxa"/>
              <w:bottom w:w="80" w:type="dxa"/>
              <w:end w:w="120" w:type="dxa"/>
            </w:tcMar>
            <w:vAlign w:val="center"/>
            <w:shd w:fill="F2F4F7"/>
          </w:tcPr>
          <w:p>
            <w:pPr>
              <w:spacing w:before="0" w:after="40" w:line="240" w:lineRule="auto"/>
            </w:pPr>
            <w:r>
              <w:rPr>
                <w:rFonts w:ascii="Calibri" w:hAnsi="Calibri"/>
                <w:sz w:val="18"/>
              </w:rPr>
              <w:t>-1.0 to -0.5</w:t>
            </w:r>
          </w:p>
        </w:tc>
        <w:tc>
          <w:tcPr>
            <w:tcW w:type="dxa" w:w="2700"/>
            <w:tcMar>
              <w:top w:w="80" w:type="dxa"/>
              <w:start w:w="120" w:type="dxa"/>
              <w:bottom w:w="80" w:type="dxa"/>
              <w:end w:w="120" w:type="dxa"/>
            </w:tcMar>
            <w:vAlign w:val="center"/>
            <w:shd w:fill="F2F4F7"/>
          </w:tcPr>
          <w:p>
            <w:pPr>
              <w:spacing w:before="0" w:after="40" w:line="240" w:lineRule="auto"/>
            </w:pPr>
            <w:r>
              <w:rPr>
                <w:rFonts w:ascii="Calibri" w:hAnsi="Calibri"/>
                <w:sz w:val="18"/>
              </w:rPr>
              <w:t>Moderate left skew</w:t>
            </w:r>
          </w:p>
        </w:tc>
        <w:tc>
          <w:tcPr>
            <w:tcW w:type="dxa" w:w="4860"/>
            <w:tcMar>
              <w:top w:w="80" w:type="dxa"/>
              <w:start w:w="120" w:type="dxa"/>
              <w:bottom w:w="80" w:type="dxa"/>
              <w:end w:w="120" w:type="dxa"/>
            </w:tcMar>
            <w:vAlign w:val="center"/>
            <w:shd w:fill="F2F4F7"/>
          </w:tcPr>
          <w:p>
            <w:pPr>
              <w:spacing w:before="0" w:after="40" w:line="240" w:lineRule="auto"/>
            </w:pPr>
            <w:r>
              <w:rPr>
                <w:rFonts w:ascii="Calibri" w:hAnsi="Calibri"/>
                <w:sz w:val="18"/>
              </w:rPr>
              <w:t>Inspect scale and measurement type</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sz w:val="18"/>
              </w:rPr>
              <w:t>&lt; -1.0</w:t>
            </w:r>
          </w:p>
        </w:tc>
        <w:tc>
          <w:tcPr>
            <w:tcW w:type="dxa" w:w="2700"/>
            <w:tcMar>
              <w:top w:w="80" w:type="dxa"/>
              <w:start w:w="120" w:type="dxa"/>
              <w:bottom w:w="80" w:type="dxa"/>
              <w:end w:w="120" w:type="dxa"/>
            </w:tcMar>
            <w:vAlign w:val="center"/>
          </w:tcPr>
          <w:p>
            <w:pPr>
              <w:spacing w:before="0" w:after="40" w:line="240" w:lineRule="auto"/>
            </w:pPr>
            <w:r>
              <w:rPr>
                <w:rFonts w:ascii="Calibri" w:hAnsi="Calibri"/>
                <w:sz w:val="18"/>
              </w:rPr>
              <w:t>Strong left skew</w:t>
            </w:r>
          </w:p>
        </w:tc>
        <w:tc>
          <w:tcPr>
            <w:tcW w:type="dxa" w:w="4860"/>
            <w:tcMar>
              <w:top w:w="80" w:type="dxa"/>
              <w:start w:w="120" w:type="dxa"/>
              <w:bottom w:w="80" w:type="dxa"/>
              <w:end w:w="120" w:type="dxa"/>
            </w:tcMar>
            <w:vAlign w:val="center"/>
          </w:tcPr>
          <w:p>
            <w:pPr>
              <w:spacing w:before="0" w:after="40" w:line="240" w:lineRule="auto"/>
            </w:pPr>
            <w:r>
              <w:rPr>
                <w:rFonts w:ascii="Calibri" w:hAnsi="Calibri"/>
                <w:sz w:val="18"/>
              </w:rPr>
              <w:t>Consider Yeo-Johnson if continuous</w:t>
            </w:r>
          </w:p>
        </w:tc>
      </w:tr>
    </w:tbl>
    <w:p>
      <w:pPr>
        <w:pStyle w:val="Heading2"/>
        <w:keepNext/>
      </w:pPr>
      <w:r>
        <w:t>4.2 Custom Function Workflow</w:t>
      </w:r>
    </w:p>
    <w:p>
      <w:pPr>
        <w:keepLines w:val="0"/>
      </w:pPr>
      <w:r>
        <w:t>For every selected column, the custom function removed missing values only for that column, calculated descriptive statistics, applied the IQR rule, generated three plots, interpreted skewness and kurtosis, and returned a structured record. The returned records were combined into one summary table, ensuring consistent analysis across columns.</w:t>
      </w:r>
    </w:p>
    <w:p>
      <w:r>
        <w:br w:type="page"/>
      </w:r>
    </w:p>
    <w:p>
      <w:pPr>
        <w:pStyle w:val="Heading1"/>
        <w:keepNext/>
      </w:pPr>
      <w:r>
        <w:t>5. Results and Interpretation</w:t>
      </w:r>
    </w:p>
    <w:p>
      <w:pPr>
        <w:pStyle w:val="Heading2"/>
        <w:keepNext/>
      </w:pPr>
      <w:r>
        <w:t>5.1 Age</w:t>
      </w:r>
    </w:p>
    <w:tbl>
      <w:tblPr>
        <w:tblStyle w:val="TableGrid"/>
        <w:tblW w:type="dxa" w:w="9360"/>
        <w:jc w:val="left"/>
        <w:tblLayout w:type="fixed"/>
        <w:tblLook w:firstColumn="1" w:firstRow="1" w:lastColumn="0" w:lastRow="0" w:noHBand="0" w:noVBand="1" w:val="04A0"/>
        <w:tblInd w:w="120" w:type="dxa"/>
      </w:tblPr>
      <w:tblGrid>
        <w:gridCol w:w="1440"/>
        <w:gridCol w:w="1440"/>
        <w:gridCol w:w="1440"/>
        <w:gridCol w:w="1440"/>
        <w:gridCol w:w="1680"/>
        <w:gridCol w:w="1920"/>
      </w:tblGrid>
      <w:tr>
        <w:trPr>
          <w:tblHeader w:val="true"/>
        </w:trPr>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Mean</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Median</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Std. dev.</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Range</w:t>
            </w:r>
          </w:p>
        </w:tc>
        <w:tc>
          <w:tcPr>
            <w:tcW w:type="dxa" w:w="168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Skewness</w:t>
            </w:r>
          </w:p>
        </w:tc>
        <w:tc>
          <w:tcPr>
            <w:tcW w:type="dxa" w:w="192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Outliers</w:t>
            </w:r>
          </w:p>
        </w:tc>
      </w:tr>
      <w:tr>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43.20</w:t>
            </w:r>
          </w:p>
        </w:tc>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41.00</w:t>
            </w:r>
          </w:p>
        </w:tc>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12.28</w:t>
            </w:r>
          </w:p>
        </w:tc>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18-99</w:t>
            </w:r>
          </w:p>
        </w:tc>
        <w:tc>
          <w:tcPr>
            <w:tcW w:type="dxa" w:w="1680"/>
            <w:tcMar>
              <w:top w:w="80" w:type="dxa"/>
              <w:start w:w="120" w:type="dxa"/>
              <w:bottom w:w="80" w:type="dxa"/>
              <w:end w:w="120" w:type="dxa"/>
            </w:tcMar>
            <w:vAlign w:val="center"/>
          </w:tcPr>
          <w:p>
            <w:pPr>
              <w:spacing w:before="0" w:after="40" w:line="240" w:lineRule="auto"/>
              <w:jc w:val="center"/>
            </w:pPr>
            <w:r>
              <w:rPr>
                <w:rFonts w:ascii="Calibri" w:hAnsi="Calibri"/>
                <w:sz w:val="17"/>
              </w:rPr>
              <w:t>0.5256</w:t>
            </w:r>
          </w:p>
        </w:tc>
        <w:tc>
          <w:tcPr>
            <w:tcW w:type="dxa" w:w="1920"/>
            <w:tcMar>
              <w:top w:w="80" w:type="dxa"/>
              <w:start w:w="120" w:type="dxa"/>
              <w:bottom w:w="80" w:type="dxa"/>
              <w:end w:w="120" w:type="dxa"/>
            </w:tcMar>
            <w:vAlign w:val="center"/>
          </w:tcPr>
          <w:p>
            <w:pPr>
              <w:spacing w:before="0" w:after="40" w:line="240" w:lineRule="auto"/>
              <w:jc w:val="center"/>
            </w:pPr>
            <w:r>
              <w:rPr>
                <w:rFonts w:ascii="Calibri" w:hAnsi="Calibri"/>
                <w:sz w:val="17"/>
              </w:rPr>
              <w:t>109 (0.46%)</w:t>
            </w:r>
          </w:p>
        </w:tc>
      </w:tr>
    </w:tbl>
    <w:p>
      <w:pPr>
        <w:keepNext/>
        <w:jc w:val="center"/>
      </w:pPr>
      <w:r>
        <w:drawing>
          <wp:inline xmlns:a="http://schemas.openxmlformats.org/drawingml/2006/main" xmlns:pic="http://schemas.openxmlformats.org/drawingml/2006/picture">
            <wp:extent cx="5806440" cy="1588530"/>
            <wp:docPr id="1" name="Picture 1"/>
            <wp:cNvGraphicFramePr>
              <a:graphicFrameLocks noChangeAspect="1"/>
            </wp:cNvGraphicFramePr>
            <a:graphic>
              <a:graphicData uri="http://schemas.openxmlformats.org/drawingml/2006/picture">
                <pic:pic>
                  <pic:nvPicPr>
                    <pic:cNvPr id="0" name="age_univariate.png"/>
                    <pic:cNvPicPr/>
                  </pic:nvPicPr>
                  <pic:blipFill>
                    <a:blip r:embed="rId11"/>
                    <a:stretch>
                      <a:fillRect/>
                    </a:stretch>
                  </pic:blipFill>
                  <pic:spPr>
                    <a:xfrm>
                      <a:off x="0" y="0"/>
                      <a:ext cx="5806440" cy="1588530"/>
                    </a:xfrm>
                    <a:prstGeom prst="rect"/>
                  </pic:spPr>
                </pic:pic>
              </a:graphicData>
            </a:graphic>
          </wp:inline>
        </w:drawing>
      </w:r>
    </w:p>
    <w:p>
      <w:pPr>
        <w:spacing w:before="60" w:after="160"/>
        <w:jc w:val="center"/>
      </w:pPr>
      <w:r>
        <w:rPr>
          <w:i/>
          <w:color w:val="667085"/>
          <w:sz w:val="18"/>
        </w:rPr>
        <w:t>Figure 1. Histogram, boxplot and KDE plot for Age.</w:t>
      </w:r>
    </w:p>
    <w:p>
      <w:pPr>
        <w:keepLines w:val="0"/>
      </w:pPr>
      <w:r>
        <w:t>Age is moderately positively skewed (0.5256). The mean is slightly higher than the median, matching the longer right tail visible in the histogram and KDE plot. Only 109 observations, or 0.46%, are flagged by the IQR rule. The distribution is sufficiently stable for exploratory work, so transformation is optional rather than necessary.</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1F8"/>
          </w:tcPr>
          <w:p>
            <w:pPr>
              <w:spacing w:before="80" w:after="80"/>
            </w:pPr>
            <w:r>
              <w:rPr>
                <w:b/>
                <w:color w:val="17365D"/>
              </w:rPr>
              <w:t xml:space="preserve">Decision: </w:t>
            </w:r>
            <w:r>
              <w:t>Retain Age in its original scale. A square-root transformation may be tested only if a later model shows sensitivity to mild skewness.</w:t>
            </w:r>
          </w:p>
        </w:tc>
      </w:tr>
    </w:tbl>
    <w:p>
      <w:pPr>
        <w:spacing w:after="0"/>
      </w:pPr>
    </w:p>
    <w:p>
      <w:r>
        <w:br w:type="page"/>
      </w:r>
    </w:p>
    <w:p>
      <w:pPr>
        <w:pStyle w:val="Heading2"/>
        <w:keepNext/>
      </w:pPr>
      <w:r>
        <w:t>5.2 Rating</w:t>
      </w:r>
    </w:p>
    <w:tbl>
      <w:tblPr>
        <w:tblStyle w:val="TableGrid"/>
        <w:tblW w:type="dxa" w:w="9360"/>
        <w:jc w:val="left"/>
        <w:tblLayout w:type="fixed"/>
        <w:tblLook w:firstColumn="1" w:firstRow="1" w:lastColumn="0" w:lastRow="0" w:noHBand="0" w:noVBand="1" w:val="04A0"/>
        <w:tblInd w:w="120" w:type="dxa"/>
      </w:tblPr>
      <w:tblGrid>
        <w:gridCol w:w="1440"/>
        <w:gridCol w:w="1440"/>
        <w:gridCol w:w="1440"/>
        <w:gridCol w:w="1440"/>
        <w:gridCol w:w="1680"/>
        <w:gridCol w:w="1920"/>
      </w:tblGrid>
      <w:tr>
        <w:trPr>
          <w:tblHeader w:val="true"/>
        </w:trPr>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Mean</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Median</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Std. dev.</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Range</w:t>
            </w:r>
          </w:p>
        </w:tc>
        <w:tc>
          <w:tcPr>
            <w:tcW w:type="dxa" w:w="168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Skewness</w:t>
            </w:r>
          </w:p>
        </w:tc>
        <w:tc>
          <w:tcPr>
            <w:tcW w:type="dxa" w:w="192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IQR flags</w:t>
            </w:r>
          </w:p>
        </w:tc>
      </w:tr>
      <w:tr>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4.20</w:t>
            </w:r>
          </w:p>
        </w:tc>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5.00</w:t>
            </w:r>
          </w:p>
        </w:tc>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1.11</w:t>
            </w:r>
          </w:p>
        </w:tc>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1-5</w:t>
            </w:r>
          </w:p>
        </w:tc>
        <w:tc>
          <w:tcPr>
            <w:tcW w:type="dxa" w:w="1680"/>
            <w:tcMar>
              <w:top w:w="80" w:type="dxa"/>
              <w:start w:w="120" w:type="dxa"/>
              <w:bottom w:w="80" w:type="dxa"/>
              <w:end w:w="120" w:type="dxa"/>
            </w:tcMar>
            <w:vAlign w:val="center"/>
          </w:tcPr>
          <w:p>
            <w:pPr>
              <w:spacing w:before="0" w:after="40" w:line="240" w:lineRule="auto"/>
              <w:jc w:val="center"/>
            </w:pPr>
            <w:r>
              <w:rPr>
                <w:rFonts w:ascii="Calibri" w:hAnsi="Calibri"/>
                <w:sz w:val="17"/>
              </w:rPr>
              <w:t>-1.3135</w:t>
            </w:r>
          </w:p>
        </w:tc>
        <w:tc>
          <w:tcPr>
            <w:tcW w:type="dxa" w:w="1920"/>
            <w:tcMar>
              <w:top w:w="80" w:type="dxa"/>
              <w:start w:w="120" w:type="dxa"/>
              <w:bottom w:w="80" w:type="dxa"/>
              <w:end w:w="120" w:type="dxa"/>
            </w:tcMar>
            <w:vAlign w:val="center"/>
          </w:tcPr>
          <w:p>
            <w:pPr>
              <w:spacing w:before="0" w:after="40" w:line="240" w:lineRule="auto"/>
              <w:jc w:val="center"/>
            </w:pPr>
            <w:r>
              <w:rPr>
                <w:rFonts w:ascii="Calibri" w:hAnsi="Calibri"/>
                <w:sz w:val="17"/>
              </w:rPr>
              <w:t>2407 (10.25%)</w:t>
            </w:r>
          </w:p>
        </w:tc>
      </w:tr>
    </w:tbl>
    <w:p>
      <w:pPr>
        <w:keepNext/>
        <w:jc w:val="center"/>
      </w:pPr>
      <w:r>
        <w:drawing>
          <wp:inline xmlns:a="http://schemas.openxmlformats.org/drawingml/2006/main" xmlns:pic="http://schemas.openxmlformats.org/drawingml/2006/picture">
            <wp:extent cx="5806440" cy="1588530"/>
            <wp:docPr id="2" name="Picture 2"/>
            <wp:cNvGraphicFramePr>
              <a:graphicFrameLocks noChangeAspect="1"/>
            </wp:cNvGraphicFramePr>
            <a:graphic>
              <a:graphicData uri="http://schemas.openxmlformats.org/drawingml/2006/picture">
                <pic:pic>
                  <pic:nvPicPr>
                    <pic:cNvPr id="0" name="rating_univariate.png"/>
                    <pic:cNvPicPr/>
                  </pic:nvPicPr>
                  <pic:blipFill>
                    <a:blip r:embed="rId12"/>
                    <a:stretch>
                      <a:fillRect/>
                    </a:stretch>
                  </pic:blipFill>
                  <pic:spPr>
                    <a:xfrm>
                      <a:off x="0" y="0"/>
                      <a:ext cx="5806440" cy="1588530"/>
                    </a:xfrm>
                    <a:prstGeom prst="rect"/>
                  </pic:spPr>
                </pic:pic>
              </a:graphicData>
            </a:graphic>
          </wp:inline>
        </w:drawing>
      </w:r>
    </w:p>
    <w:p>
      <w:pPr>
        <w:spacing w:before="60" w:after="160"/>
        <w:jc w:val="center"/>
      </w:pPr>
      <w:r>
        <w:rPr>
          <w:i/>
          <w:color w:val="667085"/>
          <w:sz w:val="18"/>
        </w:rPr>
        <w:t>Figure 2. Histogram, boxplot and KDE plot for Rating.</w:t>
      </w:r>
    </w:p>
    <w:p>
      <w:pPr>
        <w:keepLines w:val="0"/>
      </w:pPr>
      <w:r>
        <w:t>Rating is highly negatively skewed (-1.3135) because most reviews have ratings of 4 or 5. The median is 5 and the mean is 4.20, indicating strong concentration at the upper end. Although the IQR rule flags ratings of 1 and 2, these are valid responses on the defined five-point scale and must not be treated as data errors.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1F8"/>
          </w:tcPr>
          <w:p>
            <w:pPr>
              <w:spacing w:before="80" w:after="80"/>
            </w:pPr>
            <w:r>
              <w:rPr>
                <w:b/>
                <w:color w:val="17365D"/>
              </w:rPr>
              <w:t xml:space="preserve">Decision: </w:t>
            </w:r>
            <w:r>
              <w:t>Do not transform Rating and do not remove low ratings. Rating is an ordinal feature with five valid levels, so preserving its original meaning is more important than forcing normality.</w:t>
            </w:r>
          </w:p>
        </w:tc>
      </w:tr>
    </w:tbl>
    <w:p>
      <w:pPr>
        <w:spacing w:after="0"/>
      </w:pPr>
    </w:p>
    <w:p>
      <w:r>
        <w:br w:type="page"/>
      </w:r>
    </w:p>
    <w:p>
      <w:pPr>
        <w:pStyle w:val="Heading2"/>
        <w:keepNext/>
      </w:pPr>
      <w:r>
        <w:t>5.3 Positive Feedback Count</w:t>
      </w:r>
    </w:p>
    <w:tbl>
      <w:tblPr>
        <w:tblStyle w:val="TableGrid"/>
        <w:tblW w:type="dxa" w:w="9360"/>
        <w:jc w:val="left"/>
        <w:tblLayout w:type="fixed"/>
        <w:tblLook w:firstColumn="1" w:firstRow="1" w:lastColumn="0" w:lastRow="0" w:noHBand="0" w:noVBand="1" w:val="04A0"/>
        <w:tblInd w:w="120" w:type="dxa"/>
      </w:tblPr>
      <w:tblGrid>
        <w:gridCol w:w="1440"/>
        <w:gridCol w:w="1440"/>
        <w:gridCol w:w="1440"/>
        <w:gridCol w:w="1440"/>
        <w:gridCol w:w="1680"/>
        <w:gridCol w:w="1920"/>
      </w:tblGrid>
      <w:tr>
        <w:trPr>
          <w:tblHeader w:val="true"/>
        </w:trPr>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Mean</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Median</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Std. dev.</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Range</w:t>
            </w:r>
          </w:p>
        </w:tc>
        <w:tc>
          <w:tcPr>
            <w:tcW w:type="dxa" w:w="168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Skewness</w:t>
            </w:r>
          </w:p>
        </w:tc>
        <w:tc>
          <w:tcPr>
            <w:tcW w:type="dxa" w:w="192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Outliers</w:t>
            </w:r>
          </w:p>
        </w:tc>
      </w:tr>
      <w:tr>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2.54</w:t>
            </w:r>
          </w:p>
        </w:tc>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1.00</w:t>
            </w:r>
          </w:p>
        </w:tc>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5.70</w:t>
            </w:r>
          </w:p>
        </w:tc>
        <w:tc>
          <w:tcPr>
            <w:tcW w:type="dxa" w:w="1440"/>
            <w:tcMar>
              <w:top w:w="80" w:type="dxa"/>
              <w:start w:w="120" w:type="dxa"/>
              <w:bottom w:w="80" w:type="dxa"/>
              <w:end w:w="120" w:type="dxa"/>
            </w:tcMar>
            <w:vAlign w:val="center"/>
          </w:tcPr>
          <w:p>
            <w:pPr>
              <w:spacing w:before="0" w:after="40" w:line="240" w:lineRule="auto"/>
              <w:jc w:val="center"/>
            </w:pPr>
            <w:r>
              <w:rPr>
                <w:rFonts w:ascii="Calibri" w:hAnsi="Calibri"/>
                <w:sz w:val="17"/>
              </w:rPr>
              <w:t>0-122</w:t>
            </w:r>
          </w:p>
        </w:tc>
        <w:tc>
          <w:tcPr>
            <w:tcW w:type="dxa" w:w="1680"/>
            <w:tcMar>
              <w:top w:w="80" w:type="dxa"/>
              <w:start w:w="120" w:type="dxa"/>
              <w:bottom w:w="80" w:type="dxa"/>
              <w:end w:w="120" w:type="dxa"/>
            </w:tcMar>
            <w:vAlign w:val="center"/>
          </w:tcPr>
          <w:p>
            <w:pPr>
              <w:spacing w:before="0" w:after="40" w:line="240" w:lineRule="auto"/>
              <w:jc w:val="center"/>
            </w:pPr>
            <w:r>
              <w:rPr>
                <w:rFonts w:ascii="Calibri" w:hAnsi="Calibri"/>
                <w:sz w:val="17"/>
              </w:rPr>
              <w:t>6.4730</w:t>
            </w:r>
          </w:p>
        </w:tc>
        <w:tc>
          <w:tcPr>
            <w:tcW w:type="dxa" w:w="1920"/>
            <w:tcMar>
              <w:top w:w="80" w:type="dxa"/>
              <w:start w:w="120" w:type="dxa"/>
              <w:bottom w:w="80" w:type="dxa"/>
              <w:end w:w="120" w:type="dxa"/>
            </w:tcMar>
            <w:vAlign w:val="center"/>
          </w:tcPr>
          <w:p>
            <w:pPr>
              <w:spacing w:before="0" w:after="40" w:line="240" w:lineRule="auto"/>
              <w:jc w:val="center"/>
            </w:pPr>
            <w:r>
              <w:rPr>
                <w:rFonts w:ascii="Calibri" w:hAnsi="Calibri"/>
                <w:sz w:val="17"/>
              </w:rPr>
              <w:t>2147 (9.14%)</w:t>
            </w:r>
          </w:p>
        </w:tc>
      </w:tr>
    </w:tbl>
    <w:p>
      <w:pPr>
        <w:keepNext/>
        <w:jc w:val="center"/>
      </w:pPr>
      <w:r>
        <w:drawing>
          <wp:inline xmlns:a="http://schemas.openxmlformats.org/drawingml/2006/main" xmlns:pic="http://schemas.openxmlformats.org/drawingml/2006/picture">
            <wp:extent cx="5806440" cy="1593516"/>
            <wp:docPr id="3" name="Picture 3"/>
            <wp:cNvGraphicFramePr>
              <a:graphicFrameLocks noChangeAspect="1"/>
            </wp:cNvGraphicFramePr>
            <a:graphic>
              <a:graphicData uri="http://schemas.openxmlformats.org/drawingml/2006/picture">
                <pic:pic>
                  <pic:nvPicPr>
                    <pic:cNvPr id="0" name="positive_feedback_count_univariate.png"/>
                    <pic:cNvPicPr/>
                  </pic:nvPicPr>
                  <pic:blipFill>
                    <a:blip r:embed="rId13"/>
                    <a:stretch>
                      <a:fillRect/>
                    </a:stretch>
                  </pic:blipFill>
                  <pic:spPr>
                    <a:xfrm>
                      <a:off x="0" y="0"/>
                      <a:ext cx="5806440" cy="1593516"/>
                    </a:xfrm>
                    <a:prstGeom prst="rect"/>
                  </pic:spPr>
                </pic:pic>
              </a:graphicData>
            </a:graphic>
          </wp:inline>
        </w:drawing>
      </w:r>
    </w:p>
    <w:p>
      <w:pPr>
        <w:spacing w:before="60" w:after="160"/>
        <w:jc w:val="center"/>
      </w:pPr>
      <w:r>
        <w:rPr>
          <w:i/>
          <w:color w:val="667085"/>
          <w:sz w:val="18"/>
        </w:rPr>
        <w:t>Figure 3. Histogram, boxplot and KDE plot for Positive Feedback Count.</w:t>
      </w:r>
    </w:p>
    <w:p>
      <w:pPr>
        <w:keepLines w:val="0"/>
      </w:pPr>
      <w:r>
        <w:t>Positive Feedback Count is extremely right-skewed (6.4730) with very high excess kurtosis (71.6932). Most reviews have little or no positive feedback, while a small number reach values as high as 122. The 2,147 IQR flags represent 9.14% of observations. These values may reflect genuinely popular reviews and should not be deleted automatically.</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1F8"/>
          </w:tcPr>
          <w:p>
            <w:pPr>
              <w:spacing w:before="80" w:after="80"/>
            </w:pPr>
            <w:r>
              <w:rPr>
                <w:b/>
                <w:color w:val="17365D"/>
              </w:rPr>
              <w:t xml:space="preserve">Decision: </w:t>
            </w:r>
            <w:r>
              <w:t>Create an additional log1p-transformed feature to reduce skewness while keeping the original count column for interpretation.</w:t>
            </w:r>
          </w:p>
        </w:tc>
      </w:tr>
    </w:tbl>
    <w:p>
      <w:pPr>
        <w:spacing w:after="0"/>
      </w:pPr>
    </w:p>
    <w:p>
      <w:r>
        <w:br w:type="page"/>
      </w:r>
    </w:p>
    <w:p>
      <w:pPr>
        <w:pStyle w:val="Heading1"/>
        <w:keepNext/>
      </w:pPr>
      <w:r>
        <w:t>6. Transformation Analysis</w:t>
      </w:r>
    </w:p>
    <w:p>
      <w:pPr>
        <w:keepLines w:val="0"/>
      </w:pPr>
      <w:r>
        <w:t>The natural logarithm cannot be directly applied to zero. Therefore, the transformation log(1 + x), implemented as numpy.log1p, was used for Positive Feedback Count. It preserves zero and compresses large counts more strongly than small counts.</w:t>
      </w:r>
    </w:p>
    <w:p>
      <w:pPr>
        <w:keepNext/>
        <w:jc w:val="center"/>
      </w:pPr>
      <w:r>
        <w:drawing>
          <wp:inline xmlns:a="http://schemas.openxmlformats.org/drawingml/2006/main" xmlns:pic="http://schemas.openxmlformats.org/drawingml/2006/picture">
            <wp:extent cx="5806440" cy="2051809"/>
            <wp:docPr id="4" name="Picture 4"/>
            <wp:cNvGraphicFramePr>
              <a:graphicFrameLocks noChangeAspect="1"/>
            </wp:cNvGraphicFramePr>
            <a:graphic>
              <a:graphicData uri="http://schemas.openxmlformats.org/drawingml/2006/picture">
                <pic:pic>
                  <pic:nvPicPr>
                    <pic:cNvPr id="0" name="feedback_transformation.png"/>
                    <pic:cNvPicPr/>
                  </pic:nvPicPr>
                  <pic:blipFill>
                    <a:blip r:embed="rId14"/>
                    <a:stretch>
                      <a:fillRect/>
                    </a:stretch>
                  </pic:blipFill>
                  <pic:spPr>
                    <a:xfrm>
                      <a:off x="0" y="0"/>
                      <a:ext cx="5806440" cy="2051809"/>
                    </a:xfrm>
                    <a:prstGeom prst="rect"/>
                  </pic:spPr>
                </pic:pic>
              </a:graphicData>
            </a:graphic>
          </wp:inline>
        </w:drawing>
      </w:r>
    </w:p>
    <w:p>
      <w:pPr>
        <w:spacing w:before="60" w:after="160"/>
        <w:jc w:val="center"/>
      </w:pPr>
      <w:r>
        <w:rPr>
          <w:i/>
          <w:color w:val="667085"/>
          <w:sz w:val="18"/>
        </w:rPr>
        <w:t>Figure 4. Positive Feedback Count before and after log1p transformation.</w:t>
      </w:r>
    </w:p>
    <w:tbl>
      <w:tblPr>
        <w:tblStyle w:val="TableGrid"/>
        <w:tblW w:type="dxa" w:w="9360"/>
        <w:jc w:val="left"/>
        <w:tblLayout w:type="fixed"/>
        <w:tblLook w:firstColumn="1" w:firstRow="1" w:lastColumn="0" w:lastRow="0" w:noHBand="0" w:noVBand="1" w:val="04A0"/>
        <w:tblInd w:w="120" w:type="dxa"/>
      </w:tblPr>
      <w:tblGrid>
        <w:gridCol w:w="3000"/>
        <w:gridCol w:w="1440"/>
        <w:gridCol w:w="2460"/>
        <w:gridCol w:w="2460"/>
      </w:tblGrid>
      <w:tr>
        <w:trPr>
          <w:tblHeader w:val="true"/>
        </w:trPr>
        <w:tc>
          <w:tcPr>
            <w:tcW w:type="dxa" w:w="300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Feature</w:t>
            </w:r>
          </w:p>
        </w:tc>
        <w:tc>
          <w:tcPr>
            <w:tcW w:type="dxa" w:w="14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Method</w:t>
            </w:r>
          </w:p>
        </w:tc>
        <w:tc>
          <w:tcPr>
            <w:tcW w:type="dxa" w:w="246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Original skewness</w:t>
            </w:r>
          </w:p>
        </w:tc>
        <w:tc>
          <w:tcPr>
            <w:tcW w:type="dxa" w:w="246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Transformed skewness</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sz w:val="18"/>
              </w:rPr>
              <w:t>Positive Feedback Count</w:t>
            </w:r>
          </w:p>
        </w:tc>
        <w:tc>
          <w:tcPr>
            <w:tcW w:type="dxa" w:w="1440"/>
            <w:tcMar>
              <w:top w:w="80" w:type="dxa"/>
              <w:start w:w="120" w:type="dxa"/>
              <w:bottom w:w="80" w:type="dxa"/>
              <w:end w:w="120" w:type="dxa"/>
            </w:tcMar>
            <w:vAlign w:val="center"/>
          </w:tcPr>
          <w:p>
            <w:pPr>
              <w:spacing w:before="0" w:after="40" w:line="240" w:lineRule="auto"/>
            </w:pPr>
            <w:r>
              <w:rPr>
                <w:rFonts w:ascii="Calibri" w:hAnsi="Calibri"/>
                <w:sz w:val="18"/>
              </w:rPr>
              <w:t>log1p</w:t>
            </w:r>
          </w:p>
        </w:tc>
        <w:tc>
          <w:tcPr>
            <w:tcW w:type="dxa" w:w="2460"/>
            <w:tcMar>
              <w:top w:w="80" w:type="dxa"/>
              <w:start w:w="120" w:type="dxa"/>
              <w:bottom w:w="80" w:type="dxa"/>
              <w:end w:w="120" w:type="dxa"/>
            </w:tcMar>
            <w:vAlign w:val="center"/>
          </w:tcPr>
          <w:p>
            <w:pPr>
              <w:spacing w:before="0" w:after="40" w:line="240" w:lineRule="auto"/>
            </w:pPr>
            <w:r>
              <w:rPr>
                <w:rFonts w:ascii="Calibri" w:hAnsi="Calibri"/>
                <w:sz w:val="18"/>
              </w:rPr>
              <w:t>6.4730</w:t>
            </w:r>
          </w:p>
        </w:tc>
        <w:tc>
          <w:tcPr>
            <w:tcW w:type="dxa" w:w="2460"/>
            <w:tcMar>
              <w:top w:w="80" w:type="dxa"/>
              <w:start w:w="120" w:type="dxa"/>
              <w:bottom w:w="80" w:type="dxa"/>
              <w:end w:w="120" w:type="dxa"/>
            </w:tcMar>
            <w:vAlign w:val="center"/>
          </w:tcPr>
          <w:p>
            <w:pPr>
              <w:spacing w:before="0" w:after="40" w:line="240" w:lineRule="auto"/>
            </w:pPr>
            <w:r>
              <w:rPr>
                <w:rFonts w:ascii="Calibri" w:hAnsi="Calibri"/>
                <w:sz w:val="18"/>
              </w:rPr>
              <w:t>1.0872</w:t>
            </w:r>
          </w:p>
        </w:tc>
      </w:tr>
    </w:tbl>
    <w:p>
      <w:pPr>
        <w:keepLines w:val="0"/>
      </w:pPr>
      <w:r>
        <w:t>The transformation reduced skewness from 6.4730 to 1.0872, a substantial improvement. The transformed feature remains somewhat right-skewed because the original variable is discrete, zero-heavy count data. Perfect normality is neither expected nor required; the objective is to reduce the dominance of extreme values while preserving ordering.</w:t>
      </w:r>
    </w:p>
    <w:p>
      <w:pPr>
        <w:pStyle w:val="Heading1"/>
        <w:keepNext/>
      </w:pPr>
      <w:r>
        <w:t>7. Final Summary</w:t>
      </w:r>
    </w:p>
    <w:tbl>
      <w:tblPr>
        <w:tblStyle w:val="TableGrid"/>
        <w:tblW w:type="dxa" w:w="9360"/>
        <w:jc w:val="left"/>
        <w:tblLayout w:type="fixed"/>
        <w:tblLook w:firstColumn="1" w:firstRow="1" w:lastColumn="0" w:lastRow="0" w:noHBand="0" w:noVBand="1" w:val="04A0"/>
        <w:tblInd w:w="120" w:type="dxa"/>
      </w:tblPr>
      <w:tblGrid>
        <w:gridCol w:w="2100"/>
        <w:gridCol w:w="1320"/>
        <w:gridCol w:w="1320"/>
        <w:gridCol w:w="2280"/>
        <w:gridCol w:w="2340"/>
      </w:tblGrid>
      <w:tr>
        <w:trPr>
          <w:tblHeader w:val="true"/>
        </w:trPr>
        <w:tc>
          <w:tcPr>
            <w:tcW w:type="dxa" w:w="210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Column</w:t>
            </w:r>
          </w:p>
        </w:tc>
        <w:tc>
          <w:tcPr>
            <w:tcW w:type="dxa" w:w="132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Skewness</w:t>
            </w:r>
          </w:p>
        </w:tc>
        <w:tc>
          <w:tcPr>
            <w:tcW w:type="dxa" w:w="132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Kurtosis</w:t>
            </w:r>
          </w:p>
        </w:tc>
        <w:tc>
          <w:tcPr>
            <w:tcW w:type="dxa" w:w="228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Distribution</w:t>
            </w:r>
          </w:p>
        </w:tc>
        <w:tc>
          <w:tcPr>
            <w:tcW w:type="dxa" w:w="234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7"/>
              </w:rPr>
              <w:t>Final action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sz w:val="17"/>
              </w:rPr>
              <w:t>Age</w:t>
            </w:r>
          </w:p>
        </w:tc>
        <w:tc>
          <w:tcPr>
            <w:tcW w:type="dxa" w:w="1320"/>
            <w:tcMar>
              <w:top w:w="80" w:type="dxa"/>
              <w:start w:w="120" w:type="dxa"/>
              <w:bottom w:w="80" w:type="dxa"/>
              <w:end w:w="120" w:type="dxa"/>
            </w:tcMar>
            <w:vAlign w:val="center"/>
          </w:tcPr>
          <w:p>
            <w:pPr>
              <w:spacing w:before="0" w:after="40" w:line="240" w:lineRule="auto"/>
            </w:pPr>
            <w:r>
              <w:rPr>
                <w:rFonts w:ascii="Calibri" w:hAnsi="Calibri"/>
                <w:sz w:val="17"/>
              </w:rPr>
              <w:t>0.5256</w:t>
            </w:r>
          </w:p>
        </w:tc>
        <w:tc>
          <w:tcPr>
            <w:tcW w:type="dxa" w:w="1320"/>
            <w:tcMar>
              <w:top w:w="80" w:type="dxa"/>
              <w:start w:w="120" w:type="dxa"/>
              <w:bottom w:w="80" w:type="dxa"/>
              <w:end w:w="120" w:type="dxa"/>
            </w:tcMar>
            <w:vAlign w:val="center"/>
          </w:tcPr>
          <w:p>
            <w:pPr>
              <w:spacing w:before="0" w:after="40" w:line="240" w:lineRule="auto"/>
            </w:pPr>
            <w:r>
              <w:rPr>
                <w:rFonts w:ascii="Calibri" w:hAnsi="Calibri"/>
                <w:sz w:val="17"/>
              </w:rPr>
              <w:t>-0.1118</w:t>
            </w:r>
          </w:p>
        </w:tc>
        <w:tc>
          <w:tcPr>
            <w:tcW w:type="dxa" w:w="2280"/>
            <w:tcMar>
              <w:top w:w="80" w:type="dxa"/>
              <w:start w:w="120" w:type="dxa"/>
              <w:bottom w:w="80" w:type="dxa"/>
              <w:end w:w="120" w:type="dxa"/>
            </w:tcMar>
            <w:vAlign w:val="center"/>
          </w:tcPr>
          <w:p>
            <w:pPr>
              <w:spacing w:before="0" w:after="40" w:line="240" w:lineRule="auto"/>
            </w:pPr>
            <w:r>
              <w:rPr>
                <w:rFonts w:ascii="Calibri" w:hAnsi="Calibri"/>
                <w:sz w:val="17"/>
              </w:rPr>
              <w:t>Moderate right skew</w:t>
            </w:r>
          </w:p>
        </w:tc>
        <w:tc>
          <w:tcPr>
            <w:tcW w:type="dxa" w:w="2340"/>
            <w:tcMar>
              <w:top w:w="80" w:type="dxa"/>
              <w:start w:w="120" w:type="dxa"/>
              <w:bottom w:w="80" w:type="dxa"/>
              <w:end w:w="120" w:type="dxa"/>
            </w:tcMar>
            <w:vAlign w:val="center"/>
          </w:tcPr>
          <w:p>
            <w:pPr>
              <w:spacing w:before="0" w:after="40" w:line="240" w:lineRule="auto"/>
            </w:pPr>
            <w:r>
              <w:rPr>
                <w:rFonts w:ascii="Calibri" w:hAnsi="Calibri"/>
                <w:sz w:val="17"/>
              </w:rPr>
              <w:t>Keep original; sqrt optional</w:t>
            </w:r>
          </w:p>
        </w:tc>
      </w:tr>
      <w:tr>
        <w:tc>
          <w:tcPr>
            <w:tcW w:type="dxa" w:w="2100"/>
            <w:tcMar>
              <w:top w:w="80" w:type="dxa"/>
              <w:start w:w="120" w:type="dxa"/>
              <w:bottom w:w="80" w:type="dxa"/>
              <w:end w:w="120" w:type="dxa"/>
            </w:tcMar>
            <w:vAlign w:val="center"/>
            <w:shd w:fill="F2F4F7"/>
          </w:tcPr>
          <w:p>
            <w:pPr>
              <w:spacing w:before="0" w:after="40" w:line="240" w:lineRule="auto"/>
            </w:pPr>
            <w:r>
              <w:rPr>
                <w:rFonts w:ascii="Calibri" w:hAnsi="Calibri"/>
                <w:sz w:val="17"/>
              </w:rPr>
              <w:t>Rating</w:t>
            </w:r>
          </w:p>
        </w:tc>
        <w:tc>
          <w:tcPr>
            <w:tcW w:type="dxa" w:w="1320"/>
            <w:tcMar>
              <w:top w:w="80" w:type="dxa"/>
              <w:start w:w="120" w:type="dxa"/>
              <w:bottom w:w="80" w:type="dxa"/>
              <w:end w:w="120" w:type="dxa"/>
            </w:tcMar>
            <w:vAlign w:val="center"/>
            <w:shd w:fill="F2F4F7"/>
          </w:tcPr>
          <w:p>
            <w:pPr>
              <w:spacing w:before="0" w:after="40" w:line="240" w:lineRule="auto"/>
            </w:pPr>
            <w:r>
              <w:rPr>
                <w:rFonts w:ascii="Calibri" w:hAnsi="Calibri"/>
                <w:sz w:val="17"/>
              </w:rPr>
              <w:t>-1.3135</w:t>
            </w:r>
          </w:p>
        </w:tc>
        <w:tc>
          <w:tcPr>
            <w:tcW w:type="dxa" w:w="1320"/>
            <w:tcMar>
              <w:top w:w="80" w:type="dxa"/>
              <w:start w:w="120" w:type="dxa"/>
              <w:bottom w:w="80" w:type="dxa"/>
              <w:end w:w="120" w:type="dxa"/>
            </w:tcMar>
            <w:vAlign w:val="center"/>
            <w:shd w:fill="F2F4F7"/>
          </w:tcPr>
          <w:p>
            <w:pPr>
              <w:spacing w:before="0" w:after="40" w:line="240" w:lineRule="auto"/>
            </w:pPr>
            <w:r>
              <w:rPr>
                <w:rFonts w:ascii="Calibri" w:hAnsi="Calibri"/>
                <w:sz w:val="17"/>
              </w:rPr>
              <w:t>0.8041</w:t>
            </w:r>
          </w:p>
        </w:tc>
        <w:tc>
          <w:tcPr>
            <w:tcW w:type="dxa" w:w="2280"/>
            <w:tcMar>
              <w:top w:w="80" w:type="dxa"/>
              <w:start w:w="120" w:type="dxa"/>
              <w:bottom w:w="80" w:type="dxa"/>
              <w:end w:w="120" w:type="dxa"/>
            </w:tcMar>
            <w:vAlign w:val="center"/>
            <w:shd w:fill="F2F4F7"/>
          </w:tcPr>
          <w:p>
            <w:pPr>
              <w:spacing w:before="0" w:after="40" w:line="240" w:lineRule="auto"/>
            </w:pPr>
            <w:r>
              <w:rPr>
                <w:rFonts w:ascii="Calibri" w:hAnsi="Calibri"/>
                <w:sz w:val="17"/>
              </w:rPr>
              <w:t>Strong left skew</w:t>
            </w:r>
          </w:p>
        </w:tc>
        <w:tc>
          <w:tcPr>
            <w:tcW w:type="dxa" w:w="2340"/>
            <w:tcMar>
              <w:top w:w="80" w:type="dxa"/>
              <w:start w:w="120" w:type="dxa"/>
              <w:bottom w:w="80" w:type="dxa"/>
              <w:end w:w="120" w:type="dxa"/>
            </w:tcMar>
            <w:vAlign w:val="center"/>
            <w:shd w:fill="F2F4F7"/>
          </w:tcPr>
          <w:p>
            <w:pPr>
              <w:spacing w:before="0" w:after="40" w:line="240" w:lineRule="auto"/>
            </w:pPr>
            <w:r>
              <w:rPr>
                <w:rFonts w:ascii="Calibri" w:hAnsi="Calibri"/>
                <w:sz w:val="17"/>
              </w:rPr>
              <w:t>Keep ordinal scale</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sz w:val="17"/>
              </w:rPr>
              <w:t>Positive Feedback Count</w:t>
            </w:r>
          </w:p>
        </w:tc>
        <w:tc>
          <w:tcPr>
            <w:tcW w:type="dxa" w:w="1320"/>
            <w:tcMar>
              <w:top w:w="80" w:type="dxa"/>
              <w:start w:w="120" w:type="dxa"/>
              <w:bottom w:w="80" w:type="dxa"/>
              <w:end w:w="120" w:type="dxa"/>
            </w:tcMar>
            <w:vAlign w:val="center"/>
          </w:tcPr>
          <w:p>
            <w:pPr>
              <w:spacing w:before="0" w:after="40" w:line="240" w:lineRule="auto"/>
            </w:pPr>
            <w:r>
              <w:rPr>
                <w:rFonts w:ascii="Calibri" w:hAnsi="Calibri"/>
                <w:sz w:val="17"/>
              </w:rPr>
              <w:t>6.4730</w:t>
            </w:r>
          </w:p>
        </w:tc>
        <w:tc>
          <w:tcPr>
            <w:tcW w:type="dxa" w:w="1320"/>
            <w:tcMar>
              <w:top w:w="80" w:type="dxa"/>
              <w:start w:w="120" w:type="dxa"/>
              <w:bottom w:w="80" w:type="dxa"/>
              <w:end w:w="120" w:type="dxa"/>
            </w:tcMar>
            <w:vAlign w:val="center"/>
          </w:tcPr>
          <w:p>
            <w:pPr>
              <w:spacing w:before="0" w:after="40" w:line="240" w:lineRule="auto"/>
            </w:pPr>
            <w:r>
              <w:rPr>
                <w:rFonts w:ascii="Calibri" w:hAnsi="Calibri"/>
                <w:sz w:val="17"/>
              </w:rPr>
              <w:t>71.6932</w:t>
            </w:r>
          </w:p>
        </w:tc>
        <w:tc>
          <w:tcPr>
            <w:tcW w:type="dxa" w:w="2280"/>
            <w:tcMar>
              <w:top w:w="80" w:type="dxa"/>
              <w:start w:w="120" w:type="dxa"/>
              <w:bottom w:w="80" w:type="dxa"/>
              <w:end w:w="120" w:type="dxa"/>
            </w:tcMar>
            <w:vAlign w:val="center"/>
          </w:tcPr>
          <w:p>
            <w:pPr>
              <w:spacing w:before="0" w:after="40" w:line="240" w:lineRule="auto"/>
            </w:pPr>
            <w:r>
              <w:rPr>
                <w:rFonts w:ascii="Calibri" w:hAnsi="Calibri"/>
                <w:sz w:val="17"/>
              </w:rPr>
              <w:t>Extreme right skew/heavy tail</w:t>
            </w:r>
          </w:p>
        </w:tc>
        <w:tc>
          <w:tcPr>
            <w:tcW w:type="dxa" w:w="2340"/>
            <w:tcMar>
              <w:top w:w="80" w:type="dxa"/>
              <w:start w:w="120" w:type="dxa"/>
              <w:bottom w:w="80" w:type="dxa"/>
              <w:end w:w="120" w:type="dxa"/>
            </w:tcMar>
            <w:vAlign w:val="center"/>
          </w:tcPr>
          <w:p>
            <w:pPr>
              <w:spacing w:before="0" w:after="40" w:line="240" w:lineRule="auto"/>
            </w:pPr>
            <w:r>
              <w:rPr>
                <w:rFonts w:ascii="Calibri" w:hAnsi="Calibri"/>
                <w:sz w:val="17"/>
              </w:rPr>
              <w:t>Add log1p feature</w:t>
            </w:r>
          </w:p>
        </w:tc>
      </w:tr>
    </w:tbl>
    <w:p>
      <w:r>
        <w:br w:type="page"/>
      </w:r>
    </w:p>
    <w:p>
      <w:pPr>
        <w:pStyle w:val="Heading1"/>
        <w:keepNext/>
      </w:pPr>
      <w:r>
        <w:t>8. Conclusion</w:t>
      </w:r>
    </w:p>
    <w:p>
      <w:pPr>
        <w:keepLines w:val="0"/>
      </w:pPr>
      <w:r>
        <w:t>The project successfully implemented a consistent, reusable univariate-analysis workflow for numerical features. The custom function produced histograms, boxplots, KDE plots, skewness and kurtosis values, IQR-based flags, interpretations, and transformation recommendations. Age showed only mild asymmetry, while Rating was strongly concentrated at high scores but should remain unchanged because it is ordinal. Positive Feedback Count required treatment because of extreme right skew and heavy tails; log1p substantially improved its distribution.</w:t>
      </w:r>
    </w:p>
    <w:p>
      <w:pPr>
        <w:keepLines w:val="0"/>
      </w:pPr>
      <w:r>
        <w:t>The processed dataset retains the original variables and adds Positive Feedback Count_log1p. This preserves interpretability while providing a more model-friendly representation for future correlation analysis, feature scaling, regression, classification, or customer-review trend modeling.</w:t>
      </w:r>
    </w:p>
    <w:p>
      <w:pPr>
        <w:pStyle w:val="Heading1"/>
        <w:keepNext/>
      </w:pPr>
      <w:r>
        <w:t>9. Project Outputs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Output file</w:t>
            </w:r>
          </w:p>
        </w:tc>
        <w:tc>
          <w:tcPr>
            <w:tcW w:type="dxa" w:w="5760"/>
            <w:tcMar>
              <w:top w:w="80" w:type="dxa"/>
              <w:start w:w="120" w:type="dxa"/>
              <w:bottom w:w="80" w:type="dxa"/>
              <w:end w:w="120" w:type="dxa"/>
            </w:tcMar>
            <w:vAlign w:val="center"/>
            <w:shd w:fill="17365D"/>
          </w:tcPr>
          <w:p>
            <w:pPr>
              <w:spacing w:before="0" w:after="40" w:line="240" w:lineRule="auto"/>
              <w:jc w:val="center"/>
            </w:pPr>
            <w:r>
              <w:rPr>
                <w:rFonts w:ascii="Calibri" w:hAnsi="Calibri"/>
                <w:b/>
                <w:color w:val="FFFFFF"/>
                <w:sz w:val="18"/>
              </w:rPr>
              <w:t>Purpose</w:t>
            </w:r>
          </w:p>
        </w:tc>
      </w:tr>
      <w:tr>
        <w:tc>
          <w:tcPr>
            <w:tcW w:type="dxa" w:w="3600"/>
            <w:tcMar>
              <w:top w:w="80" w:type="dxa"/>
              <w:start w:w="120" w:type="dxa"/>
              <w:bottom w:w="80" w:type="dxa"/>
              <w:end w:w="120" w:type="dxa"/>
            </w:tcMar>
            <w:vAlign w:val="center"/>
          </w:tcPr>
          <w:p>
            <w:pPr>
              <w:spacing w:before="0" w:after="40" w:line="240" w:lineRule="auto"/>
            </w:pPr>
            <w:r>
              <w:rPr>
                <w:rFonts w:ascii="Calibri" w:hAnsi="Calibri"/>
                <w:sz w:val="18"/>
              </w:rPr>
              <w:t>univariate_analysis_summary.csv</w:t>
            </w:r>
          </w:p>
        </w:tc>
        <w:tc>
          <w:tcPr>
            <w:tcW w:type="dxa" w:w="5760"/>
            <w:tcMar>
              <w:top w:w="80" w:type="dxa"/>
              <w:start w:w="120" w:type="dxa"/>
              <w:bottom w:w="80" w:type="dxa"/>
              <w:end w:w="120" w:type="dxa"/>
            </w:tcMar>
            <w:vAlign w:val="center"/>
          </w:tcPr>
          <w:p>
            <w:pPr>
              <w:spacing w:before="0" w:after="40" w:line="240" w:lineRule="auto"/>
            </w:pPr>
            <w:r>
              <w:rPr>
                <w:rFonts w:ascii="Calibri" w:hAnsi="Calibri"/>
                <w:sz w:val="18"/>
              </w:rPr>
              <w:t>Column-level statistics, distribution labels and recommendations.</w:t>
            </w:r>
          </w:p>
        </w:tc>
      </w:tr>
      <w:tr>
        <w:tc>
          <w:tcPr>
            <w:tcW w:type="dxa" w:w="3600"/>
            <w:tcMar>
              <w:top w:w="80" w:type="dxa"/>
              <w:start w:w="120" w:type="dxa"/>
              <w:bottom w:w="80" w:type="dxa"/>
              <w:end w:w="120" w:type="dxa"/>
            </w:tcMar>
            <w:vAlign w:val="center"/>
            <w:shd w:fill="F2F4F7"/>
          </w:tcPr>
          <w:p>
            <w:pPr>
              <w:spacing w:before="0" w:after="40" w:line="240" w:lineRule="auto"/>
            </w:pPr>
            <w:r>
              <w:rPr>
                <w:rFonts w:ascii="Calibri" w:hAnsi="Calibri"/>
                <w:sz w:val="18"/>
              </w:rPr>
              <w:t>womens_clothing_univariate_processed.csv</w:t>
            </w:r>
          </w:p>
        </w:tc>
        <w:tc>
          <w:tcPr>
            <w:tcW w:type="dxa" w:w="5760"/>
            <w:tcMar>
              <w:top w:w="80" w:type="dxa"/>
              <w:start w:w="120" w:type="dxa"/>
              <w:bottom w:w="80" w:type="dxa"/>
              <w:end w:w="120" w:type="dxa"/>
            </w:tcMar>
            <w:vAlign w:val="center"/>
            <w:shd w:fill="F2F4F7"/>
          </w:tcPr>
          <w:p>
            <w:pPr>
              <w:spacing w:before="0" w:after="40" w:line="240" w:lineRule="auto"/>
            </w:pPr>
            <w:r>
              <w:rPr>
                <w:rFonts w:ascii="Calibri" w:hAnsi="Calibri"/>
                <w:sz w:val="18"/>
              </w:rPr>
              <w:t>Dataset containing the added log1p-transformed feedback feature.</w:t>
            </w:r>
          </w:p>
        </w:tc>
      </w:tr>
      <w:tr>
        <w:tc>
          <w:tcPr>
            <w:tcW w:type="dxa" w:w="3600"/>
            <w:tcMar>
              <w:top w:w="80" w:type="dxa"/>
              <w:start w:w="120" w:type="dxa"/>
              <w:bottom w:w="80" w:type="dxa"/>
              <w:end w:w="120" w:type="dxa"/>
            </w:tcMar>
            <w:vAlign w:val="center"/>
          </w:tcPr>
          <w:p>
            <w:pPr>
              <w:spacing w:before="0" w:after="40" w:line="240" w:lineRule="auto"/>
            </w:pPr>
            <w:r>
              <w:rPr>
                <w:rFonts w:ascii="Calibri" w:hAnsi="Calibri"/>
                <w:sz w:val="18"/>
              </w:rPr>
              <w:t>transformation_comparison.csv</w:t>
            </w:r>
          </w:p>
        </w:tc>
        <w:tc>
          <w:tcPr>
            <w:tcW w:type="dxa" w:w="5760"/>
            <w:tcMar>
              <w:top w:w="80" w:type="dxa"/>
              <w:start w:w="120" w:type="dxa"/>
              <w:bottom w:w="80" w:type="dxa"/>
              <w:end w:w="120" w:type="dxa"/>
            </w:tcMar>
            <w:vAlign w:val="center"/>
          </w:tcPr>
          <w:p>
            <w:pPr>
              <w:spacing w:before="0" w:after="40" w:line="240" w:lineRule="auto"/>
            </w:pPr>
            <w:r>
              <w:rPr>
                <w:rFonts w:ascii="Calibri" w:hAnsi="Calibri"/>
                <w:sz w:val="18"/>
              </w:rPr>
              <w:t>Before-and-after skewness comparison for transformed variables.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7"/>
      </w:rPr>
      <w:t>WOMEN'S CLOTHING | UNIVARIATE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 Univariate Analysis Project Report</dc:title>
  <dc:subject>Numerical distribution analysis and transformation</dc:subject>
  <dc:creator>Harsh Panchal</dc:creator>
  <cp:keywords>women's clothing, univariate analysis, skewness, kurtosis, KDE, boxplot, histogram</cp:keywords>
  <dc:description>generated by python-docx</dc:description>
  <cp:lastModifiedBy/>
  <cp:revision>1</cp:revision>
  <dcterms:created xsi:type="dcterms:W3CDTF">2013-12-23T23:15:00Z</dcterms:created>
  <dcterms:modified xsi:type="dcterms:W3CDTF">2013-12-23T23:15:00Z</dcterms:modified>
  <cp:category/>
</cp:coreProperties>
</file>