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Women's Clothing: Trends and Analysis in the Fashion Industry</w:t>
        <w:br/>
      </w:r>
      <w:r>
        <w:rPr>
          <w:rFonts w:ascii="Arial" w:hAnsi="Arial"/>
          <w:color w:val="4A5568"/>
          <w:sz w:val="26"/>
        </w:rPr>
        <w:t>Task 2: Classification Performance Auditing, Chance-Adjusted Metrics, and Precision-Recall Threshold Engineering</w:t>
        <w:br/>
      </w:r>
      <w:r>
        <w:rPr>
          <w:rFonts w:ascii="Arial" w:hAnsi="Arial"/>
          <w:i/>
          <w:color w:val="718096"/>
          <w:sz w:val="20"/>
        </w:rPr>
        <w:t>Date: 26-10-2026 | Track: Advanced Classification Metrics &amp; Threshold Engineering</w:t>
        <w:br/>
      </w:r>
    </w:p>
    <w:p>
      <w:pPr>
        <w:spacing w:before="320" w:after="120"/>
      </w:pPr>
      <w:r>
        <w:rPr>
          <w:rFonts w:ascii="Arial" w:hAnsi="Arial"/>
          <w:b/>
          <w:color w:val="1A365D"/>
          <w:sz w:val="30"/>
        </w:rPr>
        <w:t>1. Executive Summary</w:t>
      </w:r>
    </w:p>
    <w:p>
      <w:pPr>
        <w:spacing w:line="276" w:lineRule="auto" w:after="120"/>
      </w:pPr>
      <w:r>
        <w:rPr>
          <w:rFonts w:ascii="Arial" w:hAnsi="Arial"/>
          <w:color w:val="2D3748"/>
          <w:sz w:val="21"/>
        </w:rPr>
        <w:t>This technical report provides a rigorous performance evaluation of predictive classification models trained on consumer recommendation behavior ('Recommended IND') in women's fashion e-commerce. Because retail review datasets exhibit substantial class imbalance (82.2% positive recommendations vs. 17.8% negative non-recommendations), standard accuracy fails as a diagnostic instrument. This audit computes multi-class and chance-adjusted metrics—including Cohen's Kappa, Matthews Correlation Coefficient (MCC), Balanced Accuracy, and Brier Score—and models operating threshold trade-offs across precision and recall.</w:t>
      </w:r>
    </w:p>
    <w:p>
      <w:pPr>
        <w:spacing w:before="320" w:after="120"/>
      </w:pPr>
      <w:r>
        <w:rPr>
          <w:rFonts w:ascii="Arial" w:hAnsi="Arial"/>
          <w:b/>
          <w:color w:val="1A365D"/>
          <w:sz w:val="30"/>
        </w:rPr>
        <w:t>2. Beyond Accuracy: Theoretical Formulation of Evaluated Metrics</w:t>
      </w:r>
    </w:p>
    <w:p>
      <w:pPr>
        <w:spacing w:line="276" w:lineRule="auto" w:after="120"/>
      </w:pPr>
      <w:r>
        <w:rPr>
          <w:rFonts w:ascii="Arial" w:hAnsi="Arial"/>
          <w:color w:val="2D3748"/>
          <w:sz w:val="21"/>
        </w:rPr>
        <w:t>To overcome the 'Accuracy Paradox', three robust metrics were prioritized:</w:t>
        <w:br/>
        <w:t>1. Matthews Correlation Coefficient (MCC): Measures Pearson correlation between predicted and true binary labels. MCC is robust against class imbalance, producing +1 for perfect prediction, 0 for random guessing, and -1 for total disagreement.</w:t>
        <w:br/>
        <w:t>2. Cohen's Kappa: Quantifies inter-rater agreement between model predictions and ground truth corrected for hypothetical chance agreement.</w:t>
        <w:br/>
        <w:t>3. Brier Score Loss: Assesses probability calibration error, capturing whether predicted recommendation probabilities correspond to empirical frequencies.</w:t>
      </w:r>
    </w:p>
    <w:p>
      <w:pPr>
        <w:spacing w:before="320" w:after="120"/>
      </w:pPr>
      <w:r>
        <w:rPr>
          <w:rFonts w:ascii="Arial" w:hAnsi="Arial"/>
          <w:b/>
          <w:color w:val="1A365D"/>
          <w:sz w:val="30"/>
        </w:rPr>
        <w:t>3. Comprehensive Multi-Metric Benchmark Table</w:t>
      </w:r>
    </w:p>
    <w:p>
      <w:pPr>
        <w:spacing w:line="276" w:lineRule="auto" w:after="120"/>
      </w:pPr>
      <w:r>
        <w:rPr>
          <w:rFonts w:ascii="Arial" w:hAnsi="Arial"/>
          <w:color w:val="2D3748"/>
          <w:sz w:val="21"/>
        </w:rPr>
        <w:t>Table 1 contrasts the held-out test performance of the Naive Majority Baseline against the Tuned Logistic Regression (with balanced class weighting) and the Tuned Random Forest Classifier across 15 diagnostic criteria.</w:t>
      </w:r>
    </w:p>
    <w:tbl>
      <w:tblPr>
        <w:tblW w:type="auto" w:w="0"/>
        <w:jc w:val="center"/>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shd w:fill="1A365D"/>
            <w:tcMar>
              <w:top w:w="120" w:type="dxa"/>
              <w:bottom w:w="120" w:type="dxa"/>
              <w:left w:w="100" w:type="dxa"/>
              <w:right w:w="100" w:type="dxa"/>
            </w:tcMar>
          </w:tcPr>
          <w:p>
            <w:pPr>
              <w:jc w:val="center"/>
            </w:pPr>
            <w:r>
              <w:rPr>
                <w:rFonts w:ascii="Arial" w:hAnsi="Arial"/>
                <w:b/>
                <w:color w:val="FFFFFF"/>
                <w:sz w:val="17"/>
              </w:rPr>
              <w:t>Model</w:t>
            </w:r>
          </w:p>
        </w:tc>
        <w:tc>
          <w:tcPr>
            <w:tcW w:type="dxa" w:w="624"/>
            <w:shd w:fill="1A365D"/>
            <w:tcMar>
              <w:top w:w="120" w:type="dxa"/>
              <w:bottom w:w="120" w:type="dxa"/>
              <w:left w:w="100" w:type="dxa"/>
              <w:right w:w="100" w:type="dxa"/>
            </w:tcMar>
          </w:tcPr>
          <w:p>
            <w:pPr>
              <w:jc w:val="center"/>
            </w:pPr>
            <w:r>
              <w:rPr>
                <w:rFonts w:ascii="Arial" w:hAnsi="Arial"/>
                <w:b/>
                <w:color w:val="FFFFFF"/>
                <w:sz w:val="17"/>
              </w:rPr>
              <w:t>Accuracy</w:t>
            </w:r>
          </w:p>
        </w:tc>
        <w:tc>
          <w:tcPr>
            <w:tcW w:type="dxa" w:w="624"/>
            <w:shd w:fill="1A365D"/>
            <w:tcMar>
              <w:top w:w="120" w:type="dxa"/>
              <w:bottom w:w="120" w:type="dxa"/>
              <w:left w:w="100" w:type="dxa"/>
              <w:right w:w="100" w:type="dxa"/>
            </w:tcMar>
          </w:tcPr>
          <w:p>
            <w:pPr>
              <w:jc w:val="center"/>
            </w:pPr>
            <w:r>
              <w:rPr>
                <w:rFonts w:ascii="Arial" w:hAnsi="Arial"/>
                <w:b/>
                <w:color w:val="FFFFFF"/>
                <w:sz w:val="17"/>
              </w:rPr>
              <w:t>Balanced Accuracy</w:t>
            </w:r>
          </w:p>
        </w:tc>
        <w:tc>
          <w:tcPr>
            <w:tcW w:type="dxa" w:w="624"/>
            <w:shd w:fill="1A365D"/>
            <w:tcMar>
              <w:top w:w="120" w:type="dxa"/>
              <w:bottom w:w="120" w:type="dxa"/>
              <w:left w:w="100" w:type="dxa"/>
              <w:right w:w="100" w:type="dxa"/>
            </w:tcMar>
          </w:tcPr>
          <w:p>
            <w:pPr>
              <w:jc w:val="center"/>
            </w:pPr>
            <w:r>
              <w:rPr>
                <w:rFonts w:ascii="Arial" w:hAnsi="Arial"/>
                <w:b/>
                <w:color w:val="FFFFFF"/>
                <w:sz w:val="17"/>
              </w:rPr>
              <w:t>Precision Class1</w:t>
            </w:r>
          </w:p>
        </w:tc>
        <w:tc>
          <w:tcPr>
            <w:tcW w:type="dxa" w:w="624"/>
            <w:shd w:fill="1A365D"/>
            <w:tcMar>
              <w:top w:w="120" w:type="dxa"/>
              <w:bottom w:w="120" w:type="dxa"/>
              <w:left w:w="100" w:type="dxa"/>
              <w:right w:w="100" w:type="dxa"/>
            </w:tcMar>
          </w:tcPr>
          <w:p>
            <w:pPr>
              <w:jc w:val="center"/>
            </w:pPr>
            <w:r>
              <w:rPr>
                <w:rFonts w:ascii="Arial" w:hAnsi="Arial"/>
                <w:b/>
                <w:color w:val="FFFFFF"/>
                <w:sz w:val="17"/>
              </w:rPr>
              <w:t>Recall Class1</w:t>
            </w:r>
          </w:p>
        </w:tc>
        <w:tc>
          <w:tcPr>
            <w:tcW w:type="dxa" w:w="624"/>
            <w:shd w:fill="1A365D"/>
            <w:tcMar>
              <w:top w:w="120" w:type="dxa"/>
              <w:bottom w:w="120" w:type="dxa"/>
              <w:left w:w="100" w:type="dxa"/>
              <w:right w:w="100" w:type="dxa"/>
            </w:tcMar>
          </w:tcPr>
          <w:p>
            <w:pPr>
              <w:jc w:val="center"/>
            </w:pPr>
            <w:r>
              <w:rPr>
                <w:rFonts w:ascii="Arial" w:hAnsi="Arial"/>
                <w:b/>
                <w:color w:val="FFFFFF"/>
                <w:sz w:val="17"/>
              </w:rPr>
              <w:t>F1 Class1</w:t>
            </w:r>
          </w:p>
        </w:tc>
        <w:tc>
          <w:tcPr>
            <w:tcW w:type="dxa" w:w="624"/>
            <w:shd w:fill="1A365D"/>
            <w:tcMar>
              <w:top w:w="120" w:type="dxa"/>
              <w:bottom w:w="120" w:type="dxa"/>
              <w:left w:w="100" w:type="dxa"/>
              <w:right w:w="100" w:type="dxa"/>
            </w:tcMar>
          </w:tcPr>
          <w:p>
            <w:pPr>
              <w:jc w:val="center"/>
            </w:pPr>
            <w:r>
              <w:rPr>
                <w:rFonts w:ascii="Arial" w:hAnsi="Arial"/>
                <w:b/>
                <w:color w:val="FFFFFF"/>
                <w:sz w:val="17"/>
              </w:rPr>
              <w:t>Precision Class0</w:t>
            </w:r>
          </w:p>
        </w:tc>
        <w:tc>
          <w:tcPr>
            <w:tcW w:type="dxa" w:w="624"/>
            <w:shd w:fill="1A365D"/>
            <w:tcMar>
              <w:top w:w="120" w:type="dxa"/>
              <w:bottom w:w="120" w:type="dxa"/>
              <w:left w:w="100" w:type="dxa"/>
              <w:right w:w="100" w:type="dxa"/>
            </w:tcMar>
          </w:tcPr>
          <w:p>
            <w:pPr>
              <w:jc w:val="center"/>
            </w:pPr>
            <w:r>
              <w:rPr>
                <w:rFonts w:ascii="Arial" w:hAnsi="Arial"/>
                <w:b/>
                <w:color w:val="FFFFFF"/>
                <w:sz w:val="17"/>
              </w:rPr>
              <w:t>Recall Class0</w:t>
            </w:r>
          </w:p>
        </w:tc>
        <w:tc>
          <w:tcPr>
            <w:tcW w:type="dxa" w:w="624"/>
            <w:shd w:fill="1A365D"/>
            <w:tcMar>
              <w:top w:w="120" w:type="dxa"/>
              <w:bottom w:w="120" w:type="dxa"/>
              <w:left w:w="100" w:type="dxa"/>
              <w:right w:w="100" w:type="dxa"/>
            </w:tcMar>
          </w:tcPr>
          <w:p>
            <w:pPr>
              <w:jc w:val="center"/>
            </w:pPr>
            <w:r>
              <w:rPr>
                <w:rFonts w:ascii="Arial" w:hAnsi="Arial"/>
                <w:b/>
                <w:color w:val="FFFFFF"/>
                <w:sz w:val="17"/>
              </w:rPr>
              <w:t>F1 Class0</w:t>
            </w:r>
          </w:p>
        </w:tc>
        <w:tc>
          <w:tcPr>
            <w:tcW w:type="dxa" w:w="624"/>
            <w:shd w:fill="1A365D"/>
            <w:tcMar>
              <w:top w:w="120" w:type="dxa"/>
              <w:bottom w:w="120" w:type="dxa"/>
              <w:left w:w="100" w:type="dxa"/>
              <w:right w:w="100" w:type="dxa"/>
            </w:tcMar>
          </w:tcPr>
          <w:p>
            <w:pPr>
              <w:jc w:val="center"/>
            </w:pPr>
            <w:r>
              <w:rPr>
                <w:rFonts w:ascii="Arial" w:hAnsi="Arial"/>
                <w:b/>
                <w:color w:val="FFFFFF"/>
                <w:sz w:val="17"/>
              </w:rPr>
              <w:t>Macro F1</w:t>
            </w:r>
          </w:p>
        </w:tc>
        <w:tc>
          <w:tcPr>
            <w:tcW w:type="dxa" w:w="624"/>
            <w:shd w:fill="1A365D"/>
            <w:tcMar>
              <w:top w:w="120" w:type="dxa"/>
              <w:bottom w:w="120" w:type="dxa"/>
              <w:left w:w="100" w:type="dxa"/>
              <w:right w:w="100" w:type="dxa"/>
            </w:tcMar>
          </w:tcPr>
          <w:p>
            <w:pPr>
              <w:jc w:val="center"/>
            </w:pPr>
            <w:r>
              <w:rPr>
                <w:rFonts w:ascii="Arial" w:hAnsi="Arial"/>
                <w:b/>
                <w:color w:val="FFFFFF"/>
                <w:sz w:val="17"/>
              </w:rPr>
              <w:t>Cohen Kappa</w:t>
            </w:r>
          </w:p>
        </w:tc>
        <w:tc>
          <w:tcPr>
            <w:tcW w:type="dxa" w:w="624"/>
            <w:shd w:fill="1A365D"/>
            <w:tcMar>
              <w:top w:w="120" w:type="dxa"/>
              <w:bottom w:w="120" w:type="dxa"/>
              <w:left w:w="100" w:type="dxa"/>
              <w:right w:w="100" w:type="dxa"/>
            </w:tcMar>
          </w:tcPr>
          <w:p>
            <w:pPr>
              <w:jc w:val="center"/>
            </w:pPr>
            <w:r>
              <w:rPr>
                <w:rFonts w:ascii="Arial" w:hAnsi="Arial"/>
                <w:b/>
                <w:color w:val="FFFFFF"/>
                <w:sz w:val="17"/>
              </w:rPr>
              <w:t>MCC</w:t>
            </w:r>
          </w:p>
        </w:tc>
        <w:tc>
          <w:tcPr>
            <w:tcW w:type="dxa" w:w="624"/>
            <w:shd w:fill="1A365D"/>
            <w:tcMar>
              <w:top w:w="120" w:type="dxa"/>
              <w:bottom w:w="120" w:type="dxa"/>
              <w:left w:w="100" w:type="dxa"/>
              <w:right w:w="100" w:type="dxa"/>
            </w:tcMar>
          </w:tcPr>
          <w:p>
            <w:pPr>
              <w:jc w:val="center"/>
            </w:pPr>
            <w:r>
              <w:rPr>
                <w:rFonts w:ascii="Arial" w:hAnsi="Arial"/>
                <w:b/>
                <w:color w:val="FFFFFF"/>
                <w:sz w:val="17"/>
              </w:rPr>
              <w:t>ROC AUC</w:t>
            </w:r>
          </w:p>
        </w:tc>
        <w:tc>
          <w:tcPr>
            <w:tcW w:type="dxa" w:w="624"/>
            <w:shd w:fill="1A365D"/>
            <w:tcMar>
              <w:top w:w="120" w:type="dxa"/>
              <w:bottom w:w="120" w:type="dxa"/>
              <w:left w:w="100" w:type="dxa"/>
              <w:right w:w="100" w:type="dxa"/>
            </w:tcMar>
          </w:tcPr>
          <w:p>
            <w:pPr>
              <w:jc w:val="center"/>
            </w:pPr>
            <w:r>
              <w:rPr>
                <w:rFonts w:ascii="Arial" w:hAnsi="Arial"/>
                <w:b/>
                <w:color w:val="FFFFFF"/>
                <w:sz w:val="17"/>
              </w:rPr>
              <w:t>PR AUC</w:t>
            </w:r>
          </w:p>
        </w:tc>
        <w:tc>
          <w:tcPr>
            <w:tcW w:type="dxa" w:w="624"/>
            <w:shd w:fill="1A365D"/>
            <w:tcMar>
              <w:top w:w="120" w:type="dxa"/>
              <w:bottom w:w="120" w:type="dxa"/>
              <w:left w:w="100" w:type="dxa"/>
              <w:right w:w="100" w:type="dxa"/>
            </w:tcMar>
          </w:tcPr>
          <w:p>
            <w:pPr>
              <w:jc w:val="center"/>
            </w:pPr>
            <w:r>
              <w:rPr>
                <w:rFonts w:ascii="Arial" w:hAnsi="Arial"/>
                <w:b/>
                <w:color w:val="FFFFFF"/>
                <w:sz w:val="17"/>
              </w:rPr>
              <w:t>Brier Score</w:t>
            </w:r>
          </w:p>
        </w:tc>
      </w:tr>
      <w:tr>
        <w:tc>
          <w:tcPr>
            <w:tcW w:type="dxa" w:w="624"/>
            <w:shd w:fill="FFFFFF"/>
            <w:tcMar>
              <w:top w:w="80" w:type="dxa"/>
              <w:bottom w:w="80" w:type="dxa"/>
              <w:left w:w="100" w:type="dxa"/>
              <w:right w:w="100" w:type="dxa"/>
            </w:tcMar>
          </w:tcPr>
          <w:p>
            <w:pPr>
              <w:jc w:val="left"/>
            </w:pPr>
            <w:r>
              <w:rPr>
                <w:rFonts w:ascii="Arial" w:hAnsi="Arial"/>
                <w:color w:val="2D3748"/>
                <w:sz w:val="16"/>
              </w:rPr>
              <w:t>Naive Majority Predictor</w:t>
            </w:r>
          </w:p>
        </w:tc>
        <w:tc>
          <w:tcPr>
            <w:tcW w:type="dxa" w:w="624"/>
            <w:shd w:fill="FFFFFF"/>
            <w:tcMar>
              <w:top w:w="80" w:type="dxa"/>
              <w:bottom w:w="80" w:type="dxa"/>
              <w:left w:w="100" w:type="dxa"/>
              <w:right w:w="100" w:type="dxa"/>
            </w:tcMar>
          </w:tcPr>
          <w:p>
            <w:pPr>
              <w:jc w:val="center"/>
            </w:pPr>
            <w:r>
              <w:rPr>
                <w:rFonts w:ascii="Arial" w:hAnsi="Arial"/>
                <w:color w:val="2D3748"/>
                <w:sz w:val="16"/>
              </w:rPr>
              <w:t>0.8223</w:t>
            </w:r>
          </w:p>
        </w:tc>
        <w:tc>
          <w:tcPr>
            <w:tcW w:type="dxa" w:w="624"/>
            <w:shd w:fill="FFFFFF"/>
            <w:tcMar>
              <w:top w:w="80" w:type="dxa"/>
              <w:bottom w:w="80" w:type="dxa"/>
              <w:left w:w="100" w:type="dxa"/>
              <w:right w:w="100" w:type="dxa"/>
            </w:tcMar>
          </w:tcPr>
          <w:p>
            <w:pPr>
              <w:jc w:val="center"/>
            </w:pPr>
            <w:r>
              <w:rPr>
                <w:rFonts w:ascii="Arial" w:hAnsi="Arial"/>
                <w:color w:val="2D3748"/>
                <w:sz w:val="16"/>
              </w:rPr>
              <w:t>0.5</w:t>
            </w:r>
          </w:p>
        </w:tc>
        <w:tc>
          <w:tcPr>
            <w:tcW w:type="dxa" w:w="624"/>
            <w:shd w:fill="FFFFFF"/>
            <w:tcMar>
              <w:top w:w="80" w:type="dxa"/>
              <w:bottom w:w="80" w:type="dxa"/>
              <w:left w:w="100" w:type="dxa"/>
              <w:right w:w="100" w:type="dxa"/>
            </w:tcMar>
          </w:tcPr>
          <w:p>
            <w:pPr>
              <w:jc w:val="center"/>
            </w:pPr>
            <w:r>
              <w:rPr>
                <w:rFonts w:ascii="Arial" w:hAnsi="Arial"/>
                <w:color w:val="2D3748"/>
                <w:sz w:val="16"/>
              </w:rPr>
              <w:t>0.8223</w:t>
            </w:r>
          </w:p>
        </w:tc>
        <w:tc>
          <w:tcPr>
            <w:tcW w:type="dxa" w:w="624"/>
            <w:shd w:fill="FFFFFF"/>
            <w:tcMar>
              <w:top w:w="80" w:type="dxa"/>
              <w:bottom w:w="80" w:type="dxa"/>
              <w:left w:w="100" w:type="dxa"/>
              <w:right w:w="100" w:type="dxa"/>
            </w:tcMar>
          </w:tcPr>
          <w:p>
            <w:pPr>
              <w:jc w:val="center"/>
            </w:pPr>
            <w:r>
              <w:rPr>
                <w:rFonts w:ascii="Arial" w:hAnsi="Arial"/>
                <w:color w:val="2D3748"/>
                <w:sz w:val="16"/>
              </w:rPr>
              <w:t>1.0</w:t>
            </w:r>
          </w:p>
        </w:tc>
        <w:tc>
          <w:tcPr>
            <w:tcW w:type="dxa" w:w="624"/>
            <w:shd w:fill="FFFFFF"/>
            <w:tcMar>
              <w:top w:w="80" w:type="dxa"/>
              <w:bottom w:w="80" w:type="dxa"/>
              <w:left w:w="100" w:type="dxa"/>
              <w:right w:w="100" w:type="dxa"/>
            </w:tcMar>
          </w:tcPr>
          <w:p>
            <w:pPr>
              <w:jc w:val="center"/>
            </w:pPr>
            <w:r>
              <w:rPr>
                <w:rFonts w:ascii="Arial" w:hAnsi="Arial"/>
                <w:color w:val="2D3748"/>
                <w:sz w:val="16"/>
              </w:rPr>
              <w:t>0.9025</w:t>
            </w:r>
          </w:p>
        </w:tc>
        <w:tc>
          <w:tcPr>
            <w:tcW w:type="dxa" w:w="624"/>
            <w:shd w:fill="FFFFFF"/>
            <w:tcMar>
              <w:top w:w="80" w:type="dxa"/>
              <w:bottom w:w="80" w:type="dxa"/>
              <w:left w:w="100" w:type="dxa"/>
              <w:right w:w="100" w:type="dxa"/>
            </w:tcMar>
          </w:tcPr>
          <w:p>
            <w:pPr>
              <w:jc w:val="center"/>
            </w:pPr>
            <w:r>
              <w:rPr>
                <w:rFonts w:ascii="Arial" w:hAnsi="Arial"/>
                <w:color w:val="2D3748"/>
                <w:sz w:val="16"/>
              </w:rPr>
              <w:t>0.0</w:t>
            </w:r>
          </w:p>
        </w:tc>
        <w:tc>
          <w:tcPr>
            <w:tcW w:type="dxa" w:w="624"/>
            <w:shd w:fill="FFFFFF"/>
            <w:tcMar>
              <w:top w:w="80" w:type="dxa"/>
              <w:bottom w:w="80" w:type="dxa"/>
              <w:left w:w="100" w:type="dxa"/>
              <w:right w:w="100" w:type="dxa"/>
            </w:tcMar>
          </w:tcPr>
          <w:p>
            <w:pPr>
              <w:jc w:val="center"/>
            </w:pPr>
            <w:r>
              <w:rPr>
                <w:rFonts w:ascii="Arial" w:hAnsi="Arial"/>
                <w:color w:val="2D3748"/>
                <w:sz w:val="16"/>
              </w:rPr>
              <w:t>0.0</w:t>
            </w:r>
          </w:p>
        </w:tc>
        <w:tc>
          <w:tcPr>
            <w:tcW w:type="dxa" w:w="624"/>
            <w:shd w:fill="FFFFFF"/>
            <w:tcMar>
              <w:top w:w="80" w:type="dxa"/>
              <w:bottom w:w="80" w:type="dxa"/>
              <w:left w:w="100" w:type="dxa"/>
              <w:right w:w="100" w:type="dxa"/>
            </w:tcMar>
          </w:tcPr>
          <w:p>
            <w:pPr>
              <w:jc w:val="center"/>
            </w:pPr>
            <w:r>
              <w:rPr>
                <w:rFonts w:ascii="Arial" w:hAnsi="Arial"/>
                <w:color w:val="2D3748"/>
                <w:sz w:val="16"/>
              </w:rPr>
              <w:t>0.0</w:t>
            </w:r>
          </w:p>
        </w:tc>
        <w:tc>
          <w:tcPr>
            <w:tcW w:type="dxa" w:w="624"/>
            <w:shd w:fill="FFFFFF"/>
            <w:tcMar>
              <w:top w:w="80" w:type="dxa"/>
              <w:bottom w:w="80" w:type="dxa"/>
              <w:left w:w="100" w:type="dxa"/>
              <w:right w:w="100" w:type="dxa"/>
            </w:tcMar>
          </w:tcPr>
          <w:p>
            <w:pPr>
              <w:jc w:val="center"/>
            </w:pPr>
            <w:r>
              <w:rPr>
                <w:rFonts w:ascii="Arial" w:hAnsi="Arial"/>
                <w:color w:val="2D3748"/>
                <w:sz w:val="16"/>
              </w:rPr>
              <w:t>0.4512</w:t>
            </w:r>
          </w:p>
        </w:tc>
        <w:tc>
          <w:tcPr>
            <w:tcW w:type="dxa" w:w="624"/>
            <w:shd w:fill="FFFFFF"/>
            <w:tcMar>
              <w:top w:w="80" w:type="dxa"/>
              <w:bottom w:w="80" w:type="dxa"/>
              <w:left w:w="100" w:type="dxa"/>
              <w:right w:w="100" w:type="dxa"/>
            </w:tcMar>
          </w:tcPr>
          <w:p>
            <w:pPr>
              <w:jc w:val="center"/>
            </w:pPr>
            <w:r>
              <w:rPr>
                <w:rFonts w:ascii="Arial" w:hAnsi="Arial"/>
                <w:color w:val="2D3748"/>
                <w:sz w:val="16"/>
              </w:rPr>
              <w:t>0.0</w:t>
            </w:r>
          </w:p>
        </w:tc>
        <w:tc>
          <w:tcPr>
            <w:tcW w:type="dxa" w:w="624"/>
            <w:shd w:fill="FFFFFF"/>
            <w:tcMar>
              <w:top w:w="80" w:type="dxa"/>
              <w:bottom w:w="80" w:type="dxa"/>
              <w:left w:w="100" w:type="dxa"/>
              <w:right w:w="100" w:type="dxa"/>
            </w:tcMar>
          </w:tcPr>
          <w:p>
            <w:pPr>
              <w:jc w:val="center"/>
            </w:pPr>
            <w:r>
              <w:rPr>
                <w:rFonts w:ascii="Arial" w:hAnsi="Arial"/>
                <w:color w:val="2D3748"/>
                <w:sz w:val="16"/>
              </w:rPr>
              <w:t>0.0</w:t>
            </w:r>
          </w:p>
        </w:tc>
        <w:tc>
          <w:tcPr>
            <w:tcW w:type="dxa" w:w="624"/>
            <w:shd w:fill="FFFFFF"/>
            <w:tcMar>
              <w:top w:w="80" w:type="dxa"/>
              <w:bottom w:w="80" w:type="dxa"/>
              <w:left w:w="100" w:type="dxa"/>
              <w:right w:w="100" w:type="dxa"/>
            </w:tcMar>
          </w:tcPr>
          <w:p>
            <w:pPr>
              <w:jc w:val="center"/>
            </w:pPr>
            <w:r>
              <w:rPr>
                <w:rFonts w:ascii="Arial" w:hAnsi="Arial"/>
                <w:color w:val="2D3748"/>
                <w:sz w:val="16"/>
              </w:rPr>
              <w:t>0.5</w:t>
            </w:r>
          </w:p>
        </w:tc>
        <w:tc>
          <w:tcPr>
            <w:tcW w:type="dxa" w:w="624"/>
            <w:shd w:fill="FFFFFF"/>
            <w:tcMar>
              <w:top w:w="80" w:type="dxa"/>
              <w:bottom w:w="80" w:type="dxa"/>
              <w:left w:w="100" w:type="dxa"/>
              <w:right w:w="100" w:type="dxa"/>
            </w:tcMar>
          </w:tcPr>
          <w:p>
            <w:pPr>
              <w:jc w:val="center"/>
            </w:pPr>
            <w:r>
              <w:rPr>
                <w:rFonts w:ascii="Arial" w:hAnsi="Arial"/>
                <w:color w:val="2D3748"/>
                <w:sz w:val="16"/>
              </w:rPr>
              <w:t>0.8223</w:t>
            </w:r>
          </w:p>
        </w:tc>
        <w:tc>
          <w:tcPr>
            <w:tcW w:type="dxa" w:w="624"/>
            <w:shd w:fill="FFFFFF"/>
            <w:tcMar>
              <w:top w:w="80" w:type="dxa"/>
              <w:bottom w:w="80" w:type="dxa"/>
              <w:left w:w="100" w:type="dxa"/>
              <w:right w:w="100" w:type="dxa"/>
            </w:tcMar>
          </w:tcPr>
          <w:p>
            <w:pPr>
              <w:jc w:val="center"/>
            </w:pPr>
            <w:r>
              <w:rPr>
                <w:rFonts w:ascii="Arial" w:hAnsi="Arial"/>
                <w:color w:val="2D3748"/>
                <w:sz w:val="16"/>
              </w:rPr>
              <w:t>0.1461</w:t>
            </w:r>
          </w:p>
        </w:tc>
      </w:tr>
      <w:tr>
        <w:tc>
          <w:tcPr>
            <w:tcW w:type="dxa" w:w="624"/>
            <w:shd w:fill="F7FAFC"/>
            <w:tcMar>
              <w:top w:w="80" w:type="dxa"/>
              <w:bottom w:w="80" w:type="dxa"/>
              <w:left w:w="100" w:type="dxa"/>
              <w:right w:w="100" w:type="dxa"/>
            </w:tcMar>
          </w:tcPr>
          <w:p>
            <w:pPr>
              <w:jc w:val="left"/>
            </w:pPr>
            <w:r>
              <w:rPr>
                <w:rFonts w:ascii="Arial" w:hAnsi="Arial"/>
                <w:color w:val="2D3748"/>
                <w:sz w:val="16"/>
              </w:rPr>
              <w:t>Logistic Regression (Balanced)</w:t>
            </w:r>
          </w:p>
        </w:tc>
        <w:tc>
          <w:tcPr>
            <w:tcW w:type="dxa" w:w="624"/>
            <w:shd w:fill="F7FAFC"/>
            <w:tcMar>
              <w:top w:w="80" w:type="dxa"/>
              <w:bottom w:w="80" w:type="dxa"/>
              <w:left w:w="100" w:type="dxa"/>
              <w:right w:w="100" w:type="dxa"/>
            </w:tcMar>
          </w:tcPr>
          <w:p>
            <w:pPr>
              <w:jc w:val="center"/>
            </w:pPr>
            <w:r>
              <w:rPr>
                <w:rFonts w:ascii="Arial" w:hAnsi="Arial"/>
                <w:color w:val="2D3748"/>
                <w:sz w:val="16"/>
              </w:rPr>
              <w:t>0.9355</w:t>
            </w:r>
          </w:p>
        </w:tc>
        <w:tc>
          <w:tcPr>
            <w:tcW w:type="dxa" w:w="624"/>
            <w:shd w:fill="F7FAFC"/>
            <w:tcMar>
              <w:top w:w="80" w:type="dxa"/>
              <w:bottom w:w="80" w:type="dxa"/>
              <w:left w:w="100" w:type="dxa"/>
              <w:right w:w="100" w:type="dxa"/>
            </w:tcMar>
          </w:tcPr>
          <w:p>
            <w:pPr>
              <w:jc w:val="center"/>
            </w:pPr>
            <w:r>
              <w:rPr>
                <w:rFonts w:ascii="Arial" w:hAnsi="Arial"/>
                <w:color w:val="2D3748"/>
                <w:sz w:val="16"/>
              </w:rPr>
              <w:t>0.9401</w:t>
            </w:r>
          </w:p>
        </w:tc>
        <w:tc>
          <w:tcPr>
            <w:tcW w:type="dxa" w:w="624"/>
            <w:shd w:fill="F7FAFC"/>
            <w:tcMar>
              <w:top w:w="80" w:type="dxa"/>
              <w:bottom w:w="80" w:type="dxa"/>
              <w:left w:w="100" w:type="dxa"/>
              <w:right w:w="100" w:type="dxa"/>
            </w:tcMar>
          </w:tcPr>
          <w:p>
            <w:pPr>
              <w:jc w:val="center"/>
            </w:pPr>
            <w:r>
              <w:rPr>
                <w:rFonts w:ascii="Arial" w:hAnsi="Arial"/>
                <w:color w:val="2D3748"/>
                <w:sz w:val="16"/>
              </w:rPr>
              <w:t>0.9879</w:t>
            </w:r>
          </w:p>
        </w:tc>
        <w:tc>
          <w:tcPr>
            <w:tcW w:type="dxa" w:w="624"/>
            <w:shd w:fill="F7FAFC"/>
            <w:tcMar>
              <w:top w:w="80" w:type="dxa"/>
              <w:bottom w:w="80" w:type="dxa"/>
              <w:left w:w="100" w:type="dxa"/>
              <w:right w:w="100" w:type="dxa"/>
            </w:tcMar>
          </w:tcPr>
          <w:p>
            <w:pPr>
              <w:jc w:val="center"/>
            </w:pPr>
            <w:r>
              <w:rPr>
                <w:rFonts w:ascii="Arial" w:hAnsi="Arial"/>
                <w:color w:val="2D3748"/>
                <w:sz w:val="16"/>
              </w:rPr>
              <w:t>0.933</w:t>
            </w:r>
          </w:p>
        </w:tc>
        <w:tc>
          <w:tcPr>
            <w:tcW w:type="dxa" w:w="624"/>
            <w:shd w:fill="F7FAFC"/>
            <w:tcMar>
              <w:top w:w="80" w:type="dxa"/>
              <w:bottom w:w="80" w:type="dxa"/>
              <w:left w:w="100" w:type="dxa"/>
              <w:right w:w="100" w:type="dxa"/>
            </w:tcMar>
          </w:tcPr>
          <w:p>
            <w:pPr>
              <w:jc w:val="center"/>
            </w:pPr>
            <w:r>
              <w:rPr>
                <w:rFonts w:ascii="Arial" w:hAnsi="Arial"/>
                <w:color w:val="2D3748"/>
                <w:sz w:val="16"/>
              </w:rPr>
              <w:t>0.9597</w:t>
            </w:r>
          </w:p>
        </w:tc>
        <w:tc>
          <w:tcPr>
            <w:tcW w:type="dxa" w:w="624"/>
            <w:shd w:fill="F7FAFC"/>
            <w:tcMar>
              <w:top w:w="80" w:type="dxa"/>
              <w:bottom w:w="80" w:type="dxa"/>
              <w:left w:w="100" w:type="dxa"/>
              <w:right w:w="100" w:type="dxa"/>
            </w:tcMar>
          </w:tcPr>
          <w:p>
            <w:pPr>
              <w:jc w:val="center"/>
            </w:pPr>
            <w:r>
              <w:rPr>
                <w:rFonts w:ascii="Arial" w:hAnsi="Arial"/>
                <w:color w:val="2D3748"/>
                <w:sz w:val="16"/>
              </w:rPr>
              <w:t>0.7533</w:t>
            </w:r>
          </w:p>
        </w:tc>
        <w:tc>
          <w:tcPr>
            <w:tcW w:type="dxa" w:w="624"/>
            <w:shd w:fill="F7FAFC"/>
            <w:tcMar>
              <w:top w:w="80" w:type="dxa"/>
              <w:bottom w:w="80" w:type="dxa"/>
              <w:left w:w="100" w:type="dxa"/>
              <w:right w:w="100" w:type="dxa"/>
            </w:tcMar>
          </w:tcPr>
          <w:p>
            <w:pPr>
              <w:jc w:val="center"/>
            </w:pPr>
            <w:r>
              <w:rPr>
                <w:rFonts w:ascii="Arial" w:hAnsi="Arial"/>
                <w:color w:val="2D3748"/>
                <w:sz w:val="16"/>
              </w:rPr>
              <w:t>0.9473</w:t>
            </w:r>
          </w:p>
        </w:tc>
        <w:tc>
          <w:tcPr>
            <w:tcW w:type="dxa" w:w="624"/>
            <w:shd w:fill="F7FAFC"/>
            <w:tcMar>
              <w:top w:w="80" w:type="dxa"/>
              <w:bottom w:w="80" w:type="dxa"/>
              <w:left w:w="100" w:type="dxa"/>
              <w:right w:w="100" w:type="dxa"/>
            </w:tcMar>
          </w:tcPr>
          <w:p>
            <w:pPr>
              <w:jc w:val="center"/>
            </w:pPr>
            <w:r>
              <w:rPr>
                <w:rFonts w:ascii="Arial" w:hAnsi="Arial"/>
                <w:color w:val="2D3748"/>
                <w:sz w:val="16"/>
              </w:rPr>
              <w:t>0.8393</w:t>
            </w:r>
          </w:p>
        </w:tc>
        <w:tc>
          <w:tcPr>
            <w:tcW w:type="dxa" w:w="624"/>
            <w:shd w:fill="F7FAFC"/>
            <w:tcMar>
              <w:top w:w="80" w:type="dxa"/>
              <w:bottom w:w="80" w:type="dxa"/>
              <w:left w:w="100" w:type="dxa"/>
              <w:right w:w="100" w:type="dxa"/>
            </w:tcMar>
          </w:tcPr>
          <w:p>
            <w:pPr>
              <w:jc w:val="center"/>
            </w:pPr>
            <w:r>
              <w:rPr>
                <w:rFonts w:ascii="Arial" w:hAnsi="Arial"/>
                <w:color w:val="2D3748"/>
                <w:sz w:val="16"/>
              </w:rPr>
              <w:t>0.8995</w:t>
            </w:r>
          </w:p>
        </w:tc>
        <w:tc>
          <w:tcPr>
            <w:tcW w:type="dxa" w:w="624"/>
            <w:shd w:fill="F7FAFC"/>
            <w:tcMar>
              <w:top w:w="80" w:type="dxa"/>
              <w:bottom w:w="80" w:type="dxa"/>
              <w:left w:w="100" w:type="dxa"/>
              <w:right w:w="100" w:type="dxa"/>
            </w:tcMar>
          </w:tcPr>
          <w:p>
            <w:pPr>
              <w:jc w:val="center"/>
            </w:pPr>
            <w:r>
              <w:rPr>
                <w:rFonts w:ascii="Arial" w:hAnsi="Arial"/>
                <w:color w:val="2D3748"/>
                <w:sz w:val="16"/>
              </w:rPr>
              <w:t>0.7996</w:t>
            </w:r>
          </w:p>
        </w:tc>
        <w:tc>
          <w:tcPr>
            <w:tcW w:type="dxa" w:w="624"/>
            <w:shd w:fill="F7FAFC"/>
            <w:tcMar>
              <w:top w:w="80" w:type="dxa"/>
              <w:bottom w:w="80" w:type="dxa"/>
              <w:left w:w="100" w:type="dxa"/>
              <w:right w:w="100" w:type="dxa"/>
            </w:tcMar>
          </w:tcPr>
          <w:p>
            <w:pPr>
              <w:jc w:val="center"/>
            </w:pPr>
            <w:r>
              <w:rPr>
                <w:rFonts w:ascii="Arial" w:hAnsi="Arial"/>
                <w:color w:val="2D3748"/>
                <w:sz w:val="16"/>
              </w:rPr>
              <w:t>0.8078</w:t>
            </w:r>
          </w:p>
        </w:tc>
        <w:tc>
          <w:tcPr>
            <w:tcW w:type="dxa" w:w="624"/>
            <w:shd w:fill="F7FAFC"/>
            <w:tcMar>
              <w:top w:w="80" w:type="dxa"/>
              <w:bottom w:w="80" w:type="dxa"/>
              <w:left w:w="100" w:type="dxa"/>
              <w:right w:w="100" w:type="dxa"/>
            </w:tcMar>
          </w:tcPr>
          <w:p>
            <w:pPr>
              <w:jc w:val="center"/>
            </w:pPr>
            <w:r>
              <w:rPr>
                <w:rFonts w:ascii="Arial" w:hAnsi="Arial"/>
                <w:color w:val="2D3748"/>
                <w:sz w:val="16"/>
              </w:rPr>
              <w:t>0.9779</w:t>
            </w:r>
          </w:p>
        </w:tc>
        <w:tc>
          <w:tcPr>
            <w:tcW w:type="dxa" w:w="624"/>
            <w:shd w:fill="F7FAFC"/>
            <w:tcMar>
              <w:top w:w="80" w:type="dxa"/>
              <w:bottom w:w="80" w:type="dxa"/>
              <w:left w:w="100" w:type="dxa"/>
              <w:right w:w="100" w:type="dxa"/>
            </w:tcMar>
          </w:tcPr>
          <w:p>
            <w:pPr>
              <w:jc w:val="center"/>
            </w:pPr>
            <w:r>
              <w:rPr>
                <w:rFonts w:ascii="Arial" w:hAnsi="Arial"/>
                <w:color w:val="2D3748"/>
                <w:sz w:val="16"/>
              </w:rPr>
              <w:t>0.9948</w:t>
            </w:r>
          </w:p>
        </w:tc>
        <w:tc>
          <w:tcPr>
            <w:tcW w:type="dxa" w:w="624"/>
            <w:shd w:fill="F7FAFC"/>
            <w:tcMar>
              <w:top w:w="80" w:type="dxa"/>
              <w:bottom w:w="80" w:type="dxa"/>
              <w:left w:w="100" w:type="dxa"/>
              <w:right w:w="100" w:type="dxa"/>
            </w:tcMar>
          </w:tcPr>
          <w:p>
            <w:pPr>
              <w:jc w:val="center"/>
            </w:pPr>
            <w:r>
              <w:rPr>
                <w:rFonts w:ascii="Arial" w:hAnsi="Arial"/>
                <w:color w:val="2D3748"/>
                <w:sz w:val="16"/>
              </w:rPr>
              <w:t>0.0516</w:t>
            </w:r>
          </w:p>
        </w:tc>
      </w:tr>
      <w:tr>
        <w:tc>
          <w:tcPr>
            <w:tcW w:type="dxa" w:w="624"/>
            <w:shd w:fill="FFFFFF"/>
            <w:tcMar>
              <w:top w:w="80" w:type="dxa"/>
              <w:bottom w:w="80" w:type="dxa"/>
              <w:left w:w="100" w:type="dxa"/>
              <w:right w:w="100" w:type="dxa"/>
            </w:tcMar>
          </w:tcPr>
          <w:p>
            <w:pPr>
              <w:jc w:val="left"/>
            </w:pPr>
            <w:r>
              <w:rPr>
                <w:rFonts w:ascii="Arial" w:hAnsi="Arial"/>
                <w:color w:val="2D3748"/>
                <w:sz w:val="16"/>
              </w:rPr>
              <w:t>Random Forest Classifier</w:t>
            </w:r>
          </w:p>
        </w:tc>
        <w:tc>
          <w:tcPr>
            <w:tcW w:type="dxa" w:w="624"/>
            <w:shd w:fill="FFFFFF"/>
            <w:tcMar>
              <w:top w:w="80" w:type="dxa"/>
              <w:bottom w:w="80" w:type="dxa"/>
              <w:left w:w="100" w:type="dxa"/>
              <w:right w:w="100" w:type="dxa"/>
            </w:tcMar>
          </w:tcPr>
          <w:p>
            <w:pPr>
              <w:jc w:val="center"/>
            </w:pPr>
            <w:r>
              <w:rPr>
                <w:rFonts w:ascii="Arial" w:hAnsi="Arial"/>
                <w:color w:val="2D3748"/>
                <w:sz w:val="16"/>
              </w:rPr>
              <w:t>0.9413</w:t>
            </w:r>
          </w:p>
        </w:tc>
        <w:tc>
          <w:tcPr>
            <w:tcW w:type="dxa" w:w="624"/>
            <w:shd w:fill="FFFFFF"/>
            <w:tcMar>
              <w:top w:w="80" w:type="dxa"/>
              <w:bottom w:w="80" w:type="dxa"/>
              <w:left w:w="100" w:type="dxa"/>
              <w:right w:w="100" w:type="dxa"/>
            </w:tcMar>
          </w:tcPr>
          <w:p>
            <w:pPr>
              <w:jc w:val="center"/>
            </w:pPr>
            <w:r>
              <w:rPr>
                <w:rFonts w:ascii="Arial" w:hAnsi="Arial"/>
                <w:color w:val="2D3748"/>
                <w:sz w:val="16"/>
              </w:rPr>
              <w:t>0.9056</w:t>
            </w:r>
          </w:p>
        </w:tc>
        <w:tc>
          <w:tcPr>
            <w:tcW w:type="dxa" w:w="624"/>
            <w:shd w:fill="FFFFFF"/>
            <w:tcMar>
              <w:top w:w="80" w:type="dxa"/>
              <w:bottom w:w="80" w:type="dxa"/>
              <w:left w:w="100" w:type="dxa"/>
              <w:right w:w="100" w:type="dxa"/>
            </w:tcMar>
          </w:tcPr>
          <w:p>
            <w:pPr>
              <w:jc w:val="center"/>
            </w:pPr>
            <w:r>
              <w:rPr>
                <w:rFonts w:ascii="Arial" w:hAnsi="Arial"/>
                <w:color w:val="2D3748"/>
                <w:sz w:val="16"/>
              </w:rPr>
              <w:t>0.9674</w:t>
            </w:r>
          </w:p>
        </w:tc>
        <w:tc>
          <w:tcPr>
            <w:tcW w:type="dxa" w:w="624"/>
            <w:shd w:fill="FFFFFF"/>
            <w:tcMar>
              <w:top w:w="80" w:type="dxa"/>
              <w:bottom w:w="80" w:type="dxa"/>
              <w:left w:w="100" w:type="dxa"/>
              <w:right w:w="100" w:type="dxa"/>
            </w:tcMar>
          </w:tcPr>
          <w:p>
            <w:pPr>
              <w:jc w:val="center"/>
            </w:pPr>
            <w:r>
              <w:rPr>
                <w:rFonts w:ascii="Arial" w:hAnsi="Arial"/>
                <w:color w:val="2D3748"/>
                <w:sz w:val="16"/>
              </w:rPr>
              <w:t>0.9609</w:t>
            </w:r>
          </w:p>
        </w:tc>
        <w:tc>
          <w:tcPr>
            <w:tcW w:type="dxa" w:w="624"/>
            <w:shd w:fill="FFFFFF"/>
            <w:tcMar>
              <w:top w:w="80" w:type="dxa"/>
              <w:bottom w:w="80" w:type="dxa"/>
              <w:left w:w="100" w:type="dxa"/>
              <w:right w:w="100" w:type="dxa"/>
            </w:tcMar>
          </w:tcPr>
          <w:p>
            <w:pPr>
              <w:jc w:val="center"/>
            </w:pPr>
            <w:r>
              <w:rPr>
                <w:rFonts w:ascii="Arial" w:hAnsi="Arial"/>
                <w:color w:val="2D3748"/>
                <w:sz w:val="16"/>
              </w:rPr>
              <w:t>0.9642</w:t>
            </w:r>
          </w:p>
        </w:tc>
        <w:tc>
          <w:tcPr>
            <w:tcW w:type="dxa" w:w="624"/>
            <w:shd w:fill="FFFFFF"/>
            <w:tcMar>
              <w:top w:w="80" w:type="dxa"/>
              <w:bottom w:w="80" w:type="dxa"/>
              <w:left w:w="100" w:type="dxa"/>
              <w:right w:w="100" w:type="dxa"/>
            </w:tcMar>
          </w:tcPr>
          <w:p>
            <w:pPr>
              <w:jc w:val="center"/>
            </w:pPr>
            <w:r>
              <w:rPr>
                <w:rFonts w:ascii="Arial" w:hAnsi="Arial"/>
                <w:color w:val="2D3748"/>
                <w:sz w:val="16"/>
              </w:rPr>
              <w:t>0.8246</w:t>
            </w:r>
          </w:p>
        </w:tc>
        <w:tc>
          <w:tcPr>
            <w:tcW w:type="dxa" w:w="624"/>
            <w:shd w:fill="FFFFFF"/>
            <w:tcMar>
              <w:top w:w="80" w:type="dxa"/>
              <w:bottom w:w="80" w:type="dxa"/>
              <w:left w:w="100" w:type="dxa"/>
              <w:right w:w="100" w:type="dxa"/>
            </w:tcMar>
          </w:tcPr>
          <w:p>
            <w:pPr>
              <w:jc w:val="center"/>
            </w:pPr>
            <w:r>
              <w:rPr>
                <w:rFonts w:ascii="Arial" w:hAnsi="Arial"/>
                <w:color w:val="2D3748"/>
                <w:sz w:val="16"/>
              </w:rPr>
              <w:t>0.8503</w:t>
            </w:r>
          </w:p>
        </w:tc>
        <w:tc>
          <w:tcPr>
            <w:tcW w:type="dxa" w:w="624"/>
            <w:shd w:fill="FFFFFF"/>
            <w:tcMar>
              <w:top w:w="80" w:type="dxa"/>
              <w:bottom w:w="80" w:type="dxa"/>
              <w:left w:w="100" w:type="dxa"/>
              <w:right w:w="100" w:type="dxa"/>
            </w:tcMar>
          </w:tcPr>
          <w:p>
            <w:pPr>
              <w:jc w:val="center"/>
            </w:pPr>
            <w:r>
              <w:rPr>
                <w:rFonts w:ascii="Arial" w:hAnsi="Arial"/>
                <w:color w:val="2D3748"/>
                <w:sz w:val="16"/>
              </w:rPr>
              <w:t>0.8373</w:t>
            </w:r>
          </w:p>
        </w:tc>
        <w:tc>
          <w:tcPr>
            <w:tcW w:type="dxa" w:w="624"/>
            <w:shd w:fill="FFFFFF"/>
            <w:tcMar>
              <w:top w:w="80" w:type="dxa"/>
              <w:bottom w:w="80" w:type="dxa"/>
              <w:left w:w="100" w:type="dxa"/>
              <w:right w:w="100" w:type="dxa"/>
            </w:tcMar>
          </w:tcPr>
          <w:p>
            <w:pPr>
              <w:jc w:val="center"/>
            </w:pPr>
            <w:r>
              <w:rPr>
                <w:rFonts w:ascii="Arial" w:hAnsi="Arial"/>
                <w:color w:val="2D3748"/>
                <w:sz w:val="16"/>
              </w:rPr>
              <w:t>0.9007</w:t>
            </w:r>
          </w:p>
        </w:tc>
        <w:tc>
          <w:tcPr>
            <w:tcW w:type="dxa" w:w="624"/>
            <w:shd w:fill="FFFFFF"/>
            <w:tcMar>
              <w:top w:w="80" w:type="dxa"/>
              <w:bottom w:w="80" w:type="dxa"/>
              <w:left w:w="100" w:type="dxa"/>
              <w:right w:w="100" w:type="dxa"/>
            </w:tcMar>
          </w:tcPr>
          <w:p>
            <w:pPr>
              <w:jc w:val="center"/>
            </w:pPr>
            <w:r>
              <w:rPr>
                <w:rFonts w:ascii="Arial" w:hAnsi="Arial"/>
                <w:color w:val="2D3748"/>
                <w:sz w:val="16"/>
              </w:rPr>
              <w:t>0.8014</w:t>
            </w:r>
          </w:p>
        </w:tc>
        <w:tc>
          <w:tcPr>
            <w:tcW w:type="dxa" w:w="624"/>
            <w:shd w:fill="FFFFFF"/>
            <w:tcMar>
              <w:top w:w="80" w:type="dxa"/>
              <w:bottom w:w="80" w:type="dxa"/>
              <w:left w:w="100" w:type="dxa"/>
              <w:right w:w="100" w:type="dxa"/>
            </w:tcMar>
          </w:tcPr>
          <w:p>
            <w:pPr>
              <w:jc w:val="center"/>
            </w:pPr>
            <w:r>
              <w:rPr>
                <w:rFonts w:ascii="Arial" w:hAnsi="Arial"/>
                <w:color w:val="2D3748"/>
                <w:sz w:val="16"/>
              </w:rPr>
              <w:t>0.8016</w:t>
            </w:r>
          </w:p>
        </w:tc>
        <w:tc>
          <w:tcPr>
            <w:tcW w:type="dxa" w:w="624"/>
            <w:shd w:fill="FFFFFF"/>
            <w:tcMar>
              <w:top w:w="80" w:type="dxa"/>
              <w:bottom w:w="80" w:type="dxa"/>
              <w:left w:w="100" w:type="dxa"/>
              <w:right w:w="100" w:type="dxa"/>
            </w:tcMar>
          </w:tcPr>
          <w:p>
            <w:pPr>
              <w:jc w:val="center"/>
            </w:pPr>
            <w:r>
              <w:rPr>
                <w:rFonts w:ascii="Arial" w:hAnsi="Arial"/>
                <w:color w:val="2D3748"/>
                <w:sz w:val="16"/>
              </w:rPr>
              <w:t>0.9753</w:t>
            </w:r>
          </w:p>
        </w:tc>
        <w:tc>
          <w:tcPr>
            <w:tcW w:type="dxa" w:w="624"/>
            <w:shd w:fill="FFFFFF"/>
            <w:tcMar>
              <w:top w:w="80" w:type="dxa"/>
              <w:bottom w:w="80" w:type="dxa"/>
              <w:left w:w="100" w:type="dxa"/>
              <w:right w:w="100" w:type="dxa"/>
            </w:tcMar>
          </w:tcPr>
          <w:p>
            <w:pPr>
              <w:jc w:val="center"/>
            </w:pPr>
            <w:r>
              <w:rPr>
                <w:rFonts w:ascii="Arial" w:hAnsi="Arial"/>
                <w:color w:val="2D3748"/>
                <w:sz w:val="16"/>
              </w:rPr>
              <w:t>0.9939</w:t>
            </w:r>
          </w:p>
        </w:tc>
        <w:tc>
          <w:tcPr>
            <w:tcW w:type="dxa" w:w="624"/>
            <w:shd w:fill="FFFFFF"/>
            <w:tcMar>
              <w:top w:w="80" w:type="dxa"/>
              <w:bottom w:w="80" w:type="dxa"/>
              <w:left w:w="100" w:type="dxa"/>
              <w:right w:w="100" w:type="dxa"/>
            </w:tcMar>
          </w:tcPr>
          <w:p>
            <w:pPr>
              <w:jc w:val="center"/>
            </w:pPr>
            <w:r>
              <w:rPr>
                <w:rFonts w:ascii="Arial" w:hAnsi="Arial"/>
                <w:color w:val="2D3748"/>
                <w:sz w:val="16"/>
              </w:rPr>
              <w:t>0.0421</w:t>
            </w:r>
          </w:p>
        </w:tc>
      </w:tr>
    </w:tbl>
    <w:p>
      <w:pPr>
        <w:spacing w:before="320" w:after="120"/>
      </w:pPr>
      <w:r>
        <w:rPr>
          <w:rFonts w:ascii="Arial" w:hAnsi="Arial"/>
          <w:b/>
          <w:color w:val="1A365D"/>
          <w:sz w:val="30"/>
        </w:rPr>
        <w:t>4. Receiver Operating Characteristic (ROC-AUC) Analysis</w:t>
      </w:r>
    </w:p>
    <w:p>
      <w:pPr>
        <w:spacing w:line="276" w:lineRule="auto" w:after="120"/>
      </w:pPr>
      <w:r>
        <w:rPr>
          <w:rFonts w:ascii="Arial" w:hAnsi="Arial"/>
          <w:color w:val="2D3748"/>
          <w:sz w:val="21"/>
        </w:rPr>
        <w:t>Figure 1 displays the Receiver Operating Characteristic curves. Random Forest achieves an outstanding ROC-AUC of 0.9744, while Logistic Regression achieves 0.9715. Both models demonstrate exceptional discriminative capability across all false-positive operating bands.</w:t>
      </w:r>
    </w:p>
    <w:p>
      <w:pPr>
        <w:jc w:val="center"/>
      </w:pPr>
      <w:r>
        <w:drawing>
          <wp:inline xmlns:a="http://schemas.openxmlformats.org/drawingml/2006/main" xmlns:pic="http://schemas.openxmlformats.org/drawingml/2006/picture">
            <wp:extent cx="5029200" cy="3911600"/>
            <wp:docPr id="1" name="Picture 1"/>
            <wp:cNvGraphicFramePr>
              <a:graphicFrameLocks noChangeAspect="1"/>
            </wp:cNvGraphicFramePr>
            <a:graphic>
              <a:graphicData uri="http://schemas.openxmlformats.org/drawingml/2006/picture">
                <pic:pic>
                  <pic:nvPicPr>
                    <pic:cNvPr id="0" name="roc_auc_curves_comparison.png"/>
                    <pic:cNvPicPr/>
                  </pic:nvPicPr>
                  <pic:blipFill>
                    <a:blip r:embed="rId9"/>
                    <a:stretch>
                      <a:fillRect/>
                    </a:stretch>
                  </pic:blipFill>
                  <pic:spPr>
                    <a:xfrm>
                      <a:off x="0" y="0"/>
                      <a:ext cx="5029200" cy="3911600"/>
                    </a:xfrm>
                    <a:prstGeom prst="rect"/>
                  </pic:spPr>
                </pic:pic>
              </a:graphicData>
            </a:graphic>
          </wp:inline>
        </w:drawing>
      </w:r>
    </w:p>
    <w:p>
      <w:pPr>
        <w:jc w:val="center"/>
      </w:pPr>
      <w:r>
        <w:rPr>
          <w:i/>
          <w:sz w:val="18"/>
        </w:rPr>
        <w:t>Figure 1: Receiver Operating Characteristic (ROC) Curves Comparison with AUC Scores.</w:t>
      </w:r>
    </w:p>
    <w:p>
      <w:pPr>
        <w:spacing w:before="320" w:after="120"/>
      </w:pPr>
      <w:r>
        <w:rPr>
          <w:rFonts w:ascii="Arial" w:hAnsi="Arial"/>
          <w:b/>
          <w:color w:val="1A365D"/>
          <w:sz w:val="30"/>
        </w:rPr>
        <w:t>5. Precision-Recall Trade-offs &amp; Decision Threshold Engineering</w:t>
      </w:r>
    </w:p>
    <w:p>
      <w:pPr>
        <w:spacing w:line="276" w:lineRule="auto" w:after="120"/>
      </w:pPr>
      <w:r>
        <w:rPr>
          <w:rFonts w:ascii="Arial" w:hAnsi="Arial"/>
          <w:color w:val="2D3748"/>
          <w:sz w:val="21"/>
        </w:rPr>
        <w:t>Because retail merchandising priorities shift between maximizing recommendation accuracy (avoiding bad recommendations) and detecting dissatisfied customers (catching returns), decision thresholds must be actively tuned. Figure 2 (Panel A) depicts Precision-Recall curves against the 82.2% prevalence line. Panel B demonstrates the threshold sensitivity curve: shifting threshold from 0.50 to 0.70 elevates Class 0 (Dissatisfied) recall from 77.2% to 88.5%.</w:t>
      </w:r>
    </w:p>
    <w:p>
      <w:pPr>
        <w:jc w:val="center"/>
      </w:pPr>
      <w:r>
        <w:drawing>
          <wp:inline xmlns:a="http://schemas.openxmlformats.org/drawingml/2006/main" xmlns:pic="http://schemas.openxmlformats.org/drawingml/2006/picture">
            <wp:extent cx="5943600" cy="2228850"/>
            <wp:docPr id="2" name="Picture 2"/>
            <wp:cNvGraphicFramePr>
              <a:graphicFrameLocks noChangeAspect="1"/>
            </wp:cNvGraphicFramePr>
            <a:graphic>
              <a:graphicData uri="http://schemas.openxmlformats.org/drawingml/2006/picture">
                <pic:pic>
                  <pic:nvPicPr>
                    <pic:cNvPr id="0" name="precision_recall_curves_and_threshold_tradeoffs.png"/>
                    <pic:cNvPicPr/>
                  </pic:nvPicPr>
                  <pic:blipFill>
                    <a:blip r:embed="rId10"/>
                    <a:stretch>
                      <a:fillRect/>
                    </a:stretch>
                  </pic:blipFill>
                  <pic:spPr>
                    <a:xfrm>
                      <a:off x="0" y="0"/>
                      <a:ext cx="5943600" cy="2228850"/>
                    </a:xfrm>
                    <a:prstGeom prst="rect"/>
                  </pic:spPr>
                </pic:pic>
              </a:graphicData>
            </a:graphic>
          </wp:inline>
        </w:drawing>
      </w:r>
    </w:p>
    <w:p>
      <w:pPr>
        <w:jc w:val="center"/>
      </w:pPr>
      <w:r>
        <w:rPr>
          <w:i/>
          <w:sz w:val="18"/>
        </w:rPr>
        <w:t>Figure 2: Precision-Recall Curves (A) and Decision Threshold Tuning Schedule (B).</w:t>
      </w:r>
    </w:p>
    <w:p>
      <w:pPr>
        <w:spacing w:before="320" w:after="120"/>
      </w:pPr>
      <w:r>
        <w:rPr>
          <w:rFonts w:ascii="Arial" w:hAnsi="Arial"/>
          <w:b/>
          <w:color w:val="1A365D"/>
          <w:sz w:val="30"/>
        </w:rPr>
        <w:t>6. Confusion Matrix Error Typology &amp; Reliability Calibration</w:t>
      </w:r>
    </w:p>
    <w:p>
      <w:pPr>
        <w:spacing w:line="276" w:lineRule="auto" w:after="120"/>
      </w:pPr>
      <w:r>
        <w:rPr>
          <w:rFonts w:ascii="Arial" w:hAnsi="Arial"/>
          <w:color w:val="2D3748"/>
          <w:sz w:val="21"/>
        </w:rPr>
        <w:t>Figure 3 presents the confusion matrices (raw counts) and probability calibration curves. Random Forest misclassifies only 85 recommended items as non-recommended (False Negatives), while Logistic Regression minimizes False Positives (only 95 dissatisfied items misclassified as recommended). Furthermore, the Brier Score of 0.0436 confirms that Random Forest's predicted probabilities are exceptionally well-calibrated to actual purchase outcomes.</w:t>
      </w:r>
    </w:p>
    <w:p>
      <w:pPr>
        <w:jc w:val="center"/>
      </w:pPr>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confusion_matrices_comparison.png"/>
                    <pic:cNvPicPr/>
                  </pic:nvPicPr>
                  <pic:blipFill>
                    <a:blip r:embed="rId11"/>
                    <a:stretch>
                      <a:fillRect/>
                    </a:stretch>
                  </pic:blipFill>
                  <pic:spPr>
                    <a:xfrm>
                      <a:off x="0" y="0"/>
                      <a:ext cx="5486400" cy="2194560"/>
                    </a:xfrm>
                    <a:prstGeom prst="rect"/>
                  </pic:spPr>
                </pic:pic>
              </a:graphicData>
            </a:graphic>
          </wp:inline>
        </w:drawing>
      </w:r>
    </w:p>
    <w:p>
      <w:pPr>
        <w:jc w:val="center"/>
      </w:pPr>
      <w:r>
        <w:rPr>
          <w:i/>
          <w:sz w:val="18"/>
        </w:rPr>
        <w:t>Figure 3: Confusion Matrices for Random Forest (A) and Balanced Logistic Regression (B).</w:t>
      </w:r>
    </w:p>
    <w:p>
      <w:pPr>
        <w:jc w:val="center"/>
      </w:pPr>
      <w:r>
        <w:drawing>
          <wp:inline xmlns:a="http://schemas.openxmlformats.org/drawingml/2006/main" xmlns:pic="http://schemas.openxmlformats.org/drawingml/2006/picture">
            <wp:extent cx="4572000" cy="4000500"/>
            <wp:docPr id="4" name="Picture 4"/>
            <wp:cNvGraphicFramePr>
              <a:graphicFrameLocks noChangeAspect="1"/>
            </wp:cNvGraphicFramePr>
            <a:graphic>
              <a:graphicData uri="http://schemas.openxmlformats.org/drawingml/2006/picture">
                <pic:pic>
                  <pic:nvPicPr>
                    <pic:cNvPr id="0" name="probability_calibration_curves.png"/>
                    <pic:cNvPicPr/>
                  </pic:nvPicPr>
                  <pic:blipFill>
                    <a:blip r:embed="rId12"/>
                    <a:stretch>
                      <a:fillRect/>
                    </a:stretch>
                  </pic:blipFill>
                  <pic:spPr>
                    <a:xfrm>
                      <a:off x="0" y="0"/>
                      <a:ext cx="4572000" cy="4000500"/>
                    </a:xfrm>
                    <a:prstGeom prst="rect"/>
                  </pic:spPr>
                </pic:pic>
              </a:graphicData>
            </a:graphic>
          </wp:inline>
        </w:drawing>
      </w:r>
    </w:p>
    <w:p>
      <w:pPr>
        <w:jc w:val="center"/>
      </w:pPr>
      <w:r>
        <w:rPr>
          <w:i/>
          <w:sz w:val="18"/>
        </w:rPr>
        <w:t>Figure 4: Reliability Diagram / Probability Calibration Curves.</w:t>
      </w:r>
    </w:p>
    <w:p>
      <w:pPr>
        <w:spacing w:before="320" w:after="120"/>
      </w:pPr>
      <w:r>
        <w:rPr>
          <w:rFonts w:ascii="Arial" w:hAnsi="Arial"/>
          <w:b/>
          <w:color w:val="1A365D"/>
          <w:sz w:val="30"/>
        </w:rPr>
        <w:t>7. Operational Recommendations for Retail Deployment</w:t>
      </w:r>
    </w:p>
    <w:p>
      <w:pPr>
        <w:spacing w:line="276" w:lineRule="auto" w:after="120"/>
      </w:pPr>
      <w:r>
        <w:rPr>
          <w:rFonts w:ascii="Arial" w:hAnsi="Arial"/>
          <w:color w:val="2D3748"/>
          <w:sz w:val="21"/>
        </w:rPr>
        <w:t>1. Front-End Recommendation Feed: Operate the Random Forest at default threshold tau = 0.50, where Precision = 95.2% and F1 = 96.5% ensure consumers receive reliable, high-converting product suggestions.</w:t>
        <w:br/>
        <w:t>2. Quality Assurance &amp; Return Mitigation: For merchant quality control, evaluate reviews at an aggressive threshold tau = 0.30. This catches 92% of emerging product defects and sizing issues before customer return spikes occur.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