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718096"/>
          <w:sz w:val="22"/>
        </w:rPr>
        <w:t>PROJECT REPORT</w:t>
      </w:r>
    </w:p>
    <w:p>
      <w:pPr>
        <w:spacing w:after="40"/>
      </w:pPr>
      <w:r>
        <w:rPr>
          <w:rFonts w:ascii="Arial" w:hAnsi="Arial"/>
          <w:b/>
          <w:color w:val="1A365D"/>
          <w:sz w:val="40"/>
        </w:rPr>
        <w:t>Women's Clothing: Trends and Analysis in the Fashion Industry</w:t>
      </w:r>
    </w:p>
    <w:p>
      <w:pPr>
        <w:spacing w:after="80"/>
      </w:pPr>
      <w:r>
        <w:rPr>
          <w:rFonts w:ascii="Arial" w:hAnsi="Arial"/>
          <w:i/>
          <w:color w:val="2D3748"/>
          <w:sz w:val="26"/>
        </w:rPr>
        <w:t>Model Evaluation, Residual Error Diagnostics &amp; Heteroscedasticity Analysis</w:t>
      </w:r>
    </w:p>
    <w:p>
      <w:pPr>
        <w:spacing w:after="280"/>
      </w:pPr>
      <w:r>
        <w:rPr>
          <w:rFonts w:ascii="Arial" w:hAnsi="Arial"/>
          <w:color w:val="718096"/>
          <w:sz w:val="19"/>
        </w:rPr>
        <w:t>Task ID: Task 1 (Assigned 21-10-2026) | Domain: Fashion E-Commerce Predictive Analytics</w:t>
      </w:r>
    </w:p>
    <w:p>
      <w:pPr>
        <w:pStyle w:val="Heading1"/>
        <w:keepNext/>
        <w:spacing w:before="280" w:after="120"/>
      </w:pPr>
      <w:r>
        <w:rPr>
          <w:rFonts w:ascii="Arial" w:hAnsi="Arial"/>
          <w:b/>
          <w:color w:val="1A365D"/>
          <w:sz w:val="30"/>
        </w:rPr>
        <w:t>Executive Summary</w:t>
      </w:r>
    </w:p>
    <w:p>
      <w:pPr>
        <w:spacing w:after="80" w:line="276" w:lineRule="auto"/>
      </w:pPr>
      <w:r>
        <w:rPr>
          <w:rFonts w:ascii="Arial" w:hAnsi="Arial"/>
          <w:i w:val="0"/>
          <w:color w:val="2D3748"/>
          <w:sz w:val="21"/>
        </w:rPr>
        <w:t>This project report presents an exhaustive audit and diagnostic evaluation of a regression model predicting customer annual expenditure (Yearly_Amount_Spent) in the Women's Clothing e-commerce domain. While conventional machine-learning workflows frequently rely on single-split test metrics, such practices are vulnerable to sampling variability and fail to detect structural violations of Classical Linear Regression assumptions. To establish model reliability, this investigation executes 5-fold and 10-fold cross-validation, conducts a 4-panel residual error diagnostic suite, and performs formal statistical hypothesis tests for heteroscedasticity.</w:t>
      </w:r>
    </w:p>
    <w:p>
      <w:pPr>
        <w:spacing w:after="80" w:line="276" w:lineRule="auto"/>
      </w:pPr>
      <w:r>
        <w:rPr>
          <w:rFonts w:ascii="Arial" w:hAnsi="Arial"/>
          <w:i w:val="0"/>
          <w:color w:val="2D3748"/>
          <w:sz w:val="21"/>
        </w:rPr>
        <w:t>The cross-validation experiment confirmed high predictive consistency across partitions, achieving a mean R² of 0.9636 (±0.0012 in 5-fold, ±0.0017 in 10-fold), a Mean Absolute Error of $22.25 (±0.36), and a Root Mean Squared Error of $28.07 (±0.47). Residual diagnostics revealed that while errors are symmetrically centered around zero with approximately normal tails, residual variance exhibits a subtle expanding 'funnel' pattern as predicted spend exceeds $800. Formal tests confirmed this observation: both the Breusch-Pagan Lagrange Multiplier test (LM = 267.42, p &lt; 0.0001) and White's General Heteroscedasticity test (LM = 582.19, p &lt; 0.0001) firmly rejected the null hypothesis of homoscedasticity. In response, three remediation frameworks were evaluated: MacKinnon-White HC3 robust standard errors, logarithmic target transformations, and Weighted Least Squares (WLS). The report concludes with actionable recommendations for deploying robust regression models in commercial fashion analytics.</w:t>
      </w:r>
    </w:p>
    <w:p>
      <w:pPr>
        <w:pStyle w:val="Heading1"/>
        <w:keepNext/>
        <w:spacing w:before="280" w:after="120"/>
      </w:pPr>
      <w:r>
        <w:rPr>
          <w:rFonts w:ascii="Arial" w:hAnsi="Arial"/>
          <w:b/>
          <w:color w:val="1A365D"/>
          <w:sz w:val="30"/>
        </w:rPr>
        <w:t>1. Project Overview &amp; Objectives</w:t>
      </w:r>
    </w:p>
    <w:p>
      <w:pPr>
        <w:pStyle w:val="Heading2"/>
        <w:keepNext/>
        <w:spacing w:before="200" w:after="80"/>
      </w:pPr>
      <w:r>
        <w:rPr>
          <w:rFonts w:ascii="Arial" w:hAnsi="Arial"/>
          <w:b/>
          <w:color w:val="1A365D"/>
          <w:sz w:val="25"/>
        </w:rPr>
        <w:t>1.1 Project Title &amp; Institutional Context</w:t>
      </w:r>
    </w:p>
    <w:p>
      <w:pPr>
        <w:spacing w:after="80" w:line="276" w:lineRule="auto"/>
      </w:pPr>
      <w:r>
        <w:rPr>
          <w:rFonts w:ascii="Arial" w:hAnsi="Arial"/>
          <w:i w:val="0"/>
          <w:color w:val="2D3748"/>
          <w:sz w:val="21"/>
        </w:rPr>
        <w:t>Women's Clothing: Trends and Analysis in the Fashion Industry - Predictive Modeling &amp; Model Diagnostics.</w:t>
      </w:r>
    </w:p>
    <w:p>
      <w:pPr>
        <w:pStyle w:val="Heading2"/>
        <w:keepNext/>
        <w:spacing w:before="200" w:after="80"/>
      </w:pPr>
      <w:r>
        <w:rPr>
          <w:rFonts w:ascii="Arial" w:hAnsi="Arial"/>
          <w:b/>
          <w:color w:val="1A365D"/>
          <w:sz w:val="25"/>
        </w:rPr>
        <w:t>1.2 Assigned Task Mandate</w:t>
      </w:r>
    </w:p>
    <w:p>
      <w:pPr>
        <w:spacing w:after="80" w:line="276" w:lineRule="auto"/>
      </w:pPr>
      <w:r>
        <w:rPr>
          <w:rFonts w:ascii="Arial" w:hAnsi="Arial"/>
          <w:i w:val="0"/>
          <w:color w:val="2D3748"/>
          <w:sz w:val="21"/>
        </w:rPr>
        <w:t>Evaluate the model using RMSE, MAE, and R² scores by implementing K-Fold cross-validation, analyzing residual plots for error patterns, and detecting potential heteroscedasticity issues.</w:t>
      </w:r>
    </w:p>
    <w:p>
      <w:pPr>
        <w:pStyle w:val="Heading2"/>
        <w:keepNext/>
        <w:spacing w:before="200" w:after="80"/>
      </w:pPr>
      <w:r>
        <w:rPr>
          <w:rFonts w:ascii="Arial" w:hAnsi="Arial"/>
          <w:b/>
          <w:color w:val="1A365D"/>
          <w:sz w:val="25"/>
        </w:rPr>
        <w:t>1.3 Research &amp; Diagnostic Objectives</w:t>
      </w:r>
    </w:p>
    <w:p>
      <w:pPr>
        <w:spacing w:after="80" w:line="276" w:lineRule="auto"/>
      </w:pPr>
      <w:r>
        <w:rPr>
          <w:rFonts w:ascii="Arial" w:hAnsi="Arial"/>
          <w:i w:val="0"/>
          <w:color w:val="2D3748"/>
          <w:sz w:val="21"/>
        </w:rPr>
        <w:t>1. Implement leakage-safe K-Fold cross-validation (5-fold and 10-fold) to quantify generalization performance across RMSE, MAE, MSE, and R² metrics.</w:t>
      </w:r>
    </w:p>
    <w:p>
      <w:pPr>
        <w:spacing w:after="80" w:line="276" w:lineRule="auto"/>
      </w:pPr>
      <w:r>
        <w:rPr>
          <w:rFonts w:ascii="Arial" w:hAnsi="Arial"/>
          <w:i w:val="0"/>
          <w:color w:val="2D3748"/>
          <w:sz w:val="21"/>
        </w:rPr>
        <w:t>2. Generate and interpret a comprehensive 4-panel residual diagnostic suite: Residuals vs. Fitted Values, Residual Distribution with KDE &amp; Normal overlays, Studentized Residual Q-Q Plot, and Scale-Location Plot.</w:t>
      </w:r>
    </w:p>
    <w:p>
      <w:pPr>
        <w:spacing w:after="80" w:line="276" w:lineRule="auto"/>
      </w:pPr>
      <w:r>
        <w:rPr>
          <w:rFonts w:ascii="Arial" w:hAnsi="Arial"/>
          <w:i w:val="0"/>
          <w:color w:val="2D3748"/>
          <w:sz w:val="21"/>
        </w:rPr>
        <w:t>3. Apply rigorous statistical hypothesis tests (Breusch-Pagan, White's General test, Goldfeld-Quandt) to confirm whether error variance violates the Gauss-Markov homoscedasticity assumption.</w:t>
      </w:r>
    </w:p>
    <w:p>
      <w:pPr>
        <w:spacing w:after="80" w:line="276" w:lineRule="auto"/>
      </w:pPr>
      <w:r>
        <w:rPr>
          <w:rFonts w:ascii="Arial" w:hAnsi="Arial"/>
          <w:i w:val="0"/>
          <w:color w:val="2D3748"/>
          <w:sz w:val="21"/>
        </w:rPr>
        <w:t>4. Quantify the impact of heteroscedasticity on coefficient standard errors and evaluate corrective remedies, including HC3 robust covariance estimators and variance-stabilizing transformations.</w:t>
      </w:r>
    </w:p>
    <w:p>
      <w:pPr>
        <w:pStyle w:val="Heading1"/>
        <w:keepNext/>
        <w:spacing w:before="280" w:after="120"/>
      </w:pPr>
      <w:r>
        <w:rPr>
          <w:rFonts w:ascii="Arial" w:hAnsi="Arial"/>
          <w:b/>
          <w:color w:val="1A365D"/>
          <w:sz w:val="30"/>
        </w:rPr>
        <w:t>2. Dataset Profile &amp; Variable Selection</w:t>
      </w:r>
    </w:p>
    <w:p>
      <w:pPr>
        <w:spacing w:after="80" w:line="276" w:lineRule="auto"/>
      </w:pPr>
      <w:r>
        <w:rPr>
          <w:rFonts w:ascii="Arial" w:hAnsi="Arial"/>
          <w:i w:val="0"/>
          <w:color w:val="2D3748"/>
          <w:sz w:val="21"/>
        </w:rPr>
        <w:t>The study utilizes the cleaned Women's Clothing E-Commerce dataset (23,465 verified observations). In fashion retail platforms, customer expenditure is driven by tenure loyalty, digital engagement across devices, purchasing frequency, basket size, and satisfaction indicators. The predictive feature set includes:</w:t>
      </w:r>
    </w:p>
    <w:p>
      <w:pPr>
        <w:spacing w:after="80" w:line="276" w:lineRule="auto"/>
      </w:pPr>
      <w:r>
        <w:rPr>
          <w:rFonts w:ascii="Arial" w:hAnsi="Arial"/>
          <w:b/>
          <w:color w:val="2D3748"/>
          <w:sz w:val="21"/>
        </w:rPr>
        <w:t xml:space="preserve">• Length_of_Membership: </w:t>
      </w:r>
      <w:r>
        <w:rPr>
          <w:rFonts w:ascii="Arial" w:hAnsi="Arial"/>
          <w:i w:val="0"/>
          <w:color w:val="2D3748"/>
          <w:sz w:val="21"/>
        </w:rPr>
        <w:t>Customer tenure in the retailer's loyalty program, measured in years (mean = 3.60 yrs, std = 1.18 yrs).</w:t>
      </w:r>
    </w:p>
    <w:p>
      <w:pPr>
        <w:spacing w:after="80" w:line="276" w:lineRule="auto"/>
      </w:pPr>
      <w:r>
        <w:rPr>
          <w:rFonts w:ascii="Arial" w:hAnsi="Arial"/>
          <w:b/>
          <w:color w:val="2D3748"/>
          <w:sz w:val="21"/>
        </w:rPr>
        <w:t xml:space="preserve">• Time_on_App: </w:t>
      </w:r>
      <w:r>
        <w:rPr>
          <w:rFonts w:ascii="Arial" w:hAnsi="Arial"/>
          <w:i w:val="0"/>
          <w:color w:val="2D3748"/>
          <w:sz w:val="21"/>
        </w:rPr>
        <w:t>Average weekly browsing and shopping time on the retailer's mobile application, measured in minutes (mean = 12.44 min, std = 1.05 min).</w:t>
      </w:r>
    </w:p>
    <w:p>
      <w:pPr>
        <w:spacing w:after="80" w:line="276" w:lineRule="auto"/>
      </w:pPr>
      <w:r>
        <w:rPr>
          <w:rFonts w:ascii="Arial" w:hAnsi="Arial"/>
          <w:b/>
          <w:color w:val="2D3748"/>
          <w:sz w:val="21"/>
        </w:rPr>
        <w:t xml:space="preserve">• Avg_Session_Length: </w:t>
      </w:r>
      <w:r>
        <w:rPr>
          <w:rFonts w:ascii="Arial" w:hAnsi="Arial"/>
          <w:i w:val="0"/>
          <w:color w:val="2D3748"/>
          <w:sz w:val="21"/>
        </w:rPr>
        <w:t>Average active duration of individual digital shopping sessions, in minutes (mean = 33.00 min, std = 0.90 min).</w:t>
      </w:r>
    </w:p>
    <w:p>
      <w:pPr>
        <w:spacing w:after="80" w:line="276" w:lineRule="auto"/>
      </w:pPr>
      <w:r>
        <w:rPr>
          <w:rFonts w:ascii="Arial" w:hAnsi="Arial"/>
          <w:b/>
          <w:color w:val="2D3748"/>
          <w:sz w:val="21"/>
        </w:rPr>
        <w:t xml:space="preserve">• Time_on_Website: </w:t>
      </w:r>
      <w:r>
        <w:rPr>
          <w:rFonts w:ascii="Arial" w:hAnsi="Arial"/>
          <w:i w:val="0"/>
          <w:color w:val="2D3748"/>
          <w:sz w:val="21"/>
        </w:rPr>
        <w:t>Weekly shopping and review browsing duration on the desktop web store, in minutes (mean = 34.51 min, std = 1.21 min).</w:t>
      </w:r>
    </w:p>
    <w:p>
      <w:pPr>
        <w:spacing w:after="80" w:line="276" w:lineRule="auto"/>
      </w:pPr>
      <w:r>
        <w:rPr>
          <w:rFonts w:ascii="Arial" w:hAnsi="Arial"/>
          <w:b/>
          <w:color w:val="2D3748"/>
          <w:sz w:val="21"/>
        </w:rPr>
        <w:t xml:space="preserve">• Annual_Orders: </w:t>
      </w:r>
      <w:r>
        <w:rPr>
          <w:rFonts w:ascii="Arial" w:hAnsi="Arial"/>
          <w:i w:val="0"/>
          <w:color w:val="2D3748"/>
          <w:sz w:val="21"/>
        </w:rPr>
        <w:t>Total number of completed apparel transactions over the preceding 12 months (mean = 10.42 orders, range = 1-28).</w:t>
      </w:r>
    </w:p>
    <w:p>
      <w:pPr>
        <w:spacing w:after="80" w:line="276" w:lineRule="auto"/>
      </w:pPr>
      <w:r>
        <w:rPr>
          <w:rFonts w:ascii="Arial" w:hAnsi="Arial"/>
          <w:b/>
          <w:color w:val="2D3748"/>
          <w:sz w:val="21"/>
        </w:rPr>
        <w:t xml:space="preserve">• Avg_Order_Value: </w:t>
      </w:r>
      <w:r>
        <w:rPr>
          <w:rFonts w:ascii="Arial" w:hAnsi="Arial"/>
          <w:i w:val="0"/>
          <w:color w:val="2D3748"/>
          <w:sz w:val="21"/>
        </w:rPr>
        <w:t>Mean financial expenditure per transaction, tied to apparel department price tiers (Jackets/Outerwear &gt; Dresses &gt; Tops &gt; Intimates) (mean = $103.11, std = $33.96).</w:t>
      </w:r>
    </w:p>
    <w:p>
      <w:pPr>
        <w:spacing w:after="80" w:line="276" w:lineRule="auto"/>
      </w:pPr>
      <w:r>
        <w:rPr>
          <w:rFonts w:ascii="Arial" w:hAnsi="Arial"/>
          <w:b/>
          <w:color w:val="2D3748"/>
          <w:sz w:val="21"/>
        </w:rPr>
        <w:t xml:space="preserve">• Age: </w:t>
      </w:r>
      <w:r>
        <w:rPr>
          <w:rFonts w:ascii="Arial" w:hAnsi="Arial"/>
          <w:i w:val="0"/>
          <w:color w:val="2D3748"/>
          <w:sz w:val="21"/>
        </w:rPr>
        <w:t>Customer age in years (mean = 43.20 yrs, range = 18-99 yrs).</w:t>
      </w:r>
    </w:p>
    <w:p>
      <w:pPr>
        <w:spacing w:after="80" w:line="276" w:lineRule="auto"/>
      </w:pPr>
      <w:r>
        <w:rPr>
          <w:rFonts w:ascii="Arial" w:hAnsi="Arial"/>
          <w:b/>
          <w:color w:val="2D3748"/>
          <w:sz w:val="21"/>
        </w:rPr>
        <w:t xml:space="preserve">• Engagement &amp; Feedback Attributes: </w:t>
      </w:r>
      <w:r>
        <w:rPr>
          <w:rFonts w:ascii="Arial" w:hAnsi="Arial"/>
          <w:i w:val="0"/>
          <w:color w:val="2D3748"/>
          <w:sz w:val="21"/>
        </w:rPr>
        <w:t>Product review rating (1 to 5 stars), recommendation flag (0/1), and positive feedback count.</w:t>
      </w:r>
    </w:p>
    <w:p>
      <w:pPr>
        <w:spacing w:after="80" w:line="276" w:lineRule="auto"/>
      </w:pPr>
      <w:r>
        <w:rPr>
          <w:rFonts w:ascii="Arial" w:hAnsi="Arial"/>
          <w:b/>
          <w:color w:val="2D3748"/>
          <w:sz w:val="21"/>
        </w:rPr>
        <w:t xml:space="preserve">• Target Variable (Yearly_Amount_Spent): </w:t>
      </w:r>
      <w:r>
        <w:rPr>
          <w:rFonts w:ascii="Arial" w:hAnsi="Arial"/>
          <w:i w:val="0"/>
          <w:color w:val="2D3748"/>
          <w:sz w:val="21"/>
        </w:rPr>
        <w:t>Total dollar expenditure across all clothing purchases during the annualized cycle (mean = $701.92, std = $147.12, range = $253.62 - $1,448.63).</w:t>
      </w:r>
    </w:p>
    <w:p>
      <w:pPr>
        <w:pStyle w:val="Heading1"/>
        <w:keepNext/>
        <w:spacing w:before="280" w:after="120"/>
      </w:pPr>
      <w:r>
        <w:rPr>
          <w:rFonts w:ascii="Arial" w:hAnsi="Arial"/>
          <w:b/>
          <w:color w:val="1A365D"/>
          <w:sz w:val="30"/>
        </w:rPr>
        <w:t>3. K-Fold Cross-Validation Performance</w:t>
      </w:r>
    </w:p>
    <w:p>
      <w:pPr>
        <w:spacing w:after="80" w:line="276" w:lineRule="auto"/>
      </w:pPr>
      <w:r>
        <w:rPr>
          <w:rFonts w:ascii="Arial" w:hAnsi="Arial"/>
          <w:i w:val="0"/>
          <w:color w:val="2D3748"/>
          <w:sz w:val="21"/>
        </w:rPr>
        <w:t>To verify that the model does not suffer from sample sensitivity or partition bias, K-Fold cross-validation was implemented using shuffle=True and random_state=42. Across each fold k, the model was fitted strictly on k-1 folds and evaluated on the held-out validation fold. Table 1 summarizes the performance metrics across 5-fold and 10-fold regimes.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337"/>
            <w:shd w:fill="1A365D"/>
          </w:tcPr>
          <w:p>
            <w:pPr>
              <w:spacing w:before="60" w:after="60"/>
            </w:pPr>
            <w:r>
              <w:rPr>
                <w:rFonts w:ascii="Arial" w:hAnsi="Arial"/>
                <w:b/>
                <w:color w:val="FFFFFF"/>
                <w:sz w:val="19"/>
              </w:rPr>
              <w:t>CV Scheme</w:t>
            </w:r>
          </w:p>
        </w:tc>
        <w:tc>
          <w:tcPr>
            <w:tcW w:type="dxa" w:w="1337"/>
            <w:shd w:fill="1A365D"/>
          </w:tcPr>
          <w:p>
            <w:pPr>
              <w:spacing w:before="60" w:after="60"/>
            </w:pPr>
            <w:r>
              <w:rPr>
                <w:rFonts w:ascii="Arial" w:hAnsi="Arial"/>
                <w:b/>
                <w:color w:val="FFFFFF"/>
                <w:sz w:val="19"/>
              </w:rPr>
              <w:t>Mean RMSE ($)</w:t>
            </w:r>
          </w:p>
        </w:tc>
        <w:tc>
          <w:tcPr>
            <w:tcW w:type="dxa" w:w="1337"/>
            <w:shd w:fill="1A365D"/>
          </w:tcPr>
          <w:p>
            <w:pPr>
              <w:spacing w:before="60" w:after="60"/>
            </w:pPr>
            <w:r>
              <w:rPr>
                <w:rFonts w:ascii="Arial" w:hAnsi="Arial"/>
                <w:b/>
                <w:color w:val="FFFFFF"/>
                <w:sz w:val="19"/>
              </w:rPr>
              <w:t>Std RMSE</w:t>
            </w:r>
          </w:p>
        </w:tc>
        <w:tc>
          <w:tcPr>
            <w:tcW w:type="dxa" w:w="1337"/>
            <w:shd w:fill="1A365D"/>
          </w:tcPr>
          <w:p>
            <w:pPr>
              <w:spacing w:before="60" w:after="60"/>
            </w:pPr>
            <w:r>
              <w:rPr>
                <w:rFonts w:ascii="Arial" w:hAnsi="Arial"/>
                <w:b/>
                <w:color w:val="FFFFFF"/>
                <w:sz w:val="19"/>
              </w:rPr>
              <w:t>Mean MAE ($)</w:t>
            </w:r>
          </w:p>
        </w:tc>
        <w:tc>
          <w:tcPr>
            <w:tcW w:type="dxa" w:w="1337"/>
            <w:shd w:fill="1A365D"/>
          </w:tcPr>
          <w:p>
            <w:pPr>
              <w:spacing w:before="60" w:after="60"/>
            </w:pPr>
            <w:r>
              <w:rPr>
                <w:rFonts w:ascii="Arial" w:hAnsi="Arial"/>
                <w:b/>
                <w:color w:val="FFFFFF"/>
                <w:sz w:val="19"/>
              </w:rPr>
              <w:t>Std MAE</w:t>
            </w:r>
          </w:p>
        </w:tc>
        <w:tc>
          <w:tcPr>
            <w:tcW w:type="dxa" w:w="1337"/>
            <w:shd w:fill="1A365D"/>
          </w:tcPr>
          <w:p>
            <w:pPr>
              <w:spacing w:before="60" w:after="60"/>
            </w:pPr>
            <w:r>
              <w:rPr>
                <w:rFonts w:ascii="Arial" w:hAnsi="Arial"/>
                <w:b/>
                <w:color w:val="FFFFFF"/>
                <w:sz w:val="19"/>
              </w:rPr>
              <w:t>Mean R²</w:t>
            </w:r>
          </w:p>
        </w:tc>
        <w:tc>
          <w:tcPr>
            <w:tcW w:type="dxa" w:w="1337"/>
            <w:shd w:fill="1A365D"/>
          </w:tcPr>
          <w:p>
            <w:pPr>
              <w:spacing w:before="60" w:after="60"/>
            </w:pPr>
            <w:r>
              <w:rPr>
                <w:rFonts w:ascii="Arial" w:hAnsi="Arial"/>
                <w:b/>
                <w:color w:val="FFFFFF"/>
                <w:sz w:val="19"/>
              </w:rPr>
              <w:t>Std R²</w:t>
            </w:r>
          </w:p>
        </w:tc>
      </w:tr>
      <w:tr>
        <w:trPr>
          <w:cantSplit/>
        </w:trPr>
        <w:tc>
          <w:tcPr>
            <w:tcW w:type="dxa" w:w="1337"/>
            <w:shd w:fill="F7FAFC"/>
          </w:tcPr>
          <w:p>
            <w:pPr>
              <w:spacing w:before="60" w:after="60"/>
            </w:pPr>
            <w:r>
              <w:rPr>
                <w:rFonts w:ascii="Arial" w:hAnsi="Arial"/>
                <w:color w:val="2D3748"/>
                <w:sz w:val="19"/>
              </w:rPr>
              <w:t>5-Fold Cross-Validation</w:t>
            </w:r>
          </w:p>
        </w:tc>
        <w:tc>
          <w:tcPr>
            <w:tcW w:type="dxa" w:w="1337"/>
            <w:shd w:fill="F7FAFC"/>
          </w:tcPr>
          <w:p>
            <w:pPr>
              <w:spacing w:before="60" w:after="60"/>
            </w:pPr>
            <w:r>
              <w:rPr>
                <w:rFonts w:ascii="Arial" w:hAnsi="Arial"/>
                <w:color w:val="2D3748"/>
                <w:sz w:val="19"/>
              </w:rPr>
              <w:t>28.0708</w:t>
            </w:r>
          </w:p>
        </w:tc>
        <w:tc>
          <w:tcPr>
            <w:tcW w:type="dxa" w:w="1337"/>
            <w:shd w:fill="F7FAFC"/>
          </w:tcPr>
          <w:p>
            <w:pPr>
              <w:spacing w:before="60" w:after="60"/>
            </w:pPr>
            <w:r>
              <w:rPr>
                <w:rFonts w:ascii="Arial" w:hAnsi="Arial"/>
                <w:color w:val="2D3748"/>
                <w:sz w:val="19"/>
              </w:rPr>
              <w:t>0.4691</w:t>
            </w:r>
          </w:p>
        </w:tc>
        <w:tc>
          <w:tcPr>
            <w:tcW w:type="dxa" w:w="1337"/>
            <w:shd w:fill="F7FAFC"/>
          </w:tcPr>
          <w:p>
            <w:pPr>
              <w:spacing w:before="60" w:after="60"/>
            </w:pPr>
            <w:r>
              <w:rPr>
                <w:rFonts w:ascii="Arial" w:hAnsi="Arial"/>
                <w:color w:val="2D3748"/>
                <w:sz w:val="19"/>
              </w:rPr>
              <w:t>22.2530</w:t>
            </w:r>
          </w:p>
        </w:tc>
        <w:tc>
          <w:tcPr>
            <w:tcW w:type="dxa" w:w="1337"/>
            <w:shd w:fill="F7FAFC"/>
          </w:tcPr>
          <w:p>
            <w:pPr>
              <w:spacing w:before="60" w:after="60"/>
            </w:pPr>
            <w:r>
              <w:rPr>
                <w:rFonts w:ascii="Arial" w:hAnsi="Arial"/>
                <w:color w:val="2D3748"/>
                <w:sz w:val="19"/>
              </w:rPr>
              <w:t>0.3621</w:t>
            </w:r>
          </w:p>
        </w:tc>
        <w:tc>
          <w:tcPr>
            <w:tcW w:type="dxa" w:w="1337"/>
            <w:shd w:fill="F7FAFC"/>
          </w:tcPr>
          <w:p>
            <w:pPr>
              <w:spacing w:before="60" w:after="60"/>
            </w:pPr>
            <w:r>
              <w:rPr>
                <w:rFonts w:ascii="Arial" w:hAnsi="Arial"/>
                <w:color w:val="2D3748"/>
                <w:sz w:val="19"/>
              </w:rPr>
              <w:t>0.9636</w:t>
            </w:r>
          </w:p>
        </w:tc>
        <w:tc>
          <w:tcPr>
            <w:tcW w:type="dxa" w:w="1337"/>
            <w:shd w:fill="F7FAFC"/>
          </w:tcPr>
          <w:p>
            <w:pPr>
              <w:spacing w:before="60" w:after="60"/>
            </w:pPr>
            <w:r>
              <w:rPr>
                <w:rFonts w:ascii="Arial" w:hAnsi="Arial"/>
                <w:color w:val="2D3748"/>
                <w:sz w:val="19"/>
              </w:rPr>
              <w:t>0.0012</w:t>
            </w:r>
          </w:p>
        </w:tc>
      </w:tr>
      <w:tr>
        <w:trPr>
          <w:cantSplit/>
        </w:trPr>
        <w:tc>
          <w:tcPr>
            <w:tcW w:type="dxa" w:w="1337"/>
            <w:shd w:fill="FFFFFF"/>
          </w:tcPr>
          <w:p>
            <w:pPr>
              <w:spacing w:before="60" w:after="60"/>
            </w:pPr>
            <w:r>
              <w:rPr>
                <w:rFonts w:ascii="Arial" w:hAnsi="Arial"/>
                <w:color w:val="2D3748"/>
                <w:sz w:val="19"/>
              </w:rPr>
              <w:t>10-Fold Cross-Validation</w:t>
            </w:r>
          </w:p>
        </w:tc>
        <w:tc>
          <w:tcPr>
            <w:tcW w:type="dxa" w:w="1337"/>
            <w:shd w:fill="FFFFFF"/>
          </w:tcPr>
          <w:p>
            <w:pPr>
              <w:spacing w:before="60" w:after="60"/>
            </w:pPr>
            <w:r>
              <w:rPr>
                <w:rFonts w:ascii="Arial" w:hAnsi="Arial"/>
                <w:color w:val="2D3748"/>
                <w:sz w:val="19"/>
              </w:rPr>
              <w:t>28.0671</w:t>
            </w:r>
          </w:p>
        </w:tc>
        <w:tc>
          <w:tcPr>
            <w:tcW w:type="dxa" w:w="1337"/>
            <w:shd w:fill="FFFFFF"/>
          </w:tcPr>
          <w:p>
            <w:pPr>
              <w:spacing w:before="60" w:after="60"/>
            </w:pPr>
            <w:r>
              <w:rPr>
                <w:rFonts w:ascii="Arial" w:hAnsi="Arial"/>
                <w:color w:val="2D3748"/>
                <w:sz w:val="19"/>
              </w:rPr>
              <w:t>0.5060</w:t>
            </w:r>
          </w:p>
        </w:tc>
        <w:tc>
          <w:tcPr>
            <w:tcW w:type="dxa" w:w="1337"/>
            <w:shd w:fill="FFFFFF"/>
          </w:tcPr>
          <w:p>
            <w:pPr>
              <w:spacing w:before="60" w:after="60"/>
            </w:pPr>
            <w:r>
              <w:rPr>
                <w:rFonts w:ascii="Arial" w:hAnsi="Arial"/>
                <w:color w:val="2D3748"/>
                <w:sz w:val="19"/>
              </w:rPr>
              <w:t>22.2498</w:t>
            </w:r>
          </w:p>
        </w:tc>
        <w:tc>
          <w:tcPr>
            <w:tcW w:type="dxa" w:w="1337"/>
            <w:shd w:fill="FFFFFF"/>
          </w:tcPr>
          <w:p>
            <w:pPr>
              <w:spacing w:before="60" w:after="60"/>
            </w:pPr>
            <w:r>
              <w:rPr>
                <w:rFonts w:ascii="Arial" w:hAnsi="Arial"/>
                <w:color w:val="2D3748"/>
                <w:sz w:val="19"/>
              </w:rPr>
              <w:t>0.4102</w:t>
            </w:r>
          </w:p>
        </w:tc>
        <w:tc>
          <w:tcPr>
            <w:tcW w:type="dxa" w:w="1337"/>
            <w:shd w:fill="FFFFFF"/>
          </w:tcPr>
          <w:p>
            <w:pPr>
              <w:spacing w:before="60" w:after="60"/>
            </w:pPr>
            <w:r>
              <w:rPr>
                <w:rFonts w:ascii="Arial" w:hAnsi="Arial"/>
                <w:color w:val="2D3748"/>
                <w:sz w:val="19"/>
              </w:rPr>
              <w:t>0.9635</w:t>
            </w:r>
          </w:p>
        </w:tc>
        <w:tc>
          <w:tcPr>
            <w:tcW w:type="dxa" w:w="1337"/>
            <w:shd w:fill="FFFFFF"/>
          </w:tcPr>
          <w:p>
            <w:pPr>
              <w:spacing w:before="60" w:after="60"/>
            </w:pPr>
            <w:r>
              <w:rPr>
                <w:rFonts w:ascii="Arial" w:hAnsi="Arial"/>
                <w:color w:val="2D3748"/>
                <w:sz w:val="19"/>
              </w:rPr>
              <w:t>0.0017</w:t>
            </w:r>
          </w:p>
        </w:tc>
      </w:tr>
    </w:tbl>
    <w:p>
      <w:pPr>
        <w:spacing w:after="160" w:line="276" w:lineRule="auto"/>
      </w:pPr>
      <w:r>
        <w:rPr>
          <w:rFonts w:ascii="Arial" w:hAnsi="Arial"/>
          <w:i/>
          <w:color w:val="2D3748"/>
          <w:sz w:val="21"/>
        </w:rPr>
        <w:t>Table 1: Summary of K-Fold cross-validation performance metrics across 5-fold and 10-fold partitioning schemes.</w:t>
      </w:r>
    </w:p>
    <w:p>
      <w:pPr>
        <w:spacing w:after="80" w:line="276" w:lineRule="auto"/>
      </w:pPr>
      <w:r>
        <w:rPr>
          <w:rFonts w:ascii="Arial" w:hAnsi="Arial"/>
          <w:i w:val="0"/>
          <w:color w:val="2D3748"/>
          <w:sz w:val="21"/>
        </w:rPr>
        <w:t>As demonstrated in Table 1, the regression model displays exceptional stability across both partitioning schemes. The mean RMSE of $28.07 represents an average forecasting error of just 3.99% relative to the mean customer spending of $701.92. The standard deviation across folds remains below 0.51, confirming that model generalizability is robust to random sampling fluctuations.</w:t>
      </w:r>
    </w:p>
    <w:p>
      <w:r>
        <w:drawing>
          <wp:inline xmlns:a="http://schemas.openxmlformats.org/drawingml/2006/main" xmlns:pic="http://schemas.openxmlformats.org/drawingml/2006/picture">
            <wp:extent cx="5669280" cy="1771650"/>
            <wp:docPr id="1" name="Picture 1"/>
            <wp:cNvGraphicFramePr>
              <a:graphicFrameLocks noChangeAspect="1"/>
            </wp:cNvGraphicFramePr>
            <a:graphic>
              <a:graphicData uri="http://schemas.openxmlformats.org/drawingml/2006/picture">
                <pic:pic>
                  <pic:nvPicPr>
                    <pic:cNvPr id="0" name="cv_metrics_fold_distribution.png"/>
                    <pic:cNvPicPr/>
                  </pic:nvPicPr>
                  <pic:blipFill>
                    <a:blip r:embed="rId9"/>
                    <a:stretch>
                      <a:fillRect/>
                    </a:stretch>
                  </pic:blipFill>
                  <pic:spPr>
                    <a:xfrm>
                      <a:off x="0" y="0"/>
                      <a:ext cx="5669280" cy="1771650"/>
                    </a:xfrm>
                    <a:prstGeom prst="rect"/>
                  </pic:spPr>
                </pic:pic>
              </a:graphicData>
            </a:graphic>
          </wp:inline>
        </w:drawing>
      </w:r>
    </w:p>
    <w:p>
      <w:pPr>
        <w:spacing w:after="240"/>
      </w:pPr>
      <w:r>
        <w:rPr>
          <w:rFonts w:ascii="Arial" w:hAnsi="Arial"/>
          <w:i/>
          <w:sz w:val="19"/>
        </w:rPr>
        <w:t>Figure 1: Distribution of RMSE, MAE, and R² scores across 5-Fold and 10-Fold cross-validation iterations.</w:t>
      </w:r>
    </w:p>
    <w:p>
      <w:pPr>
        <w:pStyle w:val="Heading1"/>
        <w:keepNext/>
        <w:spacing w:before="280" w:after="120"/>
      </w:pPr>
      <w:r>
        <w:rPr>
          <w:rFonts w:ascii="Arial" w:hAnsi="Arial"/>
          <w:b/>
          <w:color w:val="1A365D"/>
          <w:sz w:val="30"/>
        </w:rPr>
        <w:t>4. Residual Error Diagnostics &amp; Visualizations</w:t>
      </w:r>
    </w:p>
    <w:p>
      <w:pPr>
        <w:spacing w:after="80" w:line="276" w:lineRule="auto"/>
      </w:pPr>
      <w:r>
        <w:rPr>
          <w:rFonts w:ascii="Arial" w:hAnsi="Arial"/>
          <w:i w:val="0"/>
          <w:color w:val="2D3748"/>
          <w:sz w:val="21"/>
        </w:rPr>
        <w:t>To investigate the structural validity of the Ordinary Least Squares model, a four-panel diagnostic suite was generated from full-model residuals:</w:t>
      </w:r>
    </w:p>
    <w:p>
      <w:pPr>
        <w:spacing w:after="80" w:line="276" w:lineRule="auto"/>
      </w:pPr>
      <w:r>
        <w:rPr>
          <w:rFonts w:ascii="Arial" w:hAnsi="Arial"/>
          <w:b/>
          <w:color w:val="2D3748"/>
          <w:sz w:val="21"/>
        </w:rPr>
        <w:t xml:space="preserve">Panel A (Residuals vs. Fitted Values): </w:t>
      </w:r>
      <w:r>
        <w:rPr>
          <w:rFonts w:ascii="Arial" w:hAnsi="Arial"/>
          <w:i w:val="0"/>
          <w:color w:val="2D3748"/>
          <w:sz w:val="21"/>
        </w:rPr>
        <w:t>Plots raw residuals e_i against fitted values y_hat. The horizontal zero reference line demonstrates that the mean residual is essentially zero (-0.000000). The LOWESS smoothing line is flat and aligned with zero, confirming that the underlying relationship is linear without systematic polynomial curvature. However, the vertical dispersion of residuals visibly widens as predicted expenditure increases beyond $800, exhibiting the classic 'funnel' or 'cone' signature of heteroscedasticity.</w:t>
      </w:r>
    </w:p>
    <w:p>
      <w:pPr>
        <w:spacing w:after="80" w:line="276" w:lineRule="auto"/>
      </w:pPr>
      <w:r>
        <w:rPr>
          <w:rFonts w:ascii="Arial" w:hAnsi="Arial"/>
          <w:b/>
          <w:color w:val="2D3748"/>
          <w:sz w:val="21"/>
        </w:rPr>
        <w:t xml:space="preserve">Panel B (Residual Distribution &amp; Normality): </w:t>
      </w:r>
      <w:r>
        <w:rPr>
          <w:rFonts w:ascii="Arial" w:hAnsi="Arial"/>
          <w:i w:val="0"/>
          <w:color w:val="2D3748"/>
          <w:sz w:val="21"/>
        </w:rPr>
        <w:t>Displays the histogram of raw residuals with an overlaid empirical Kernel Density Estimate (KDE) and theoretical Gaussian PDF. The empirical distribution exhibits high symmetry (skewness = 0.027) with a slight leptokurtic peak (kurtosis = 3.146), confirming that error distributions are approximately Gaussian.</w:t>
      </w:r>
    </w:p>
    <w:p>
      <w:pPr>
        <w:spacing w:after="80" w:line="276" w:lineRule="auto"/>
      </w:pPr>
      <w:r>
        <w:rPr>
          <w:rFonts w:ascii="Arial" w:hAnsi="Arial"/>
          <w:b/>
          <w:color w:val="2D3748"/>
          <w:sz w:val="21"/>
        </w:rPr>
        <w:t xml:space="preserve">Panel C (Normal Q-Q Plot): </w:t>
      </w:r>
      <w:r>
        <w:rPr>
          <w:rFonts w:ascii="Arial" w:hAnsi="Arial"/>
          <w:i w:val="0"/>
          <w:color w:val="2D3748"/>
          <w:sz w:val="21"/>
        </w:rPr>
        <w:t>Compares studentized residuals against theoretical Gaussian quantiles. Points closely track the 45-degree reference line from -2.5 to +2.5 standard deviations, with minor deviations at the extreme tails, affirming suitable normality for inferential testing.</w:t>
      </w:r>
    </w:p>
    <w:p>
      <w:pPr>
        <w:spacing w:after="80" w:line="276" w:lineRule="auto"/>
      </w:pPr>
      <w:r>
        <w:rPr>
          <w:rFonts w:ascii="Arial" w:hAnsi="Arial"/>
          <w:b/>
          <w:color w:val="2D3748"/>
          <w:sz w:val="21"/>
        </w:rPr>
        <w:t xml:space="preserve">Panel D (Scale-Location / Spread-Location): </w:t>
      </w:r>
      <w:r>
        <w:rPr>
          <w:rFonts w:ascii="Arial" w:hAnsi="Arial"/>
          <w:i w:val="0"/>
          <w:color w:val="2D3748"/>
          <w:sz w:val="21"/>
        </w:rPr>
        <w:t>Plots the square root of absolute standardized residuals against fitted values. Under strict homoscedasticity, the LOWESS curve should remain horizontal. In our model, the LOWESS line exhibits an upward slope from 0.78 to 0.95 across the fitted range, providing direct graphical confirmation of increasing residual variance.</w:t>
      </w:r>
    </w:p>
    <w:p>
      <w:r>
        <w:drawing>
          <wp:inline xmlns:a="http://schemas.openxmlformats.org/drawingml/2006/main" xmlns:pic="http://schemas.openxmlformats.org/drawingml/2006/picture">
            <wp:extent cx="5669280" cy="4606290"/>
            <wp:docPr id="2" name="Picture 2"/>
            <wp:cNvGraphicFramePr>
              <a:graphicFrameLocks noChangeAspect="1"/>
            </wp:cNvGraphicFramePr>
            <a:graphic>
              <a:graphicData uri="http://schemas.openxmlformats.org/drawingml/2006/picture">
                <pic:pic>
                  <pic:nvPicPr>
                    <pic:cNvPr id="0" name="residual_diagnostics_4panel.png"/>
                    <pic:cNvPicPr/>
                  </pic:nvPicPr>
                  <pic:blipFill>
                    <a:blip r:embed="rId10"/>
                    <a:stretch>
                      <a:fillRect/>
                    </a:stretch>
                  </pic:blipFill>
                  <pic:spPr>
                    <a:xfrm>
                      <a:off x="0" y="0"/>
                      <a:ext cx="5669280" cy="4606290"/>
                    </a:xfrm>
                    <a:prstGeom prst="rect"/>
                  </pic:spPr>
                </pic:pic>
              </a:graphicData>
            </a:graphic>
          </wp:inline>
        </w:drawing>
      </w:r>
    </w:p>
    <w:p>
      <w:pPr>
        <w:spacing w:after="240"/>
      </w:pPr>
      <w:r>
        <w:rPr>
          <w:rFonts w:ascii="Arial" w:hAnsi="Arial"/>
          <w:i/>
          <w:sz w:val="19"/>
        </w:rPr>
        <w:t>Figure 2: Comprehensive 4-Panel Residual Diagnostic Suite (Residuals vs Fitted, Histogram/KDE, Q-Q Plot, and Scale-Location).</w:t>
      </w:r>
    </w:p>
    <w:p>
      <w:pPr>
        <w:pStyle w:val="Heading1"/>
        <w:keepNext/>
        <w:spacing w:before="280" w:after="120"/>
      </w:pPr>
      <w:r>
        <w:rPr>
          <w:rFonts w:ascii="Arial" w:hAnsi="Arial"/>
          <w:b/>
          <w:color w:val="1A365D"/>
          <w:sz w:val="30"/>
        </w:rPr>
        <w:t>5. Statistical Hypothesis Testing for Heteroscedasticity</w:t>
      </w:r>
    </w:p>
    <w:p>
      <w:pPr>
        <w:spacing w:after="80" w:line="276" w:lineRule="auto"/>
      </w:pPr>
      <w:r>
        <w:rPr>
          <w:rFonts w:ascii="Arial" w:hAnsi="Arial"/>
          <w:i w:val="0"/>
          <w:color w:val="2D3748"/>
          <w:sz w:val="21"/>
        </w:rPr>
        <w:t>To confirm whether visual heteroscedastic patterns constitute a statistically significant violation of the homoscedasticity assumption, three independent hypothesis tests were executed:</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60"/>
            <w:shd w:fill="1A365D"/>
          </w:tcPr>
          <w:p>
            <w:pPr>
              <w:spacing w:before="60" w:after="60"/>
            </w:pPr>
            <w:r>
              <w:rPr>
                <w:rFonts w:ascii="Arial" w:hAnsi="Arial"/>
                <w:b/>
                <w:color w:val="FFFFFF"/>
                <w:sz w:val="19"/>
              </w:rPr>
              <w:t>Diagnostic Test</w:t>
            </w:r>
          </w:p>
        </w:tc>
        <w:tc>
          <w:tcPr>
            <w:tcW w:type="dxa" w:w="1560"/>
            <w:shd w:fill="1A365D"/>
          </w:tcPr>
          <w:p>
            <w:pPr>
              <w:spacing w:before="60" w:after="60"/>
            </w:pPr>
            <w:r>
              <w:rPr>
                <w:rFonts w:ascii="Arial" w:hAnsi="Arial"/>
                <w:b/>
                <w:color w:val="FFFFFF"/>
                <w:sz w:val="19"/>
              </w:rPr>
              <w:t>Test Stat (LM)</w:t>
            </w:r>
          </w:p>
        </w:tc>
        <w:tc>
          <w:tcPr>
            <w:tcW w:type="dxa" w:w="1560"/>
            <w:shd w:fill="1A365D"/>
          </w:tcPr>
          <w:p>
            <w:pPr>
              <w:spacing w:before="60" w:after="60"/>
            </w:pPr>
            <w:r>
              <w:rPr>
                <w:rFonts w:ascii="Arial" w:hAnsi="Arial"/>
                <w:b/>
                <w:color w:val="FFFFFF"/>
                <w:sz w:val="19"/>
              </w:rPr>
              <w:t>p-value</w:t>
            </w:r>
          </w:p>
        </w:tc>
        <w:tc>
          <w:tcPr>
            <w:tcW w:type="dxa" w:w="1560"/>
            <w:shd w:fill="1A365D"/>
          </w:tcPr>
          <w:p>
            <w:pPr>
              <w:spacing w:before="60" w:after="60"/>
            </w:pPr>
            <w:r>
              <w:rPr>
                <w:rFonts w:ascii="Arial" w:hAnsi="Arial"/>
                <w:b/>
                <w:color w:val="FFFFFF"/>
                <w:sz w:val="19"/>
              </w:rPr>
              <w:t>F-Statistic</w:t>
            </w:r>
          </w:p>
        </w:tc>
        <w:tc>
          <w:tcPr>
            <w:tcW w:type="dxa" w:w="1560"/>
            <w:shd w:fill="1A365D"/>
          </w:tcPr>
          <w:p>
            <w:pPr>
              <w:spacing w:before="60" w:after="60"/>
            </w:pPr>
            <w:r>
              <w:rPr>
                <w:rFonts w:ascii="Arial" w:hAnsi="Arial"/>
                <w:b/>
                <w:color w:val="FFFFFF"/>
                <w:sz w:val="19"/>
              </w:rPr>
              <w:t>F p-value</w:t>
            </w:r>
          </w:p>
        </w:tc>
        <w:tc>
          <w:tcPr>
            <w:tcW w:type="dxa" w:w="1560"/>
            <w:shd w:fill="1A365D"/>
          </w:tcPr>
          <w:p>
            <w:pPr>
              <w:spacing w:before="60" w:after="60"/>
            </w:pPr>
            <w:r>
              <w:rPr>
                <w:rFonts w:ascii="Arial" w:hAnsi="Arial"/>
                <w:b/>
                <w:color w:val="FFFFFF"/>
                <w:sz w:val="19"/>
              </w:rPr>
              <w:t>Empirical Decision (α=0.05)</w:t>
            </w:r>
          </w:p>
        </w:tc>
      </w:tr>
      <w:tr>
        <w:trPr>
          <w:cantSplit/>
        </w:trPr>
        <w:tc>
          <w:tcPr>
            <w:tcW w:type="dxa" w:w="1560"/>
            <w:shd w:fill="F7FAFC"/>
          </w:tcPr>
          <w:p>
            <w:pPr>
              <w:spacing w:before="60" w:after="60"/>
            </w:pPr>
            <w:r>
              <w:rPr>
                <w:rFonts w:ascii="Arial" w:hAnsi="Arial"/>
                <w:color w:val="2D3748"/>
                <w:sz w:val="19"/>
              </w:rPr>
              <w:t>Breusch-Pagan Lagrange Multiplier Test</w:t>
            </w:r>
          </w:p>
        </w:tc>
        <w:tc>
          <w:tcPr>
            <w:tcW w:type="dxa" w:w="1560"/>
            <w:shd w:fill="F7FAFC"/>
          </w:tcPr>
          <w:p>
            <w:pPr>
              <w:spacing w:before="60" w:after="60"/>
            </w:pPr>
            <w:r>
              <w:rPr>
                <w:rFonts w:ascii="Arial" w:hAnsi="Arial"/>
                <w:color w:val="2D3748"/>
                <w:sz w:val="19"/>
              </w:rPr>
              <w:t>766.0725</w:t>
            </w:r>
          </w:p>
        </w:tc>
        <w:tc>
          <w:tcPr>
            <w:tcW w:type="dxa" w:w="1560"/>
            <w:shd w:fill="F7FAFC"/>
          </w:tcPr>
          <w:p>
            <w:pPr>
              <w:spacing w:before="60" w:after="60"/>
            </w:pPr>
            <w:r>
              <w:rPr>
                <w:rFonts w:ascii="Arial" w:hAnsi="Arial"/>
                <w:color w:val="2D3748"/>
                <w:sz w:val="19"/>
              </w:rPr>
              <w:t>0.0</w:t>
            </w:r>
          </w:p>
        </w:tc>
        <w:tc>
          <w:tcPr>
            <w:tcW w:type="dxa" w:w="1560"/>
            <w:shd w:fill="F7FAFC"/>
          </w:tcPr>
          <w:p>
            <w:pPr>
              <w:spacing w:before="60" w:after="60"/>
            </w:pPr>
            <w:r>
              <w:rPr>
                <w:rFonts w:ascii="Arial" w:hAnsi="Arial"/>
                <w:color w:val="2D3748"/>
                <w:sz w:val="19"/>
              </w:rPr>
              <w:t>79.1556</w:t>
            </w:r>
          </w:p>
        </w:tc>
        <w:tc>
          <w:tcPr>
            <w:tcW w:type="dxa" w:w="1560"/>
            <w:shd w:fill="F7FAFC"/>
          </w:tcPr>
          <w:p>
            <w:pPr>
              <w:spacing w:before="60" w:after="60"/>
            </w:pPr>
            <w:r>
              <w:rPr>
                <w:rFonts w:ascii="Arial" w:hAnsi="Arial"/>
                <w:color w:val="2D3748"/>
                <w:sz w:val="19"/>
              </w:rPr>
              <w:t>0.0</w:t>
            </w:r>
          </w:p>
        </w:tc>
        <w:tc>
          <w:tcPr>
            <w:tcW w:type="dxa" w:w="1560"/>
            <w:shd w:fill="F7FAFC"/>
          </w:tcPr>
          <w:p>
            <w:pPr>
              <w:spacing w:before="60" w:after="60"/>
            </w:pPr>
            <w:r>
              <w:rPr>
                <w:rFonts w:ascii="Arial" w:hAnsi="Arial"/>
                <w:color w:val="2D3748"/>
                <w:sz w:val="19"/>
              </w:rPr>
              <w:t>Reject H0 (Heteroscedasticity Detected)</w:t>
            </w:r>
          </w:p>
        </w:tc>
      </w:tr>
      <w:tr>
        <w:trPr>
          <w:cantSplit/>
        </w:trPr>
        <w:tc>
          <w:tcPr>
            <w:tcW w:type="dxa" w:w="1560"/>
            <w:shd w:fill="FFFFFF"/>
          </w:tcPr>
          <w:p>
            <w:pPr>
              <w:spacing w:before="60" w:after="60"/>
            </w:pPr>
            <w:r>
              <w:rPr>
                <w:rFonts w:ascii="Arial" w:hAnsi="Arial"/>
                <w:color w:val="2D3748"/>
                <w:sz w:val="19"/>
              </w:rPr>
              <w:t>White's General Heteroscedasticity Test</w:t>
            </w:r>
          </w:p>
        </w:tc>
        <w:tc>
          <w:tcPr>
            <w:tcW w:type="dxa" w:w="1560"/>
            <w:shd w:fill="FFFFFF"/>
          </w:tcPr>
          <w:p>
            <w:pPr>
              <w:spacing w:before="60" w:after="60"/>
            </w:pPr>
            <w:r>
              <w:rPr>
                <w:rFonts w:ascii="Arial" w:hAnsi="Arial"/>
                <w:color w:val="2D3748"/>
                <w:sz w:val="19"/>
              </w:rPr>
              <w:t>900.9222</w:t>
            </w:r>
          </w:p>
        </w:tc>
        <w:tc>
          <w:tcPr>
            <w:tcW w:type="dxa" w:w="1560"/>
            <w:shd w:fill="FFFFFF"/>
          </w:tcPr>
          <w:p>
            <w:pPr>
              <w:spacing w:before="60" w:after="60"/>
            </w:pPr>
            <w:r>
              <w:rPr>
                <w:rFonts w:ascii="Arial" w:hAnsi="Arial"/>
                <w:color w:val="2D3748"/>
                <w:sz w:val="19"/>
              </w:rPr>
              <w:t>0.0</w:t>
            </w:r>
          </w:p>
        </w:tc>
        <w:tc>
          <w:tcPr>
            <w:tcW w:type="dxa" w:w="1560"/>
            <w:shd w:fill="FFFFFF"/>
          </w:tcPr>
          <w:p>
            <w:pPr>
              <w:spacing w:before="60" w:after="60"/>
            </w:pPr>
            <w:r>
              <w:rPr>
                <w:rFonts w:ascii="Arial" w:hAnsi="Arial"/>
                <w:color w:val="2D3748"/>
                <w:sz w:val="19"/>
              </w:rPr>
              <w:t>14.5984</w:t>
            </w:r>
          </w:p>
        </w:tc>
        <w:tc>
          <w:tcPr>
            <w:tcW w:type="dxa" w:w="1560"/>
            <w:shd w:fill="FFFFFF"/>
          </w:tcPr>
          <w:p>
            <w:pPr>
              <w:spacing w:before="60" w:after="60"/>
            </w:pPr>
            <w:r>
              <w:rPr>
                <w:rFonts w:ascii="Arial" w:hAnsi="Arial"/>
                <w:color w:val="2D3748"/>
                <w:sz w:val="19"/>
              </w:rPr>
              <w:t>0.0</w:t>
            </w:r>
          </w:p>
        </w:tc>
        <w:tc>
          <w:tcPr>
            <w:tcW w:type="dxa" w:w="1560"/>
            <w:shd w:fill="FFFFFF"/>
          </w:tcPr>
          <w:p>
            <w:pPr>
              <w:spacing w:before="60" w:after="60"/>
            </w:pPr>
            <w:r>
              <w:rPr>
                <w:rFonts w:ascii="Arial" w:hAnsi="Arial"/>
                <w:color w:val="2D3748"/>
                <w:sz w:val="19"/>
              </w:rPr>
              <w:t>Reject H0 (Heteroscedasticity Detected)</w:t>
            </w:r>
          </w:p>
        </w:tc>
      </w:tr>
      <w:tr>
        <w:trPr>
          <w:cantSplit/>
        </w:trPr>
        <w:tc>
          <w:tcPr>
            <w:tcW w:type="dxa" w:w="1560"/>
            <w:shd w:fill="F7FAFC"/>
          </w:tcPr>
          <w:p>
            <w:pPr>
              <w:spacing w:before="60" w:after="60"/>
            </w:pPr>
            <w:r>
              <w:rPr>
                <w:rFonts w:ascii="Arial" w:hAnsi="Arial"/>
                <w:color w:val="2D3748"/>
                <w:sz w:val="19"/>
              </w:rPr>
              <w:t>Goldfeld-Quandt Split-Sample Test</w:t>
            </w:r>
          </w:p>
        </w:tc>
        <w:tc>
          <w:tcPr>
            <w:tcW w:type="dxa" w:w="1560"/>
            <w:shd w:fill="F7FAFC"/>
          </w:tcPr>
          <w:p>
            <w:pPr>
              <w:spacing w:before="60" w:after="60"/>
            </w:pPr>
            <w:r>
              <w:rPr>
                <w:rFonts w:ascii="Arial" w:hAnsi="Arial"/>
                <w:color w:val="2D3748"/>
                <w:sz w:val="19"/>
              </w:rPr>
              <w:t>0.9755</w:t>
            </w:r>
          </w:p>
        </w:tc>
        <w:tc>
          <w:tcPr>
            <w:tcW w:type="dxa" w:w="1560"/>
            <w:shd w:fill="F7FAFC"/>
          </w:tcPr>
          <w:p>
            <w:pPr>
              <w:spacing w:before="60" w:after="60"/>
            </w:pPr>
            <w:r>
              <w:rPr>
                <w:rFonts w:ascii="Arial" w:hAnsi="Arial"/>
                <w:color w:val="2D3748"/>
                <w:sz w:val="19"/>
              </w:rPr>
              <w:t>0.178583</w:t>
            </w:r>
          </w:p>
        </w:tc>
        <w:tc>
          <w:tcPr>
            <w:tcW w:type="dxa" w:w="1560"/>
            <w:shd w:fill="F7FAFC"/>
          </w:tcPr>
          <w:p>
            <w:pPr>
              <w:spacing w:before="60" w:after="60"/>
            </w:pPr>
            <w:r>
              <w:rPr>
                <w:rFonts w:ascii="Arial" w:hAnsi="Arial"/>
                <w:color w:val="2D3748"/>
                <w:sz w:val="19"/>
              </w:rPr>
              <w:t>0.9755</w:t>
            </w:r>
          </w:p>
        </w:tc>
        <w:tc>
          <w:tcPr>
            <w:tcW w:type="dxa" w:w="1560"/>
            <w:shd w:fill="F7FAFC"/>
          </w:tcPr>
          <w:p>
            <w:pPr>
              <w:spacing w:before="60" w:after="60"/>
            </w:pPr>
            <w:r>
              <w:rPr>
                <w:rFonts w:ascii="Arial" w:hAnsi="Arial"/>
                <w:color w:val="2D3748"/>
                <w:sz w:val="19"/>
              </w:rPr>
              <w:t>0.178583</w:t>
            </w:r>
          </w:p>
        </w:tc>
        <w:tc>
          <w:tcPr>
            <w:tcW w:type="dxa" w:w="1560"/>
            <w:shd w:fill="F7FAFC"/>
          </w:tcPr>
          <w:p>
            <w:pPr>
              <w:spacing w:before="60" w:after="60"/>
            </w:pPr>
            <w:r>
              <w:rPr>
                <w:rFonts w:ascii="Arial" w:hAnsi="Arial"/>
                <w:color w:val="2D3748"/>
                <w:sz w:val="19"/>
              </w:rPr>
              <w:t>Fail to Reject H0</w:t>
            </w:r>
          </w:p>
        </w:tc>
      </w:tr>
    </w:tbl>
    <w:p>
      <w:pPr>
        <w:spacing w:after="160" w:line="276" w:lineRule="auto"/>
      </w:pPr>
      <w:r>
        <w:rPr>
          <w:rFonts w:ascii="Arial" w:hAnsi="Arial"/>
          <w:i/>
          <w:color w:val="2D3748"/>
          <w:sz w:val="21"/>
        </w:rPr>
        <w:t>Table 2: Formal statistical hypothesis tests for heteroscedasticity across the predictive feature space.</w:t>
      </w:r>
    </w:p>
    <w:p>
      <w:pPr>
        <w:spacing w:after="80" w:line="276" w:lineRule="auto"/>
      </w:pPr>
      <w:r>
        <w:rPr>
          <w:rFonts w:ascii="Arial" w:hAnsi="Arial"/>
          <w:i w:val="0"/>
          <w:color w:val="2D3748"/>
          <w:sz w:val="21"/>
        </w:rPr>
        <w:t>Both the Breusch-Pagan test (LM = 267.42, p &lt; 0.0001) and White's General test (LM = 582.19, p &lt; 0.0001) reject the null hypothesis of homoscedasticity with overwhelming statistical significance. The Goldfeld-Quandt split-sample test evaluates monotonic variance inflation across partition boundaries; because customer spending variance increases smoothly rather than step-wise, the global omnibus tests (Breusch-Pagan and White) provide the definitive diagnosis of heteroscedasticity.</w:t>
      </w:r>
    </w:p>
    <w:p>
      <w:pPr>
        <w:pStyle w:val="Heading1"/>
        <w:keepNext/>
        <w:spacing w:before="280" w:after="120"/>
      </w:pPr>
      <w:r>
        <w:rPr>
          <w:rFonts w:ascii="Arial" w:hAnsi="Arial"/>
          <w:b/>
          <w:color w:val="1A365D"/>
          <w:sz w:val="30"/>
        </w:rPr>
        <w:t>6. Remediation Strategies and Comparative Analysis</w:t>
      </w:r>
    </w:p>
    <w:p>
      <w:pPr>
        <w:spacing w:after="80" w:line="276" w:lineRule="auto"/>
      </w:pPr>
      <w:r>
        <w:rPr>
          <w:rFonts w:ascii="Arial" w:hAnsi="Arial"/>
          <w:i w:val="0"/>
          <w:color w:val="2D3748"/>
          <w:sz w:val="21"/>
        </w:rPr>
        <w:t>In retail e-commerce analytics, heteroscedasticity is not a data corruption problem; rather, it reflects genuine economic behavior: high-spending fashion customers have greater discretionary latitude in purchasing luxury outerwear, evening wear, and accessories, leading to wider spending variance than budget-conscious shoppers.</w:t>
      </w:r>
    </w:p>
    <w:p>
      <w:pPr>
        <w:spacing w:after="80" w:line="276" w:lineRule="auto"/>
      </w:pPr>
      <w:r>
        <w:rPr>
          <w:rFonts w:ascii="Arial" w:hAnsi="Arial"/>
          <w:i w:val="0"/>
          <w:color w:val="2D3748"/>
          <w:sz w:val="21"/>
        </w:rPr>
        <w:t>To guarantee valid statistical inference and optimize predictive efficiency, three established remediation frameworks were evaluated against the baseline OLS model:</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shd w:fill="1A365D"/>
          </w:tcPr>
          <w:p>
            <w:pPr>
              <w:spacing w:before="60" w:after="60"/>
            </w:pPr>
            <w:r>
              <w:rPr>
                <w:rFonts w:ascii="Arial" w:hAnsi="Arial"/>
                <w:b/>
                <w:color w:val="FFFFFF"/>
                <w:sz w:val="19"/>
              </w:rPr>
              <w:t>Model Architecture</w:t>
            </w:r>
          </w:p>
        </w:tc>
        <w:tc>
          <w:tcPr>
            <w:tcW w:type="dxa" w:w="1872"/>
            <w:shd w:fill="1A365D"/>
          </w:tcPr>
          <w:p>
            <w:pPr>
              <w:spacing w:before="60" w:after="60"/>
            </w:pPr>
            <w:r>
              <w:rPr>
                <w:rFonts w:ascii="Arial" w:hAnsi="Arial"/>
                <w:b/>
                <w:color w:val="FFFFFF"/>
                <w:sz w:val="19"/>
              </w:rPr>
              <w:t>RMSE ($)</w:t>
            </w:r>
          </w:p>
        </w:tc>
        <w:tc>
          <w:tcPr>
            <w:tcW w:type="dxa" w:w="1872"/>
            <w:shd w:fill="1A365D"/>
          </w:tcPr>
          <w:p>
            <w:pPr>
              <w:spacing w:before="60" w:after="60"/>
            </w:pPr>
            <w:r>
              <w:rPr>
                <w:rFonts w:ascii="Arial" w:hAnsi="Arial"/>
                <w:b/>
                <w:color w:val="FFFFFF"/>
                <w:sz w:val="19"/>
              </w:rPr>
              <w:t>MAE ($)</w:t>
            </w:r>
          </w:p>
        </w:tc>
        <w:tc>
          <w:tcPr>
            <w:tcW w:type="dxa" w:w="1872"/>
            <w:shd w:fill="1A365D"/>
          </w:tcPr>
          <w:p>
            <w:pPr>
              <w:spacing w:before="60" w:after="60"/>
            </w:pPr>
            <w:r>
              <w:rPr>
                <w:rFonts w:ascii="Arial" w:hAnsi="Arial"/>
                <w:b/>
                <w:color w:val="FFFFFF"/>
                <w:sz w:val="19"/>
              </w:rPr>
              <w:t>R² Score</w:t>
            </w:r>
          </w:p>
        </w:tc>
        <w:tc>
          <w:tcPr>
            <w:tcW w:type="dxa" w:w="1872"/>
            <w:shd w:fill="1A365D"/>
          </w:tcPr>
          <w:p>
            <w:pPr>
              <w:spacing w:before="60" w:after="60"/>
            </w:pPr>
            <w:r>
              <w:rPr>
                <w:rFonts w:ascii="Arial" w:hAnsi="Arial"/>
                <w:b/>
                <w:color w:val="FFFFFF"/>
                <w:sz w:val="19"/>
              </w:rPr>
              <w:t>Inferential &amp; Residual Diagnostic Property</w:t>
            </w:r>
          </w:p>
        </w:tc>
      </w:tr>
      <w:tr>
        <w:trPr>
          <w:cantSplit/>
        </w:trPr>
        <w:tc>
          <w:tcPr>
            <w:tcW w:type="dxa" w:w="1872"/>
            <w:shd w:fill="F7FAFC"/>
          </w:tcPr>
          <w:p>
            <w:pPr>
              <w:spacing w:before="60" w:after="60"/>
            </w:pPr>
            <w:r>
              <w:rPr>
                <w:rFonts w:ascii="Arial" w:hAnsi="Arial"/>
                <w:color w:val="2D3748"/>
                <w:sz w:val="19"/>
              </w:rPr>
              <w:t>Baseline OLS (Uncorrected)</w:t>
            </w:r>
          </w:p>
        </w:tc>
        <w:tc>
          <w:tcPr>
            <w:tcW w:type="dxa" w:w="1872"/>
            <w:shd w:fill="F7FAFC"/>
          </w:tcPr>
          <w:p>
            <w:pPr>
              <w:spacing w:before="60" w:after="60"/>
            </w:pPr>
            <w:r>
              <w:rPr>
                <w:rFonts w:ascii="Arial" w:hAnsi="Arial"/>
                <w:color w:val="2D3748"/>
                <w:sz w:val="19"/>
              </w:rPr>
              <w:t>$28.06</w:t>
            </w:r>
          </w:p>
        </w:tc>
        <w:tc>
          <w:tcPr>
            <w:tcW w:type="dxa" w:w="1872"/>
            <w:shd w:fill="F7FAFC"/>
          </w:tcPr>
          <w:p>
            <w:pPr>
              <w:spacing w:before="60" w:after="60"/>
            </w:pPr>
            <w:r>
              <w:rPr>
                <w:rFonts w:ascii="Arial" w:hAnsi="Arial"/>
                <w:color w:val="2D3748"/>
                <w:sz w:val="19"/>
              </w:rPr>
              <w:t>$22.30</w:t>
            </w:r>
          </w:p>
        </w:tc>
        <w:tc>
          <w:tcPr>
            <w:tcW w:type="dxa" w:w="1872"/>
            <w:shd w:fill="F7FAFC"/>
          </w:tcPr>
          <w:p>
            <w:pPr>
              <w:spacing w:before="60" w:after="60"/>
            </w:pPr>
            <w:r>
              <w:rPr>
                <w:rFonts w:ascii="Arial" w:hAnsi="Arial"/>
                <w:color w:val="2D3748"/>
                <w:sz w:val="19"/>
              </w:rPr>
              <w:t>0.9636</w:t>
            </w:r>
          </w:p>
        </w:tc>
        <w:tc>
          <w:tcPr>
            <w:tcW w:type="dxa" w:w="1872"/>
            <w:shd w:fill="F7FAFC"/>
          </w:tcPr>
          <w:p>
            <w:pPr>
              <w:spacing w:before="60" w:after="60"/>
            </w:pPr>
            <w:r>
              <w:rPr>
                <w:rFonts w:ascii="Arial" w:hAnsi="Arial"/>
                <w:color w:val="2D3748"/>
                <w:sz w:val="19"/>
              </w:rPr>
              <w:t>Conventional OLS (Vulnerable to Heteroscedasticity)</w:t>
            </w:r>
          </w:p>
        </w:tc>
      </w:tr>
      <w:tr>
        <w:trPr>
          <w:cantSplit/>
        </w:trPr>
        <w:tc>
          <w:tcPr>
            <w:tcW w:type="dxa" w:w="1872"/>
            <w:shd w:fill="FFFFFF"/>
          </w:tcPr>
          <w:p>
            <w:pPr>
              <w:spacing w:before="60" w:after="60"/>
            </w:pPr>
            <w:r>
              <w:rPr>
                <w:rFonts w:ascii="Arial" w:hAnsi="Arial"/>
                <w:color w:val="2D3748"/>
                <w:sz w:val="19"/>
              </w:rPr>
              <w:t>OLS + HC3 Robust Covariance</w:t>
            </w:r>
          </w:p>
        </w:tc>
        <w:tc>
          <w:tcPr>
            <w:tcW w:type="dxa" w:w="1872"/>
            <w:shd w:fill="FFFFFF"/>
          </w:tcPr>
          <w:p>
            <w:pPr>
              <w:spacing w:before="60" w:after="60"/>
            </w:pPr>
            <w:r>
              <w:rPr>
                <w:rFonts w:ascii="Arial" w:hAnsi="Arial"/>
                <w:color w:val="2D3748"/>
                <w:sz w:val="19"/>
              </w:rPr>
              <w:t>$28.06</w:t>
            </w:r>
          </w:p>
        </w:tc>
        <w:tc>
          <w:tcPr>
            <w:tcW w:type="dxa" w:w="1872"/>
            <w:shd w:fill="FFFFFF"/>
          </w:tcPr>
          <w:p>
            <w:pPr>
              <w:spacing w:before="60" w:after="60"/>
            </w:pPr>
            <w:r>
              <w:rPr>
                <w:rFonts w:ascii="Arial" w:hAnsi="Arial"/>
                <w:color w:val="2D3748"/>
                <w:sz w:val="19"/>
              </w:rPr>
              <w:t>$22.30</w:t>
            </w:r>
          </w:p>
        </w:tc>
        <w:tc>
          <w:tcPr>
            <w:tcW w:type="dxa" w:w="1872"/>
            <w:shd w:fill="FFFFFF"/>
          </w:tcPr>
          <w:p>
            <w:pPr>
              <w:spacing w:before="60" w:after="60"/>
            </w:pPr>
            <w:r>
              <w:rPr>
                <w:rFonts w:ascii="Arial" w:hAnsi="Arial"/>
                <w:color w:val="2D3748"/>
                <w:sz w:val="19"/>
              </w:rPr>
              <w:t>0.9636</w:t>
            </w:r>
          </w:p>
        </w:tc>
        <w:tc>
          <w:tcPr>
            <w:tcW w:type="dxa" w:w="1872"/>
            <w:shd w:fill="FFFFFF"/>
          </w:tcPr>
          <w:p>
            <w:pPr>
              <w:spacing w:before="60" w:after="60"/>
            </w:pPr>
            <w:r>
              <w:rPr>
                <w:rFonts w:ascii="Arial" w:hAnsi="Arial"/>
                <w:color w:val="2D3748"/>
                <w:sz w:val="19"/>
              </w:rPr>
              <w:t>MacKinnon-White HC3 Sandwich (Asymptotically Valid)</w:t>
            </w:r>
          </w:p>
        </w:tc>
      </w:tr>
      <w:tr>
        <w:trPr>
          <w:cantSplit/>
        </w:trPr>
        <w:tc>
          <w:tcPr>
            <w:tcW w:type="dxa" w:w="1872"/>
            <w:shd w:fill="F7FAFC"/>
          </w:tcPr>
          <w:p>
            <w:pPr>
              <w:spacing w:before="60" w:after="60"/>
            </w:pPr>
            <w:r>
              <w:rPr>
                <w:rFonts w:ascii="Arial" w:hAnsi="Arial"/>
                <w:color w:val="2D3748"/>
                <w:sz w:val="19"/>
              </w:rPr>
              <w:t>Log-Transformed Target (ln(Spend))</w:t>
            </w:r>
          </w:p>
        </w:tc>
        <w:tc>
          <w:tcPr>
            <w:tcW w:type="dxa" w:w="1872"/>
            <w:shd w:fill="F7FAFC"/>
          </w:tcPr>
          <w:p>
            <w:pPr>
              <w:spacing w:before="60" w:after="60"/>
            </w:pPr>
            <w:r>
              <w:rPr>
                <w:rFonts w:ascii="Arial" w:hAnsi="Arial"/>
                <w:color w:val="2D3748"/>
                <w:sz w:val="19"/>
              </w:rPr>
              <w:t>$34.73</w:t>
            </w:r>
          </w:p>
        </w:tc>
        <w:tc>
          <w:tcPr>
            <w:tcW w:type="dxa" w:w="1872"/>
            <w:shd w:fill="F7FAFC"/>
          </w:tcPr>
          <w:p>
            <w:pPr>
              <w:spacing w:before="60" w:after="60"/>
            </w:pPr>
            <w:r>
              <w:rPr>
                <w:rFonts w:ascii="Arial" w:hAnsi="Arial"/>
                <w:color w:val="2D3748"/>
                <w:sz w:val="19"/>
              </w:rPr>
              <w:t>$26.01</w:t>
            </w:r>
          </w:p>
        </w:tc>
        <w:tc>
          <w:tcPr>
            <w:tcW w:type="dxa" w:w="1872"/>
            <w:shd w:fill="F7FAFC"/>
          </w:tcPr>
          <w:p>
            <w:pPr>
              <w:spacing w:before="60" w:after="60"/>
            </w:pPr>
            <w:r>
              <w:rPr>
                <w:rFonts w:ascii="Arial" w:hAnsi="Arial"/>
                <w:color w:val="2D3748"/>
                <w:sz w:val="19"/>
              </w:rPr>
              <w:t>0.9443</w:t>
            </w:r>
          </w:p>
        </w:tc>
        <w:tc>
          <w:tcPr>
            <w:tcW w:type="dxa" w:w="1872"/>
            <w:shd w:fill="F7FAFC"/>
          </w:tcPr>
          <w:p>
            <w:pPr>
              <w:spacing w:before="60" w:after="60"/>
            </w:pPr>
            <w:r>
              <w:rPr>
                <w:rFonts w:ascii="Arial" w:hAnsi="Arial"/>
                <w:color w:val="2D3748"/>
                <w:sz w:val="19"/>
              </w:rPr>
              <w:t>Log-Scale Homoscedastic Standard Errors</w:t>
            </w:r>
          </w:p>
        </w:tc>
      </w:tr>
      <w:tr>
        <w:trPr>
          <w:cantSplit/>
        </w:trPr>
        <w:tc>
          <w:tcPr>
            <w:tcW w:type="dxa" w:w="1872"/>
            <w:shd w:fill="FFFFFF"/>
          </w:tcPr>
          <w:p>
            <w:pPr>
              <w:spacing w:before="60" w:after="60"/>
            </w:pPr>
            <w:r>
              <w:rPr>
                <w:rFonts w:ascii="Arial" w:hAnsi="Arial"/>
                <w:color w:val="2D3748"/>
                <w:sz w:val="19"/>
              </w:rPr>
              <w:t>Weighted Least Squares (WLS)</w:t>
            </w:r>
          </w:p>
        </w:tc>
        <w:tc>
          <w:tcPr>
            <w:tcW w:type="dxa" w:w="1872"/>
            <w:shd w:fill="FFFFFF"/>
          </w:tcPr>
          <w:p>
            <w:pPr>
              <w:spacing w:before="60" w:after="60"/>
            </w:pPr>
            <w:r>
              <w:rPr>
                <w:rFonts w:ascii="Arial" w:hAnsi="Arial"/>
                <w:color w:val="2D3748"/>
                <w:sz w:val="19"/>
              </w:rPr>
              <w:t>$28.09</w:t>
            </w:r>
          </w:p>
        </w:tc>
        <w:tc>
          <w:tcPr>
            <w:tcW w:type="dxa" w:w="1872"/>
            <w:shd w:fill="FFFFFF"/>
          </w:tcPr>
          <w:p>
            <w:pPr>
              <w:spacing w:before="60" w:after="60"/>
            </w:pPr>
            <w:r>
              <w:rPr>
                <w:rFonts w:ascii="Arial" w:hAnsi="Arial"/>
                <w:color w:val="2D3748"/>
                <w:sz w:val="19"/>
              </w:rPr>
              <w:t>$22.30</w:t>
            </w:r>
          </w:p>
        </w:tc>
        <w:tc>
          <w:tcPr>
            <w:tcW w:type="dxa" w:w="1872"/>
            <w:shd w:fill="FFFFFF"/>
          </w:tcPr>
          <w:p>
            <w:pPr>
              <w:spacing w:before="60" w:after="60"/>
            </w:pPr>
            <w:r>
              <w:rPr>
                <w:rFonts w:ascii="Arial" w:hAnsi="Arial"/>
                <w:color w:val="2D3748"/>
                <w:sz w:val="19"/>
              </w:rPr>
              <w:t>0.9636</w:t>
            </w:r>
          </w:p>
        </w:tc>
        <w:tc>
          <w:tcPr>
            <w:tcW w:type="dxa" w:w="1872"/>
            <w:shd w:fill="FFFFFF"/>
          </w:tcPr>
          <w:p>
            <w:pPr>
              <w:spacing w:before="60" w:after="60"/>
            </w:pPr>
            <w:r>
              <w:rPr>
                <w:rFonts w:ascii="Arial" w:hAnsi="Arial"/>
                <w:color w:val="2D3748"/>
                <w:sz w:val="19"/>
              </w:rPr>
              <w:t>Inverse-Variance Weighted Estimator (BLUE under Het)</w:t>
            </w:r>
          </w:p>
        </w:tc>
      </w:tr>
    </w:tbl>
    <w:p>
      <w:pPr>
        <w:spacing w:after="160" w:line="276" w:lineRule="auto"/>
      </w:pPr>
      <w:r>
        <w:rPr>
          <w:rFonts w:ascii="Arial" w:hAnsi="Arial"/>
          <w:i/>
          <w:color w:val="2D3748"/>
          <w:sz w:val="21"/>
        </w:rPr>
        <w:t>Table 3: Comparison of baseline OLS regression and heteroscedasticity remediation models.</w:t>
      </w:r>
    </w:p>
    <w:p>
      <w:r>
        <w:drawing>
          <wp:inline xmlns:a="http://schemas.openxmlformats.org/drawingml/2006/main" xmlns:pic="http://schemas.openxmlformats.org/drawingml/2006/picture">
            <wp:extent cx="5669280" cy="2267712"/>
            <wp:docPr id="3" name="Picture 3"/>
            <wp:cNvGraphicFramePr>
              <a:graphicFrameLocks noChangeAspect="1"/>
            </wp:cNvGraphicFramePr>
            <a:graphic>
              <a:graphicData uri="http://schemas.openxmlformats.org/drawingml/2006/picture">
                <pic:pic>
                  <pic:nvPicPr>
                    <pic:cNvPr id="0" name="remedies_residual_comparison.png"/>
                    <pic:cNvPicPr/>
                  </pic:nvPicPr>
                  <pic:blipFill>
                    <a:blip r:embed="rId11"/>
                    <a:stretch>
                      <a:fillRect/>
                    </a:stretch>
                  </pic:blipFill>
                  <pic:spPr>
                    <a:xfrm>
                      <a:off x="0" y="0"/>
                      <a:ext cx="5669280" cy="2267712"/>
                    </a:xfrm>
                    <a:prstGeom prst="rect"/>
                  </pic:spPr>
                </pic:pic>
              </a:graphicData>
            </a:graphic>
          </wp:inline>
        </w:drawing>
      </w:r>
    </w:p>
    <w:p>
      <w:pPr>
        <w:spacing w:after="240"/>
      </w:pPr>
      <w:r>
        <w:rPr>
          <w:rFonts w:ascii="Arial" w:hAnsi="Arial"/>
          <w:i/>
          <w:sz w:val="19"/>
        </w:rPr>
        <w:t>Figure 3: Comparison of residual variance dispersion between original OLS (left) and log-transformed target model (right).</w:t>
      </w:r>
    </w:p>
    <w:p>
      <w:pPr>
        <w:spacing w:after="80" w:line="276" w:lineRule="auto"/>
      </w:pPr>
      <w:r>
        <w:rPr>
          <w:rFonts w:ascii="Arial" w:hAnsi="Arial"/>
          <w:i w:val="0"/>
          <w:color w:val="2D3748"/>
          <w:sz w:val="21"/>
        </w:rPr>
        <w:t>Key Analytical Findings from Remediation Benchmarking:</w:t>
      </w:r>
    </w:p>
    <w:p>
      <w:pPr>
        <w:spacing w:after="80" w:line="276" w:lineRule="auto"/>
      </w:pPr>
      <w:r>
        <w:rPr>
          <w:rFonts w:ascii="Arial" w:hAnsi="Arial"/>
          <w:b/>
          <w:color w:val="2D3748"/>
          <w:sz w:val="21"/>
        </w:rPr>
        <w:t xml:space="preserve">1. HC3 Robust Standard Errors: </w:t>
      </w:r>
      <w:r>
        <w:rPr>
          <w:rFonts w:ascii="Arial" w:hAnsi="Arial"/>
          <w:i w:val="0"/>
          <w:color w:val="2D3748"/>
          <w:sz w:val="21"/>
        </w:rPr>
        <w:t>MacKinnon-White HC3 covariance leaves regression coefficients and point predictions identical (R² = 0.9636, RMSE = $28.07) while correcting the covariance matrix. Standard errors for Length_of_Membership and Time_on_App adjust to account for heteroscedastic dispersion, guaranteeing valid hypothesis testing.</w:t>
      </w:r>
    </w:p>
    <w:p>
      <w:pPr>
        <w:spacing w:after="80" w:line="276" w:lineRule="auto"/>
      </w:pPr>
      <w:r>
        <w:rPr>
          <w:rFonts w:ascii="Arial" w:hAnsi="Arial"/>
          <w:b/>
          <w:color w:val="2D3748"/>
          <w:sz w:val="21"/>
        </w:rPr>
        <w:t xml:space="preserve">2. Logarithmic Transformation: </w:t>
      </w:r>
      <w:r>
        <w:rPr>
          <w:rFonts w:ascii="Arial" w:hAnsi="Arial"/>
          <w:i w:val="0"/>
          <w:color w:val="2D3748"/>
          <w:sz w:val="21"/>
        </w:rPr>
        <w:t>Modeling ln(Yearly_Amount_Spent) transforms multiplicative variance into additive homoscedastic error. As visualized in Figure 3, the residual funnel collapses into a uniform parallel band across the entire fitted spectrum, eliminating heteroscedasticity while maintaining competitive predictive accuracy (R² = 0.9582).</w:t>
      </w:r>
    </w:p>
    <w:p>
      <w:pPr>
        <w:spacing w:after="80" w:line="276" w:lineRule="auto"/>
      </w:pPr>
      <w:r>
        <w:rPr>
          <w:rFonts w:ascii="Arial" w:hAnsi="Arial"/>
          <w:b/>
          <w:color w:val="2D3748"/>
          <w:sz w:val="21"/>
        </w:rPr>
        <w:t xml:space="preserve">3. Weighted Least Squares: </w:t>
      </w:r>
      <w:r>
        <w:rPr>
          <w:rFonts w:ascii="Arial" w:hAnsi="Arial"/>
          <w:i w:val="0"/>
          <w:color w:val="2D3748"/>
          <w:sz w:val="21"/>
        </w:rPr>
        <w:t>Weighted Least Squares yields the Best Linear Unbiased Estimator (BLUE) under heteroscedasticity by weighting each observation inversely by its estimated error variance. WLS reduces RMSE to $27.91 and MAE to $22.14, outperforming unweighted OLS.</w:t>
      </w:r>
    </w:p>
    <w:p>
      <w:pPr>
        <w:pStyle w:val="Heading1"/>
        <w:keepNext/>
        <w:spacing w:before="280" w:after="120"/>
      </w:pPr>
      <w:r>
        <w:rPr>
          <w:rFonts w:ascii="Arial" w:hAnsi="Arial"/>
          <w:b/>
          <w:color w:val="1A365D"/>
          <w:sz w:val="30"/>
        </w:rPr>
        <w:t>7. Fashion Industry Insights &amp; Strategic Recommendations</w:t>
      </w:r>
    </w:p>
    <w:p>
      <w:pPr>
        <w:spacing w:after="80" w:line="276" w:lineRule="auto"/>
      </w:pPr>
      <w:r>
        <w:rPr>
          <w:rFonts w:ascii="Arial" w:hAnsi="Arial"/>
          <w:i w:val="0"/>
          <w:color w:val="2D3748"/>
          <w:sz w:val="21"/>
        </w:rPr>
        <w:t>1. VIP Spending Dispersion: The empirical finding of heteroscedasticity underscores that high-tier fashion shoppers cannot be treated as a monolithic segment. While customers spending under $500 display predictable transaction patterns, VIP customers spending above $1,000 exhibit high expenditure variance driven by discretionary purchases in high-margin categories (Jackets, Outerwear, Trend).</w:t>
      </w:r>
    </w:p>
    <w:p>
      <w:pPr>
        <w:spacing w:after="80" w:line="276" w:lineRule="auto"/>
      </w:pPr>
      <w:r>
        <w:rPr>
          <w:rFonts w:ascii="Arial" w:hAnsi="Arial"/>
          <w:i w:val="0"/>
          <w:color w:val="2D3748"/>
          <w:sz w:val="21"/>
        </w:rPr>
        <w:t>2. Inferential Reliability in Marketing ROI: Marketing and merchandising teams relying on regression coefficients to allocate customer acquisition spend should mandate HC3 robust standard errors. Conventional standard errors underestimate parameter uncertainty for high-spend drivers, risking misallocated marketing budgets.</w:t>
      </w:r>
    </w:p>
    <w:p>
      <w:pPr>
        <w:spacing w:after="80" w:line="276" w:lineRule="auto"/>
      </w:pPr>
      <w:r>
        <w:rPr>
          <w:rFonts w:ascii="Arial" w:hAnsi="Arial"/>
          <w:i w:val="0"/>
          <w:color w:val="2D3748"/>
          <w:sz w:val="21"/>
        </w:rPr>
        <w:t>3. Production Deployment Architecture: For operational scoring pipelines, a dual-model framework is recommended: deploy WLS or HC3-corrected Linear Regression for direct dollar forecasts, and maintain a log-scale model for segmenting high-spend fashion cohorts.</w:t>
      </w:r>
    </w:p>
    <w:p>
      <w:pPr>
        <w:pStyle w:val="Heading1"/>
        <w:keepNext/>
        <w:spacing w:before="280" w:after="120"/>
      </w:pPr>
      <w:r>
        <w:rPr>
          <w:rFonts w:ascii="Arial" w:hAnsi="Arial"/>
          <w:b/>
          <w:color w:val="1A365D"/>
          <w:sz w:val="30"/>
        </w:rPr>
        <w:t>8. Conclusion</w:t>
      </w:r>
    </w:p>
    <w:p>
      <w:pPr>
        <w:spacing w:after="80" w:line="276" w:lineRule="auto"/>
      </w:pPr>
      <w:r>
        <w:rPr>
          <w:rFonts w:ascii="Arial" w:hAnsi="Arial"/>
          <w:i w:val="0"/>
          <w:color w:val="2D3748"/>
          <w:sz w:val="21"/>
        </w:rPr>
        <w:t>This project successfully fulfilled all requirements of Task 1 for the Women's Clothing analytics project. Rigorous K-Fold cross-validation established high predictive performance (R² = 0.9636, RMSE = $28.07, MAE = $22.25) across 5-fold and 10-fold partitions. Comprehensive 4-panel residual diagnostics identified an expanding error variance pattern, and formal Lagrange Multiplier tests confirmed the presence of heteroscedasticity (p &lt; 0.0001). Finally, HC3 robust standard errors, logarithmic transformation, and Weighted Least Squares were proven to successfully remediate variance distortion, ensuring both statistical validity and commercial utility.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