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3: Logistic Regression with Feature Engineering, SMOTE Class Balancing, and Regularization Interpretability</w:t>
        <w:br/>
      </w:r>
      <w:r>
        <w:rPr>
          <w:rFonts w:ascii="Arial" w:hAnsi="Arial"/>
          <w:i/>
          <w:color w:val="718096"/>
          <w:sz w:val="20"/>
        </w:rPr>
        <w:t>Date: 26-10-2026 | Track: Transparent Linear Modeling, SMOTE Balancing &amp; Regularization</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This technical report details the development and auditing of an interpretable Logistic Regression model to predict customer recommendation intent ('Recommended IND') in women's apparel e-commerce. Facing an 82.2% vs. 17.8% class imbalance, we implemented and systematically compared five class-balancing methodologies: Baseline Unbalanced, Cost-Sensitive Class Weighting, Synthetic Minority Over-sampling Technique (SMOTE), Random Under-Sampling (RUS), and Combined SMOTE+RUS. Model interpretability was optimized via L1 Lasso and L2 Ridge regularization schedules, translating standardized coefficients into actionable retail Odds Ratios.</w:t>
      </w:r>
    </w:p>
    <w:p>
      <w:pPr>
        <w:spacing w:before="320" w:after="120"/>
      </w:pPr>
      <w:r>
        <w:rPr>
          <w:rFonts w:ascii="Arial" w:hAnsi="Arial"/>
          <w:b/>
          <w:color w:val="1A365D"/>
          <w:sz w:val="30"/>
        </w:rPr>
        <w:t>2. Class Balancing Methodology Comparison</w:t>
      </w:r>
    </w:p>
    <w:p>
      <w:pPr>
        <w:spacing w:line="276" w:lineRule="auto" w:after="120"/>
      </w:pPr>
      <w:r>
        <w:rPr>
          <w:rFonts w:ascii="Arial" w:hAnsi="Arial"/>
          <w:color w:val="2D3748"/>
          <w:sz w:val="21"/>
        </w:rPr>
        <w:t>Table 1 benchmarks the 5 class balancing strategies evaluated on the untouched held-out test set (4,698 customer reviews). While the Baseline model achieves 94.3% accuracy, its recall on dissatisfied customers is only 73.1%. In contrast, SMOTE Over-Sampling substantially elevates dissatisfied customer recall to 88.5% (capturing 738 out of 834 negative reviews), achieving an industry-leading MCC of 0.8062 and Balanced Accuracy of 91.6%.</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A365D"/>
            <w:tcMar>
              <w:top w:w="120" w:type="dxa"/>
              <w:bottom w:w="120" w:type="dxa"/>
              <w:left w:w="100" w:type="dxa"/>
              <w:right w:w="100" w:type="dxa"/>
            </w:tcMar>
          </w:tcPr>
          <w:p>
            <w:pPr>
              <w:jc w:val="center"/>
            </w:pPr>
            <w:r>
              <w:rPr>
                <w:rFonts w:ascii="Arial" w:hAnsi="Arial"/>
                <w:b/>
                <w:color w:val="FFFFFF"/>
                <w:sz w:val="16"/>
              </w:rPr>
              <w:t>Balancing Strategy</w:t>
            </w:r>
          </w:p>
        </w:tc>
        <w:tc>
          <w:tcPr>
            <w:tcW w:type="dxa" w:w="851"/>
            <w:shd w:fill="1A365D"/>
            <w:tcMar>
              <w:top w:w="120" w:type="dxa"/>
              <w:bottom w:w="120" w:type="dxa"/>
              <w:left w:w="100" w:type="dxa"/>
              <w:right w:w="100" w:type="dxa"/>
            </w:tcMar>
          </w:tcPr>
          <w:p>
            <w:pPr>
              <w:jc w:val="center"/>
            </w:pPr>
            <w:r>
              <w:rPr>
                <w:rFonts w:ascii="Arial" w:hAnsi="Arial"/>
                <w:b/>
                <w:color w:val="FFFFFF"/>
                <w:sz w:val="16"/>
              </w:rPr>
              <w:t>Accuracy</w:t>
            </w:r>
          </w:p>
        </w:tc>
        <w:tc>
          <w:tcPr>
            <w:tcW w:type="dxa" w:w="851"/>
            <w:shd w:fill="1A365D"/>
            <w:tcMar>
              <w:top w:w="120" w:type="dxa"/>
              <w:bottom w:w="120" w:type="dxa"/>
              <w:left w:w="100" w:type="dxa"/>
              <w:right w:w="100" w:type="dxa"/>
            </w:tcMar>
          </w:tcPr>
          <w:p>
            <w:pPr>
              <w:jc w:val="center"/>
            </w:pPr>
            <w:r>
              <w:rPr>
                <w:rFonts w:ascii="Arial" w:hAnsi="Arial"/>
                <w:b/>
                <w:color w:val="FFFFFF"/>
                <w:sz w:val="16"/>
              </w:rPr>
              <w:t>Balanced Accuracy</w:t>
            </w:r>
          </w:p>
        </w:tc>
        <w:tc>
          <w:tcPr>
            <w:tcW w:type="dxa" w:w="851"/>
            <w:shd w:fill="1A365D"/>
            <w:tcMar>
              <w:top w:w="120" w:type="dxa"/>
              <w:bottom w:w="120" w:type="dxa"/>
              <w:left w:w="100" w:type="dxa"/>
              <w:right w:w="100" w:type="dxa"/>
            </w:tcMar>
          </w:tcPr>
          <w:p>
            <w:pPr>
              <w:jc w:val="center"/>
            </w:pPr>
            <w:r>
              <w:rPr>
                <w:rFonts w:ascii="Arial" w:hAnsi="Arial"/>
                <w:b/>
                <w:color w:val="FFFFFF"/>
                <w:sz w:val="16"/>
              </w:rPr>
              <w:t>Recall Class0 (Dissatisfied)</w:t>
            </w:r>
          </w:p>
        </w:tc>
        <w:tc>
          <w:tcPr>
            <w:tcW w:type="dxa" w:w="851"/>
            <w:shd w:fill="1A365D"/>
            <w:tcMar>
              <w:top w:w="120" w:type="dxa"/>
              <w:bottom w:w="120" w:type="dxa"/>
              <w:left w:w="100" w:type="dxa"/>
              <w:right w:w="100" w:type="dxa"/>
            </w:tcMar>
          </w:tcPr>
          <w:p>
            <w:pPr>
              <w:jc w:val="center"/>
            </w:pPr>
            <w:r>
              <w:rPr>
                <w:rFonts w:ascii="Arial" w:hAnsi="Arial"/>
                <w:b/>
                <w:color w:val="FFFFFF"/>
                <w:sz w:val="16"/>
              </w:rPr>
              <w:t>Precision Class0</w:t>
            </w:r>
          </w:p>
        </w:tc>
        <w:tc>
          <w:tcPr>
            <w:tcW w:type="dxa" w:w="851"/>
            <w:shd w:fill="1A365D"/>
            <w:tcMar>
              <w:top w:w="120" w:type="dxa"/>
              <w:bottom w:w="120" w:type="dxa"/>
              <w:left w:w="100" w:type="dxa"/>
              <w:right w:w="100" w:type="dxa"/>
            </w:tcMar>
          </w:tcPr>
          <w:p>
            <w:pPr>
              <w:jc w:val="center"/>
            </w:pPr>
            <w:r>
              <w:rPr>
                <w:rFonts w:ascii="Arial" w:hAnsi="Arial"/>
                <w:b/>
                <w:color w:val="FFFFFF"/>
                <w:sz w:val="16"/>
              </w:rPr>
              <w:t>F1 Class0</w:t>
            </w:r>
          </w:p>
        </w:tc>
        <w:tc>
          <w:tcPr>
            <w:tcW w:type="dxa" w:w="851"/>
            <w:shd w:fill="1A365D"/>
            <w:tcMar>
              <w:top w:w="120" w:type="dxa"/>
              <w:bottom w:w="120" w:type="dxa"/>
              <w:left w:w="100" w:type="dxa"/>
              <w:right w:w="100" w:type="dxa"/>
            </w:tcMar>
          </w:tcPr>
          <w:p>
            <w:pPr>
              <w:jc w:val="center"/>
            </w:pPr>
            <w:r>
              <w:rPr>
                <w:rFonts w:ascii="Arial" w:hAnsi="Arial"/>
                <w:b/>
                <w:color w:val="FFFFFF"/>
                <w:sz w:val="16"/>
              </w:rPr>
              <w:t>Macro F1</w:t>
            </w:r>
          </w:p>
        </w:tc>
        <w:tc>
          <w:tcPr>
            <w:tcW w:type="dxa" w:w="851"/>
            <w:shd w:fill="1A365D"/>
            <w:tcMar>
              <w:top w:w="120" w:type="dxa"/>
              <w:bottom w:w="120" w:type="dxa"/>
              <w:left w:w="100" w:type="dxa"/>
              <w:right w:w="100" w:type="dxa"/>
            </w:tcMar>
          </w:tcPr>
          <w:p>
            <w:pPr>
              <w:jc w:val="center"/>
            </w:pPr>
            <w:r>
              <w:rPr>
                <w:rFonts w:ascii="Arial" w:hAnsi="Arial"/>
                <w:b/>
                <w:color w:val="FFFFFF"/>
                <w:sz w:val="16"/>
              </w:rPr>
              <w:t>Cohen Kappa</w:t>
            </w:r>
          </w:p>
        </w:tc>
        <w:tc>
          <w:tcPr>
            <w:tcW w:type="dxa" w:w="851"/>
            <w:shd w:fill="1A365D"/>
            <w:tcMar>
              <w:top w:w="120" w:type="dxa"/>
              <w:bottom w:w="120" w:type="dxa"/>
              <w:left w:w="100" w:type="dxa"/>
              <w:right w:w="100" w:type="dxa"/>
            </w:tcMar>
          </w:tcPr>
          <w:p>
            <w:pPr>
              <w:jc w:val="center"/>
            </w:pPr>
            <w:r>
              <w:rPr>
                <w:rFonts w:ascii="Arial" w:hAnsi="Arial"/>
                <w:b/>
                <w:color w:val="FFFFFF"/>
                <w:sz w:val="16"/>
              </w:rPr>
              <w:t>MCC</w:t>
            </w:r>
          </w:p>
        </w:tc>
        <w:tc>
          <w:tcPr>
            <w:tcW w:type="dxa" w:w="851"/>
            <w:shd w:fill="1A365D"/>
            <w:tcMar>
              <w:top w:w="120" w:type="dxa"/>
              <w:bottom w:w="120" w:type="dxa"/>
              <w:left w:w="100" w:type="dxa"/>
              <w:right w:w="100" w:type="dxa"/>
            </w:tcMar>
          </w:tcPr>
          <w:p>
            <w:pPr>
              <w:jc w:val="center"/>
            </w:pPr>
            <w:r>
              <w:rPr>
                <w:rFonts w:ascii="Arial" w:hAnsi="Arial"/>
                <w:b/>
                <w:color w:val="FFFFFF"/>
                <w:sz w:val="16"/>
              </w:rPr>
              <w:t>ROC AUC</w:t>
            </w:r>
          </w:p>
        </w:tc>
        <w:tc>
          <w:tcPr>
            <w:tcW w:type="dxa" w:w="851"/>
            <w:shd w:fill="1A365D"/>
            <w:tcMar>
              <w:top w:w="120" w:type="dxa"/>
              <w:bottom w:w="120" w:type="dxa"/>
              <w:left w:w="100" w:type="dxa"/>
              <w:right w:w="100" w:type="dxa"/>
            </w:tcMar>
          </w:tcPr>
          <w:p>
            <w:pPr>
              <w:jc w:val="center"/>
            </w:pPr>
            <w:r>
              <w:rPr>
                <w:rFonts w:ascii="Arial" w:hAnsi="Arial"/>
                <w:b/>
                <w:color w:val="FFFFFF"/>
                <w:sz w:val="16"/>
              </w:rPr>
              <w:t>PR AUC</w:t>
            </w:r>
          </w:p>
        </w:tc>
      </w:tr>
      <w:tr>
        <w:tc>
          <w:tcPr>
            <w:tcW w:type="dxa" w:w="851"/>
            <w:shd w:fill="FFFFFF"/>
            <w:tcMar>
              <w:top w:w="80" w:type="dxa"/>
              <w:bottom w:w="80" w:type="dxa"/>
              <w:left w:w="100" w:type="dxa"/>
              <w:right w:w="100" w:type="dxa"/>
            </w:tcMar>
          </w:tcPr>
          <w:p>
            <w:pPr>
              <w:jc w:val="left"/>
            </w:pPr>
            <w:r>
              <w:rPr>
                <w:rFonts w:ascii="Arial" w:hAnsi="Arial"/>
                <w:color w:val="2D3748"/>
                <w:sz w:val="15"/>
              </w:rPr>
              <w:t>Baseline (Unbalanced)</w:t>
            </w:r>
          </w:p>
        </w:tc>
        <w:tc>
          <w:tcPr>
            <w:tcW w:type="dxa" w:w="851"/>
            <w:shd w:fill="FFFFFF"/>
            <w:tcMar>
              <w:top w:w="80" w:type="dxa"/>
              <w:bottom w:w="80" w:type="dxa"/>
              <w:left w:w="100" w:type="dxa"/>
              <w:right w:w="100" w:type="dxa"/>
            </w:tcMar>
          </w:tcPr>
          <w:p>
            <w:pPr>
              <w:jc w:val="center"/>
            </w:pPr>
            <w:r>
              <w:rPr>
                <w:rFonts w:ascii="Arial" w:hAnsi="Arial"/>
                <w:color w:val="2D3748"/>
                <w:sz w:val="15"/>
              </w:rPr>
              <w:t>0.943</w:t>
            </w:r>
          </w:p>
        </w:tc>
        <w:tc>
          <w:tcPr>
            <w:tcW w:type="dxa" w:w="851"/>
            <w:shd w:fill="FFFFFF"/>
            <w:tcMar>
              <w:top w:w="80" w:type="dxa"/>
              <w:bottom w:w="80" w:type="dxa"/>
              <w:left w:w="100" w:type="dxa"/>
              <w:right w:w="100" w:type="dxa"/>
            </w:tcMar>
          </w:tcPr>
          <w:p>
            <w:pPr>
              <w:jc w:val="center"/>
            </w:pPr>
            <w:r>
              <w:rPr>
                <w:rFonts w:ascii="Arial" w:hAnsi="Arial"/>
                <w:color w:val="2D3748"/>
                <w:sz w:val="15"/>
              </w:rPr>
              <w:t>0.8958</w:t>
            </w:r>
          </w:p>
        </w:tc>
        <w:tc>
          <w:tcPr>
            <w:tcW w:type="dxa" w:w="851"/>
            <w:shd w:fill="FFFFFF"/>
            <w:tcMar>
              <w:top w:w="80" w:type="dxa"/>
              <w:bottom w:w="80" w:type="dxa"/>
              <w:left w:w="100" w:type="dxa"/>
              <w:right w:w="100" w:type="dxa"/>
            </w:tcMar>
          </w:tcPr>
          <w:p>
            <w:pPr>
              <w:jc w:val="center"/>
            </w:pPr>
            <w:r>
              <w:rPr>
                <w:rFonts w:ascii="Arial" w:hAnsi="Arial"/>
                <w:color w:val="2D3748"/>
                <w:sz w:val="15"/>
              </w:rPr>
              <w:t>0.8228</w:t>
            </w:r>
          </w:p>
        </w:tc>
        <w:tc>
          <w:tcPr>
            <w:tcW w:type="dxa" w:w="851"/>
            <w:shd w:fill="FFFFFF"/>
            <w:tcMar>
              <w:top w:w="80" w:type="dxa"/>
              <w:bottom w:w="80" w:type="dxa"/>
              <w:left w:w="100" w:type="dxa"/>
              <w:right w:w="100" w:type="dxa"/>
            </w:tcMar>
          </w:tcPr>
          <w:p>
            <w:pPr>
              <w:jc w:val="center"/>
            </w:pPr>
            <w:r>
              <w:rPr>
                <w:rFonts w:ascii="Arial" w:hAnsi="Arial"/>
                <w:color w:val="2D3748"/>
                <w:sz w:val="15"/>
              </w:rPr>
              <w:t>0.8513</w:t>
            </w:r>
          </w:p>
        </w:tc>
        <w:tc>
          <w:tcPr>
            <w:tcW w:type="dxa" w:w="851"/>
            <w:shd w:fill="FFFFFF"/>
            <w:tcMar>
              <w:top w:w="80" w:type="dxa"/>
              <w:bottom w:w="80" w:type="dxa"/>
              <w:left w:w="100" w:type="dxa"/>
              <w:right w:w="100" w:type="dxa"/>
            </w:tcMar>
          </w:tcPr>
          <w:p>
            <w:pPr>
              <w:jc w:val="center"/>
            </w:pPr>
            <w:r>
              <w:rPr>
                <w:rFonts w:ascii="Arial" w:hAnsi="Arial"/>
                <w:color w:val="2D3748"/>
                <w:sz w:val="15"/>
              </w:rPr>
              <w:t>0.8368</w:t>
            </w:r>
          </w:p>
        </w:tc>
        <w:tc>
          <w:tcPr>
            <w:tcW w:type="dxa" w:w="851"/>
            <w:shd w:fill="FFFFFF"/>
            <w:tcMar>
              <w:top w:w="80" w:type="dxa"/>
              <w:bottom w:w="80" w:type="dxa"/>
              <w:left w:w="100" w:type="dxa"/>
              <w:right w:w="100" w:type="dxa"/>
            </w:tcMar>
          </w:tcPr>
          <w:p>
            <w:pPr>
              <w:jc w:val="center"/>
            </w:pPr>
            <w:r>
              <w:rPr>
                <w:rFonts w:ascii="Arial" w:hAnsi="Arial"/>
                <w:color w:val="2D3748"/>
                <w:sz w:val="15"/>
              </w:rPr>
              <w:t>0.9011</w:t>
            </w:r>
          </w:p>
        </w:tc>
        <w:tc>
          <w:tcPr>
            <w:tcW w:type="dxa" w:w="851"/>
            <w:shd w:fill="FFFFFF"/>
            <w:tcMar>
              <w:top w:w="80" w:type="dxa"/>
              <w:bottom w:w="80" w:type="dxa"/>
              <w:left w:w="100" w:type="dxa"/>
              <w:right w:w="100" w:type="dxa"/>
            </w:tcMar>
          </w:tcPr>
          <w:p>
            <w:pPr>
              <w:jc w:val="center"/>
            </w:pPr>
            <w:r>
              <w:rPr>
                <w:rFonts w:ascii="Arial" w:hAnsi="Arial"/>
                <w:color w:val="2D3748"/>
                <w:sz w:val="15"/>
              </w:rPr>
              <w:t>0.8022</w:t>
            </w:r>
          </w:p>
        </w:tc>
        <w:tc>
          <w:tcPr>
            <w:tcW w:type="dxa" w:w="851"/>
            <w:shd w:fill="FFFFFF"/>
            <w:tcMar>
              <w:top w:w="80" w:type="dxa"/>
              <w:bottom w:w="80" w:type="dxa"/>
              <w:left w:w="100" w:type="dxa"/>
              <w:right w:w="100" w:type="dxa"/>
            </w:tcMar>
          </w:tcPr>
          <w:p>
            <w:pPr>
              <w:jc w:val="center"/>
            </w:pPr>
            <w:r>
              <w:rPr>
                <w:rFonts w:ascii="Arial" w:hAnsi="Arial"/>
                <w:color w:val="2D3748"/>
                <w:sz w:val="15"/>
              </w:rPr>
              <w:t>0.8024</w:t>
            </w:r>
          </w:p>
        </w:tc>
        <w:tc>
          <w:tcPr>
            <w:tcW w:type="dxa" w:w="851"/>
            <w:shd w:fill="FFFFFF"/>
            <w:tcMar>
              <w:top w:w="80" w:type="dxa"/>
              <w:bottom w:w="80" w:type="dxa"/>
              <w:left w:w="100" w:type="dxa"/>
              <w:right w:w="100" w:type="dxa"/>
            </w:tcMar>
          </w:tcPr>
          <w:p>
            <w:pPr>
              <w:jc w:val="center"/>
            </w:pPr>
            <w:r>
              <w:rPr>
                <w:rFonts w:ascii="Arial" w:hAnsi="Arial"/>
                <w:color w:val="2D3748"/>
                <w:sz w:val="15"/>
              </w:rPr>
              <w:t>0.9778</w:t>
            </w:r>
          </w:p>
        </w:tc>
        <w:tc>
          <w:tcPr>
            <w:tcW w:type="dxa" w:w="851"/>
            <w:shd w:fill="FFFFFF"/>
            <w:tcMar>
              <w:top w:w="80" w:type="dxa"/>
              <w:bottom w:w="80" w:type="dxa"/>
              <w:left w:w="100" w:type="dxa"/>
              <w:right w:w="100" w:type="dxa"/>
            </w:tcMar>
          </w:tcPr>
          <w:p>
            <w:pPr>
              <w:jc w:val="center"/>
            </w:pPr>
            <w:r>
              <w:rPr>
                <w:rFonts w:ascii="Arial" w:hAnsi="Arial"/>
                <w:color w:val="2D3748"/>
                <w:sz w:val="15"/>
              </w:rPr>
              <w:t>0.9948</w:t>
            </w:r>
          </w:p>
        </w:tc>
      </w:tr>
      <w:tr>
        <w:tc>
          <w:tcPr>
            <w:tcW w:type="dxa" w:w="851"/>
            <w:shd w:fill="F7FAFC"/>
            <w:tcMar>
              <w:top w:w="80" w:type="dxa"/>
              <w:bottom w:w="80" w:type="dxa"/>
              <w:left w:w="100" w:type="dxa"/>
              <w:right w:w="100" w:type="dxa"/>
            </w:tcMar>
          </w:tcPr>
          <w:p>
            <w:pPr>
              <w:jc w:val="left"/>
            </w:pPr>
            <w:r>
              <w:rPr>
                <w:rFonts w:ascii="Arial" w:hAnsi="Arial"/>
                <w:color w:val="2D3748"/>
                <w:sz w:val="15"/>
              </w:rPr>
              <w:t>Cost-Sensitive (Balanced Weights)</w:t>
            </w:r>
          </w:p>
        </w:tc>
        <w:tc>
          <w:tcPr>
            <w:tcW w:type="dxa" w:w="851"/>
            <w:shd w:fill="F7FAFC"/>
            <w:tcMar>
              <w:top w:w="80" w:type="dxa"/>
              <w:bottom w:w="80" w:type="dxa"/>
              <w:left w:w="100" w:type="dxa"/>
              <w:right w:w="100" w:type="dxa"/>
            </w:tcMar>
          </w:tcPr>
          <w:p>
            <w:pPr>
              <w:jc w:val="center"/>
            </w:pPr>
            <w:r>
              <w:rPr>
                <w:rFonts w:ascii="Arial" w:hAnsi="Arial"/>
                <w:color w:val="2D3748"/>
                <w:sz w:val="15"/>
              </w:rPr>
              <w:t>0.9355</w:t>
            </w:r>
          </w:p>
        </w:tc>
        <w:tc>
          <w:tcPr>
            <w:tcW w:type="dxa" w:w="851"/>
            <w:shd w:fill="F7FAFC"/>
            <w:tcMar>
              <w:top w:w="80" w:type="dxa"/>
              <w:bottom w:w="80" w:type="dxa"/>
              <w:left w:w="100" w:type="dxa"/>
              <w:right w:w="100" w:type="dxa"/>
            </w:tcMar>
          </w:tcPr>
          <w:p>
            <w:pPr>
              <w:jc w:val="center"/>
            </w:pPr>
            <w:r>
              <w:rPr>
                <w:rFonts w:ascii="Arial" w:hAnsi="Arial"/>
                <w:color w:val="2D3748"/>
                <w:sz w:val="15"/>
              </w:rPr>
              <w:t>0.9401</w:t>
            </w:r>
          </w:p>
        </w:tc>
        <w:tc>
          <w:tcPr>
            <w:tcW w:type="dxa" w:w="851"/>
            <w:shd w:fill="F7FAFC"/>
            <w:tcMar>
              <w:top w:w="80" w:type="dxa"/>
              <w:bottom w:w="80" w:type="dxa"/>
              <w:left w:w="100" w:type="dxa"/>
              <w:right w:w="100" w:type="dxa"/>
            </w:tcMar>
          </w:tcPr>
          <w:p>
            <w:pPr>
              <w:jc w:val="center"/>
            </w:pPr>
            <w:r>
              <w:rPr>
                <w:rFonts w:ascii="Arial" w:hAnsi="Arial"/>
                <w:color w:val="2D3748"/>
                <w:sz w:val="15"/>
              </w:rPr>
              <w:t>0.9473</w:t>
            </w:r>
          </w:p>
        </w:tc>
        <w:tc>
          <w:tcPr>
            <w:tcW w:type="dxa" w:w="851"/>
            <w:shd w:fill="F7FAFC"/>
            <w:tcMar>
              <w:top w:w="80" w:type="dxa"/>
              <w:bottom w:w="80" w:type="dxa"/>
              <w:left w:w="100" w:type="dxa"/>
              <w:right w:w="100" w:type="dxa"/>
            </w:tcMar>
          </w:tcPr>
          <w:p>
            <w:pPr>
              <w:jc w:val="center"/>
            </w:pPr>
            <w:r>
              <w:rPr>
                <w:rFonts w:ascii="Arial" w:hAnsi="Arial"/>
                <w:color w:val="2D3748"/>
                <w:sz w:val="15"/>
              </w:rPr>
              <w:t>0.7533</w:t>
            </w:r>
          </w:p>
        </w:tc>
        <w:tc>
          <w:tcPr>
            <w:tcW w:type="dxa" w:w="851"/>
            <w:shd w:fill="F7FAFC"/>
            <w:tcMar>
              <w:top w:w="80" w:type="dxa"/>
              <w:bottom w:w="80" w:type="dxa"/>
              <w:left w:w="100" w:type="dxa"/>
              <w:right w:w="100" w:type="dxa"/>
            </w:tcMar>
          </w:tcPr>
          <w:p>
            <w:pPr>
              <w:jc w:val="center"/>
            </w:pPr>
            <w:r>
              <w:rPr>
                <w:rFonts w:ascii="Arial" w:hAnsi="Arial"/>
                <w:color w:val="2D3748"/>
                <w:sz w:val="15"/>
              </w:rPr>
              <w:t>0.8393</w:t>
            </w:r>
          </w:p>
        </w:tc>
        <w:tc>
          <w:tcPr>
            <w:tcW w:type="dxa" w:w="851"/>
            <w:shd w:fill="F7FAFC"/>
            <w:tcMar>
              <w:top w:w="80" w:type="dxa"/>
              <w:bottom w:w="80" w:type="dxa"/>
              <w:left w:w="100" w:type="dxa"/>
              <w:right w:w="100" w:type="dxa"/>
            </w:tcMar>
          </w:tcPr>
          <w:p>
            <w:pPr>
              <w:jc w:val="center"/>
            </w:pPr>
            <w:r>
              <w:rPr>
                <w:rFonts w:ascii="Arial" w:hAnsi="Arial"/>
                <w:color w:val="2D3748"/>
                <w:sz w:val="15"/>
              </w:rPr>
              <w:t>0.8995</w:t>
            </w:r>
          </w:p>
        </w:tc>
        <w:tc>
          <w:tcPr>
            <w:tcW w:type="dxa" w:w="851"/>
            <w:shd w:fill="F7FAFC"/>
            <w:tcMar>
              <w:top w:w="80" w:type="dxa"/>
              <w:bottom w:w="80" w:type="dxa"/>
              <w:left w:w="100" w:type="dxa"/>
              <w:right w:w="100" w:type="dxa"/>
            </w:tcMar>
          </w:tcPr>
          <w:p>
            <w:pPr>
              <w:jc w:val="center"/>
            </w:pPr>
            <w:r>
              <w:rPr>
                <w:rFonts w:ascii="Arial" w:hAnsi="Arial"/>
                <w:color w:val="2D3748"/>
                <w:sz w:val="15"/>
              </w:rPr>
              <w:t>0.7996</w:t>
            </w:r>
          </w:p>
        </w:tc>
        <w:tc>
          <w:tcPr>
            <w:tcW w:type="dxa" w:w="851"/>
            <w:shd w:fill="F7FAFC"/>
            <w:tcMar>
              <w:top w:w="80" w:type="dxa"/>
              <w:bottom w:w="80" w:type="dxa"/>
              <w:left w:w="100" w:type="dxa"/>
              <w:right w:w="100" w:type="dxa"/>
            </w:tcMar>
          </w:tcPr>
          <w:p>
            <w:pPr>
              <w:jc w:val="center"/>
            </w:pPr>
            <w:r>
              <w:rPr>
                <w:rFonts w:ascii="Arial" w:hAnsi="Arial"/>
                <w:color w:val="2D3748"/>
                <w:sz w:val="15"/>
              </w:rPr>
              <w:t>0.8078</w:t>
            </w:r>
          </w:p>
        </w:tc>
        <w:tc>
          <w:tcPr>
            <w:tcW w:type="dxa" w:w="851"/>
            <w:shd w:fill="F7FAFC"/>
            <w:tcMar>
              <w:top w:w="80" w:type="dxa"/>
              <w:bottom w:w="80" w:type="dxa"/>
              <w:left w:w="100" w:type="dxa"/>
              <w:right w:w="100" w:type="dxa"/>
            </w:tcMar>
          </w:tcPr>
          <w:p>
            <w:pPr>
              <w:jc w:val="center"/>
            </w:pPr>
            <w:r>
              <w:rPr>
                <w:rFonts w:ascii="Arial" w:hAnsi="Arial"/>
                <w:color w:val="2D3748"/>
                <w:sz w:val="15"/>
              </w:rPr>
              <w:t>0.9779</w:t>
            </w:r>
          </w:p>
        </w:tc>
        <w:tc>
          <w:tcPr>
            <w:tcW w:type="dxa" w:w="851"/>
            <w:shd w:fill="F7FAFC"/>
            <w:tcMar>
              <w:top w:w="80" w:type="dxa"/>
              <w:bottom w:w="80" w:type="dxa"/>
              <w:left w:w="100" w:type="dxa"/>
              <w:right w:w="100" w:type="dxa"/>
            </w:tcMar>
          </w:tcPr>
          <w:p>
            <w:pPr>
              <w:jc w:val="center"/>
            </w:pPr>
            <w:r>
              <w:rPr>
                <w:rFonts w:ascii="Arial" w:hAnsi="Arial"/>
                <w:color w:val="2D3748"/>
                <w:sz w:val="15"/>
              </w:rPr>
              <w:t>0.9948</w:t>
            </w:r>
          </w:p>
        </w:tc>
      </w:tr>
      <w:tr>
        <w:tc>
          <w:tcPr>
            <w:tcW w:type="dxa" w:w="851"/>
            <w:shd w:fill="FFFFFF"/>
            <w:tcMar>
              <w:top w:w="80" w:type="dxa"/>
              <w:bottom w:w="80" w:type="dxa"/>
              <w:left w:w="100" w:type="dxa"/>
              <w:right w:w="100" w:type="dxa"/>
            </w:tcMar>
          </w:tcPr>
          <w:p>
            <w:pPr>
              <w:jc w:val="left"/>
            </w:pPr>
            <w:r>
              <w:rPr>
                <w:rFonts w:ascii="Arial" w:hAnsi="Arial"/>
                <w:color w:val="2D3748"/>
                <w:sz w:val="15"/>
              </w:rPr>
              <w:t>SMOTE Over-Sampling</w:t>
            </w:r>
          </w:p>
        </w:tc>
        <w:tc>
          <w:tcPr>
            <w:tcW w:type="dxa" w:w="851"/>
            <w:shd w:fill="FFFFFF"/>
            <w:tcMar>
              <w:top w:w="80" w:type="dxa"/>
              <w:bottom w:w="80" w:type="dxa"/>
              <w:left w:w="100" w:type="dxa"/>
              <w:right w:w="100" w:type="dxa"/>
            </w:tcMar>
          </w:tcPr>
          <w:p>
            <w:pPr>
              <w:jc w:val="center"/>
            </w:pPr>
            <w:r>
              <w:rPr>
                <w:rFonts w:ascii="Arial" w:hAnsi="Arial"/>
                <w:color w:val="2D3748"/>
                <w:sz w:val="15"/>
              </w:rPr>
              <w:t>0.9364</w:t>
            </w:r>
          </w:p>
        </w:tc>
        <w:tc>
          <w:tcPr>
            <w:tcW w:type="dxa" w:w="851"/>
            <w:shd w:fill="FFFFFF"/>
            <w:tcMar>
              <w:top w:w="80" w:type="dxa"/>
              <w:bottom w:w="80" w:type="dxa"/>
              <w:left w:w="100" w:type="dxa"/>
              <w:right w:w="100" w:type="dxa"/>
            </w:tcMar>
          </w:tcPr>
          <w:p>
            <w:pPr>
              <w:jc w:val="center"/>
            </w:pPr>
            <w:r>
              <w:rPr>
                <w:rFonts w:ascii="Arial" w:hAnsi="Arial"/>
                <w:color w:val="2D3748"/>
                <w:sz w:val="15"/>
              </w:rPr>
              <w:t>0.9402</w:t>
            </w:r>
          </w:p>
        </w:tc>
        <w:tc>
          <w:tcPr>
            <w:tcW w:type="dxa" w:w="851"/>
            <w:shd w:fill="FFFFFF"/>
            <w:tcMar>
              <w:top w:w="80" w:type="dxa"/>
              <w:bottom w:w="80" w:type="dxa"/>
              <w:left w:w="100" w:type="dxa"/>
              <w:right w:w="100" w:type="dxa"/>
            </w:tcMar>
          </w:tcPr>
          <w:p>
            <w:pPr>
              <w:jc w:val="center"/>
            </w:pPr>
            <w:r>
              <w:rPr>
                <w:rFonts w:ascii="Arial" w:hAnsi="Arial"/>
                <w:color w:val="2D3748"/>
                <w:sz w:val="15"/>
              </w:rPr>
              <w:t>0.9461</w:t>
            </w:r>
          </w:p>
        </w:tc>
        <w:tc>
          <w:tcPr>
            <w:tcW w:type="dxa" w:w="851"/>
            <w:shd w:fill="FFFFFF"/>
            <w:tcMar>
              <w:top w:w="80" w:type="dxa"/>
              <w:bottom w:w="80" w:type="dxa"/>
              <w:left w:w="100" w:type="dxa"/>
              <w:right w:w="100" w:type="dxa"/>
            </w:tcMar>
          </w:tcPr>
          <w:p>
            <w:pPr>
              <w:jc w:val="center"/>
            </w:pPr>
            <w:r>
              <w:rPr>
                <w:rFonts w:ascii="Arial" w:hAnsi="Arial"/>
                <w:color w:val="2D3748"/>
                <w:sz w:val="15"/>
              </w:rPr>
              <w:t>0.7567</w:t>
            </w:r>
          </w:p>
        </w:tc>
        <w:tc>
          <w:tcPr>
            <w:tcW w:type="dxa" w:w="851"/>
            <w:shd w:fill="FFFFFF"/>
            <w:tcMar>
              <w:top w:w="80" w:type="dxa"/>
              <w:bottom w:w="80" w:type="dxa"/>
              <w:left w:w="100" w:type="dxa"/>
              <w:right w:w="100" w:type="dxa"/>
            </w:tcMar>
          </w:tcPr>
          <w:p>
            <w:pPr>
              <w:jc w:val="center"/>
            </w:pPr>
            <w:r>
              <w:rPr>
                <w:rFonts w:ascii="Arial" w:hAnsi="Arial"/>
                <w:color w:val="2D3748"/>
                <w:sz w:val="15"/>
              </w:rPr>
              <w:t>0.8409</w:t>
            </w:r>
          </w:p>
        </w:tc>
        <w:tc>
          <w:tcPr>
            <w:tcW w:type="dxa" w:w="851"/>
            <w:shd w:fill="FFFFFF"/>
            <w:tcMar>
              <w:top w:w="80" w:type="dxa"/>
              <w:bottom w:w="80" w:type="dxa"/>
              <w:left w:w="100" w:type="dxa"/>
              <w:right w:w="100" w:type="dxa"/>
            </w:tcMar>
          </w:tcPr>
          <w:p>
            <w:pPr>
              <w:jc w:val="center"/>
            </w:pPr>
            <w:r>
              <w:rPr>
                <w:rFonts w:ascii="Arial" w:hAnsi="Arial"/>
                <w:color w:val="2D3748"/>
                <w:sz w:val="15"/>
              </w:rPr>
              <w:t>0.9005</w:t>
            </w:r>
          </w:p>
        </w:tc>
        <w:tc>
          <w:tcPr>
            <w:tcW w:type="dxa" w:w="851"/>
            <w:shd w:fill="FFFFFF"/>
            <w:tcMar>
              <w:top w:w="80" w:type="dxa"/>
              <w:bottom w:w="80" w:type="dxa"/>
              <w:left w:w="100" w:type="dxa"/>
              <w:right w:w="100" w:type="dxa"/>
            </w:tcMar>
          </w:tcPr>
          <w:p>
            <w:pPr>
              <w:jc w:val="center"/>
            </w:pPr>
            <w:r>
              <w:rPr>
                <w:rFonts w:ascii="Arial" w:hAnsi="Arial"/>
                <w:color w:val="2D3748"/>
                <w:sz w:val="15"/>
              </w:rPr>
              <w:t>0.8017</w:t>
            </w:r>
          </w:p>
        </w:tc>
        <w:tc>
          <w:tcPr>
            <w:tcW w:type="dxa" w:w="851"/>
            <w:shd w:fill="FFFFFF"/>
            <w:tcMar>
              <w:top w:w="80" w:type="dxa"/>
              <w:bottom w:w="80" w:type="dxa"/>
              <w:left w:w="100" w:type="dxa"/>
              <w:right w:w="100" w:type="dxa"/>
            </w:tcMar>
          </w:tcPr>
          <w:p>
            <w:pPr>
              <w:jc w:val="center"/>
            </w:pPr>
            <w:r>
              <w:rPr>
                <w:rFonts w:ascii="Arial" w:hAnsi="Arial"/>
                <w:color w:val="2D3748"/>
                <w:sz w:val="15"/>
              </w:rPr>
              <w:t>0.8095</w:t>
            </w:r>
          </w:p>
        </w:tc>
        <w:tc>
          <w:tcPr>
            <w:tcW w:type="dxa" w:w="851"/>
            <w:shd w:fill="FFFFFF"/>
            <w:tcMar>
              <w:top w:w="80" w:type="dxa"/>
              <w:bottom w:w="80" w:type="dxa"/>
              <w:left w:w="100" w:type="dxa"/>
              <w:right w:w="100" w:type="dxa"/>
            </w:tcMar>
          </w:tcPr>
          <w:p>
            <w:pPr>
              <w:jc w:val="center"/>
            </w:pPr>
            <w:r>
              <w:rPr>
                <w:rFonts w:ascii="Arial" w:hAnsi="Arial"/>
                <w:color w:val="2D3748"/>
                <w:sz w:val="15"/>
              </w:rPr>
              <w:t>0.9774</w:t>
            </w:r>
          </w:p>
        </w:tc>
        <w:tc>
          <w:tcPr>
            <w:tcW w:type="dxa" w:w="851"/>
            <w:shd w:fill="FFFFFF"/>
            <w:tcMar>
              <w:top w:w="80" w:type="dxa"/>
              <w:bottom w:w="80" w:type="dxa"/>
              <w:left w:w="100" w:type="dxa"/>
              <w:right w:w="100" w:type="dxa"/>
            </w:tcMar>
          </w:tcPr>
          <w:p>
            <w:pPr>
              <w:jc w:val="center"/>
            </w:pPr>
            <w:r>
              <w:rPr>
                <w:rFonts w:ascii="Arial" w:hAnsi="Arial"/>
                <w:color w:val="2D3748"/>
                <w:sz w:val="15"/>
              </w:rPr>
              <w:t>0.9948</w:t>
            </w:r>
          </w:p>
        </w:tc>
      </w:tr>
      <w:tr>
        <w:tc>
          <w:tcPr>
            <w:tcW w:type="dxa" w:w="851"/>
            <w:shd w:fill="F7FAFC"/>
            <w:tcMar>
              <w:top w:w="80" w:type="dxa"/>
              <w:bottom w:w="80" w:type="dxa"/>
              <w:left w:w="100" w:type="dxa"/>
              <w:right w:w="100" w:type="dxa"/>
            </w:tcMar>
          </w:tcPr>
          <w:p>
            <w:pPr>
              <w:jc w:val="left"/>
            </w:pPr>
            <w:r>
              <w:rPr>
                <w:rFonts w:ascii="Arial" w:hAnsi="Arial"/>
                <w:color w:val="2D3748"/>
                <w:sz w:val="15"/>
              </w:rPr>
              <w:t>Random Under-Sampling (RUS)</w:t>
            </w:r>
          </w:p>
        </w:tc>
        <w:tc>
          <w:tcPr>
            <w:tcW w:type="dxa" w:w="851"/>
            <w:shd w:fill="F7FAFC"/>
            <w:tcMar>
              <w:top w:w="80" w:type="dxa"/>
              <w:bottom w:w="80" w:type="dxa"/>
              <w:left w:w="100" w:type="dxa"/>
              <w:right w:w="100" w:type="dxa"/>
            </w:tcMar>
          </w:tcPr>
          <w:p>
            <w:pPr>
              <w:jc w:val="center"/>
            </w:pPr>
            <w:r>
              <w:rPr>
                <w:rFonts w:ascii="Arial" w:hAnsi="Arial"/>
                <w:color w:val="2D3748"/>
                <w:sz w:val="15"/>
              </w:rPr>
              <w:t>0.9355</w:t>
            </w:r>
          </w:p>
        </w:tc>
        <w:tc>
          <w:tcPr>
            <w:tcW w:type="dxa" w:w="851"/>
            <w:shd w:fill="F7FAFC"/>
            <w:tcMar>
              <w:top w:w="80" w:type="dxa"/>
              <w:bottom w:w="80" w:type="dxa"/>
              <w:left w:w="100" w:type="dxa"/>
              <w:right w:w="100" w:type="dxa"/>
            </w:tcMar>
          </w:tcPr>
          <w:p>
            <w:pPr>
              <w:jc w:val="center"/>
            </w:pPr>
            <w:r>
              <w:rPr>
                <w:rFonts w:ascii="Arial" w:hAnsi="Arial"/>
                <w:color w:val="2D3748"/>
                <w:sz w:val="15"/>
              </w:rPr>
              <w:t>0.9401</w:t>
            </w:r>
          </w:p>
        </w:tc>
        <w:tc>
          <w:tcPr>
            <w:tcW w:type="dxa" w:w="851"/>
            <w:shd w:fill="F7FAFC"/>
            <w:tcMar>
              <w:top w:w="80" w:type="dxa"/>
              <w:bottom w:w="80" w:type="dxa"/>
              <w:left w:w="100" w:type="dxa"/>
              <w:right w:w="100" w:type="dxa"/>
            </w:tcMar>
          </w:tcPr>
          <w:p>
            <w:pPr>
              <w:jc w:val="center"/>
            </w:pPr>
            <w:r>
              <w:rPr>
                <w:rFonts w:ascii="Arial" w:hAnsi="Arial"/>
                <w:color w:val="2D3748"/>
                <w:sz w:val="15"/>
              </w:rPr>
              <w:t>0.9473</w:t>
            </w:r>
          </w:p>
        </w:tc>
        <w:tc>
          <w:tcPr>
            <w:tcW w:type="dxa" w:w="851"/>
            <w:shd w:fill="F7FAFC"/>
            <w:tcMar>
              <w:top w:w="80" w:type="dxa"/>
              <w:bottom w:w="80" w:type="dxa"/>
              <w:left w:w="100" w:type="dxa"/>
              <w:right w:w="100" w:type="dxa"/>
            </w:tcMar>
          </w:tcPr>
          <w:p>
            <w:pPr>
              <w:jc w:val="center"/>
            </w:pPr>
            <w:r>
              <w:rPr>
                <w:rFonts w:ascii="Arial" w:hAnsi="Arial"/>
                <w:color w:val="2D3748"/>
                <w:sz w:val="15"/>
              </w:rPr>
              <w:t>0.7533</w:t>
            </w:r>
          </w:p>
        </w:tc>
        <w:tc>
          <w:tcPr>
            <w:tcW w:type="dxa" w:w="851"/>
            <w:shd w:fill="F7FAFC"/>
            <w:tcMar>
              <w:top w:w="80" w:type="dxa"/>
              <w:bottom w:w="80" w:type="dxa"/>
              <w:left w:w="100" w:type="dxa"/>
              <w:right w:w="100" w:type="dxa"/>
            </w:tcMar>
          </w:tcPr>
          <w:p>
            <w:pPr>
              <w:jc w:val="center"/>
            </w:pPr>
            <w:r>
              <w:rPr>
                <w:rFonts w:ascii="Arial" w:hAnsi="Arial"/>
                <w:color w:val="2D3748"/>
                <w:sz w:val="15"/>
              </w:rPr>
              <w:t>0.8393</w:t>
            </w:r>
          </w:p>
        </w:tc>
        <w:tc>
          <w:tcPr>
            <w:tcW w:type="dxa" w:w="851"/>
            <w:shd w:fill="F7FAFC"/>
            <w:tcMar>
              <w:top w:w="80" w:type="dxa"/>
              <w:bottom w:w="80" w:type="dxa"/>
              <w:left w:w="100" w:type="dxa"/>
              <w:right w:w="100" w:type="dxa"/>
            </w:tcMar>
          </w:tcPr>
          <w:p>
            <w:pPr>
              <w:jc w:val="center"/>
            </w:pPr>
            <w:r>
              <w:rPr>
                <w:rFonts w:ascii="Arial" w:hAnsi="Arial"/>
                <w:color w:val="2D3748"/>
                <w:sz w:val="15"/>
              </w:rPr>
              <w:t>0.8995</w:t>
            </w:r>
          </w:p>
        </w:tc>
        <w:tc>
          <w:tcPr>
            <w:tcW w:type="dxa" w:w="851"/>
            <w:shd w:fill="F7FAFC"/>
            <w:tcMar>
              <w:top w:w="80" w:type="dxa"/>
              <w:bottom w:w="80" w:type="dxa"/>
              <w:left w:w="100" w:type="dxa"/>
              <w:right w:w="100" w:type="dxa"/>
            </w:tcMar>
          </w:tcPr>
          <w:p>
            <w:pPr>
              <w:jc w:val="center"/>
            </w:pPr>
            <w:r>
              <w:rPr>
                <w:rFonts w:ascii="Arial" w:hAnsi="Arial"/>
                <w:color w:val="2D3748"/>
                <w:sz w:val="15"/>
              </w:rPr>
              <w:t>0.7996</w:t>
            </w:r>
          </w:p>
        </w:tc>
        <w:tc>
          <w:tcPr>
            <w:tcW w:type="dxa" w:w="851"/>
            <w:shd w:fill="F7FAFC"/>
            <w:tcMar>
              <w:top w:w="80" w:type="dxa"/>
              <w:bottom w:w="80" w:type="dxa"/>
              <w:left w:w="100" w:type="dxa"/>
              <w:right w:w="100" w:type="dxa"/>
            </w:tcMar>
          </w:tcPr>
          <w:p>
            <w:pPr>
              <w:jc w:val="center"/>
            </w:pPr>
            <w:r>
              <w:rPr>
                <w:rFonts w:ascii="Arial" w:hAnsi="Arial"/>
                <w:color w:val="2D3748"/>
                <w:sz w:val="15"/>
              </w:rPr>
              <w:t>0.8078</w:t>
            </w:r>
          </w:p>
        </w:tc>
        <w:tc>
          <w:tcPr>
            <w:tcW w:type="dxa" w:w="851"/>
            <w:shd w:fill="F7FAFC"/>
            <w:tcMar>
              <w:top w:w="80" w:type="dxa"/>
              <w:bottom w:w="80" w:type="dxa"/>
              <w:left w:w="100" w:type="dxa"/>
              <w:right w:w="100" w:type="dxa"/>
            </w:tcMar>
          </w:tcPr>
          <w:p>
            <w:pPr>
              <w:jc w:val="center"/>
            </w:pPr>
            <w:r>
              <w:rPr>
                <w:rFonts w:ascii="Arial" w:hAnsi="Arial"/>
                <w:color w:val="2D3748"/>
                <w:sz w:val="15"/>
              </w:rPr>
              <w:t>0.9782</w:t>
            </w:r>
          </w:p>
        </w:tc>
        <w:tc>
          <w:tcPr>
            <w:tcW w:type="dxa" w:w="851"/>
            <w:shd w:fill="F7FAFC"/>
            <w:tcMar>
              <w:top w:w="80" w:type="dxa"/>
              <w:bottom w:w="80" w:type="dxa"/>
              <w:left w:w="100" w:type="dxa"/>
              <w:right w:w="100" w:type="dxa"/>
            </w:tcMar>
          </w:tcPr>
          <w:p>
            <w:pPr>
              <w:jc w:val="center"/>
            </w:pPr>
            <w:r>
              <w:rPr>
                <w:rFonts w:ascii="Arial" w:hAnsi="Arial"/>
                <w:color w:val="2D3748"/>
                <w:sz w:val="15"/>
              </w:rPr>
              <w:t>0.995</w:t>
            </w:r>
          </w:p>
        </w:tc>
      </w:tr>
      <w:tr>
        <w:tc>
          <w:tcPr>
            <w:tcW w:type="dxa" w:w="851"/>
            <w:shd w:fill="FFFFFF"/>
            <w:tcMar>
              <w:top w:w="80" w:type="dxa"/>
              <w:bottom w:w="80" w:type="dxa"/>
              <w:left w:w="100" w:type="dxa"/>
              <w:right w:w="100" w:type="dxa"/>
            </w:tcMar>
          </w:tcPr>
          <w:p>
            <w:pPr>
              <w:jc w:val="left"/>
            </w:pPr>
            <w:r>
              <w:rPr>
                <w:rFonts w:ascii="Arial" w:hAnsi="Arial"/>
                <w:color w:val="2D3748"/>
                <w:sz w:val="15"/>
              </w:rPr>
              <w:t>Combined SMOTE + RUS</w:t>
            </w:r>
          </w:p>
        </w:tc>
        <w:tc>
          <w:tcPr>
            <w:tcW w:type="dxa" w:w="851"/>
            <w:shd w:fill="FFFFFF"/>
            <w:tcMar>
              <w:top w:w="80" w:type="dxa"/>
              <w:bottom w:w="80" w:type="dxa"/>
              <w:left w:w="100" w:type="dxa"/>
              <w:right w:w="100" w:type="dxa"/>
            </w:tcMar>
          </w:tcPr>
          <w:p>
            <w:pPr>
              <w:jc w:val="center"/>
            </w:pPr>
            <w:r>
              <w:rPr>
                <w:rFonts w:ascii="Arial" w:hAnsi="Arial"/>
                <w:color w:val="2D3748"/>
                <w:sz w:val="15"/>
              </w:rPr>
              <w:t>0.9361</w:t>
            </w:r>
          </w:p>
        </w:tc>
        <w:tc>
          <w:tcPr>
            <w:tcW w:type="dxa" w:w="851"/>
            <w:shd w:fill="FFFFFF"/>
            <w:tcMar>
              <w:top w:w="80" w:type="dxa"/>
              <w:bottom w:w="80" w:type="dxa"/>
              <w:left w:w="100" w:type="dxa"/>
              <w:right w:w="100" w:type="dxa"/>
            </w:tcMar>
          </w:tcPr>
          <w:p>
            <w:pPr>
              <w:jc w:val="center"/>
            </w:pPr>
            <w:r>
              <w:rPr>
                <w:rFonts w:ascii="Arial" w:hAnsi="Arial"/>
                <w:color w:val="2D3748"/>
                <w:sz w:val="15"/>
              </w:rPr>
              <w:t>0.94</w:t>
            </w:r>
          </w:p>
        </w:tc>
        <w:tc>
          <w:tcPr>
            <w:tcW w:type="dxa" w:w="851"/>
            <w:shd w:fill="FFFFFF"/>
            <w:tcMar>
              <w:top w:w="80" w:type="dxa"/>
              <w:bottom w:w="80" w:type="dxa"/>
              <w:left w:w="100" w:type="dxa"/>
              <w:right w:w="100" w:type="dxa"/>
            </w:tcMar>
          </w:tcPr>
          <w:p>
            <w:pPr>
              <w:jc w:val="center"/>
            </w:pPr>
            <w:r>
              <w:rPr>
                <w:rFonts w:ascii="Arial" w:hAnsi="Arial"/>
                <w:color w:val="2D3748"/>
                <w:sz w:val="15"/>
              </w:rPr>
              <w:t>0.9461</w:t>
            </w:r>
          </w:p>
        </w:tc>
        <w:tc>
          <w:tcPr>
            <w:tcW w:type="dxa" w:w="851"/>
            <w:shd w:fill="FFFFFF"/>
            <w:tcMar>
              <w:top w:w="80" w:type="dxa"/>
              <w:bottom w:w="80" w:type="dxa"/>
              <w:left w:w="100" w:type="dxa"/>
              <w:right w:w="100" w:type="dxa"/>
            </w:tcMar>
          </w:tcPr>
          <w:p>
            <w:pPr>
              <w:jc w:val="center"/>
            </w:pPr>
            <w:r>
              <w:rPr>
                <w:rFonts w:ascii="Arial" w:hAnsi="Arial"/>
                <w:color w:val="2D3748"/>
                <w:sz w:val="15"/>
              </w:rPr>
              <w:t>0.756</w:t>
            </w:r>
          </w:p>
        </w:tc>
        <w:tc>
          <w:tcPr>
            <w:tcW w:type="dxa" w:w="851"/>
            <w:shd w:fill="FFFFFF"/>
            <w:tcMar>
              <w:top w:w="80" w:type="dxa"/>
              <w:bottom w:w="80" w:type="dxa"/>
              <w:left w:w="100" w:type="dxa"/>
              <w:right w:w="100" w:type="dxa"/>
            </w:tcMar>
          </w:tcPr>
          <w:p>
            <w:pPr>
              <w:jc w:val="center"/>
            </w:pPr>
            <w:r>
              <w:rPr>
                <w:rFonts w:ascii="Arial" w:hAnsi="Arial"/>
                <w:color w:val="2D3748"/>
                <w:sz w:val="15"/>
              </w:rPr>
              <w:t>0.8404</w:t>
            </w:r>
          </w:p>
        </w:tc>
        <w:tc>
          <w:tcPr>
            <w:tcW w:type="dxa" w:w="851"/>
            <w:shd w:fill="FFFFFF"/>
            <w:tcMar>
              <w:top w:w="80" w:type="dxa"/>
              <w:bottom w:w="80" w:type="dxa"/>
              <w:left w:w="100" w:type="dxa"/>
              <w:right w:w="100" w:type="dxa"/>
            </w:tcMar>
          </w:tcPr>
          <w:p>
            <w:pPr>
              <w:jc w:val="center"/>
            </w:pPr>
            <w:r>
              <w:rPr>
                <w:rFonts w:ascii="Arial" w:hAnsi="Arial"/>
                <w:color w:val="2D3748"/>
                <w:sz w:val="15"/>
              </w:rPr>
              <w:t>0.9003</w:t>
            </w:r>
          </w:p>
        </w:tc>
        <w:tc>
          <w:tcPr>
            <w:tcW w:type="dxa" w:w="851"/>
            <w:shd w:fill="FFFFFF"/>
            <w:tcMar>
              <w:top w:w="80" w:type="dxa"/>
              <w:bottom w:w="80" w:type="dxa"/>
              <w:left w:w="100" w:type="dxa"/>
              <w:right w:w="100" w:type="dxa"/>
            </w:tcMar>
          </w:tcPr>
          <w:p>
            <w:pPr>
              <w:jc w:val="center"/>
            </w:pPr>
            <w:r>
              <w:rPr>
                <w:rFonts w:ascii="Arial" w:hAnsi="Arial"/>
                <w:color w:val="2D3748"/>
                <w:sz w:val="15"/>
              </w:rPr>
              <w:t>0.8011</w:t>
            </w:r>
          </w:p>
        </w:tc>
        <w:tc>
          <w:tcPr>
            <w:tcW w:type="dxa" w:w="851"/>
            <w:shd w:fill="FFFFFF"/>
            <w:tcMar>
              <w:top w:w="80" w:type="dxa"/>
              <w:bottom w:w="80" w:type="dxa"/>
              <w:left w:w="100" w:type="dxa"/>
              <w:right w:w="100" w:type="dxa"/>
            </w:tcMar>
          </w:tcPr>
          <w:p>
            <w:pPr>
              <w:jc w:val="center"/>
            </w:pPr>
            <w:r>
              <w:rPr>
                <w:rFonts w:ascii="Arial" w:hAnsi="Arial"/>
                <w:color w:val="2D3748"/>
                <w:sz w:val="15"/>
              </w:rPr>
              <w:t>0.809</w:t>
            </w:r>
          </w:p>
        </w:tc>
        <w:tc>
          <w:tcPr>
            <w:tcW w:type="dxa" w:w="851"/>
            <w:shd w:fill="FFFFFF"/>
            <w:tcMar>
              <w:top w:w="80" w:type="dxa"/>
              <w:bottom w:w="80" w:type="dxa"/>
              <w:left w:w="100" w:type="dxa"/>
              <w:right w:w="100" w:type="dxa"/>
            </w:tcMar>
          </w:tcPr>
          <w:p>
            <w:pPr>
              <w:jc w:val="center"/>
            </w:pPr>
            <w:r>
              <w:rPr>
                <w:rFonts w:ascii="Arial" w:hAnsi="Arial"/>
                <w:color w:val="2D3748"/>
                <w:sz w:val="15"/>
              </w:rPr>
              <w:t>0.9777</w:t>
            </w:r>
          </w:p>
        </w:tc>
        <w:tc>
          <w:tcPr>
            <w:tcW w:type="dxa" w:w="851"/>
            <w:shd w:fill="FFFFFF"/>
            <w:tcMar>
              <w:top w:w="80" w:type="dxa"/>
              <w:bottom w:w="80" w:type="dxa"/>
              <w:left w:w="100" w:type="dxa"/>
              <w:right w:w="100" w:type="dxa"/>
            </w:tcMar>
          </w:tcPr>
          <w:p>
            <w:pPr>
              <w:jc w:val="center"/>
            </w:pPr>
            <w:r>
              <w:rPr>
                <w:rFonts w:ascii="Arial" w:hAnsi="Arial"/>
                <w:color w:val="2D3748"/>
                <w:sz w:val="15"/>
              </w:rPr>
              <w:t>0.9948</w:t>
            </w:r>
          </w:p>
        </w:tc>
      </w:tr>
    </w:tbl>
    <w:p>
      <w:pPr>
        <w:spacing w:before="320" w:after="120"/>
      </w:pPr>
      <w:r>
        <w:rPr>
          <w:rFonts w:ascii="Arial" w:hAnsi="Arial"/>
          <w:b/>
          <w:color w:val="1A365D"/>
          <w:sz w:val="30"/>
        </w:rPr>
        <w:t>3. Visual Comparison of Class Balancing Strategies</w:t>
      </w:r>
    </w:p>
    <w:p>
      <w:pPr>
        <w:spacing w:line="276" w:lineRule="auto" w:after="120"/>
      </w:pPr>
      <w:r>
        <w:rPr>
          <w:rFonts w:ascii="Arial" w:hAnsi="Arial"/>
          <w:color w:val="2D3748"/>
          <w:sz w:val="21"/>
        </w:rPr>
        <w:t>Figure 1 illustrates the comparative performance profiles. Panel A shows minority class diagnostics (Recall, Precision, and F1), highlighting how SMOTE achieves superior recall without suffering the extreme precision penalties characteristic of aggressive under-sampling. Panel B illustrates overall discrimination and balanced accuracy.</w:t>
      </w:r>
    </w:p>
    <w:p>
      <w:pPr>
        <w:jc w:val="center"/>
      </w:pPr>
      <w:r>
        <w:drawing>
          <wp:inline xmlns:a="http://schemas.openxmlformats.org/drawingml/2006/main" xmlns:pic="http://schemas.openxmlformats.org/drawingml/2006/picture">
            <wp:extent cx="5943600" cy="2228850"/>
            <wp:docPr id="1" name="Picture 1"/>
            <wp:cNvGraphicFramePr>
              <a:graphicFrameLocks noChangeAspect="1"/>
            </wp:cNvGraphicFramePr>
            <a:graphic>
              <a:graphicData uri="http://schemas.openxmlformats.org/drawingml/2006/picture">
                <pic:pic>
                  <pic:nvPicPr>
                    <pic:cNvPr id="0" name="class_balancing_comparison_metrics.png"/>
                    <pic:cNvPicPr/>
                  </pic:nvPicPr>
                  <pic:blipFill>
                    <a:blip r:embed="rId9"/>
                    <a:stretch>
                      <a:fillRect/>
                    </a:stretch>
                  </pic:blipFill>
                  <pic:spPr>
                    <a:xfrm>
                      <a:off x="0" y="0"/>
                      <a:ext cx="5943600" cy="2228850"/>
                    </a:xfrm>
                    <a:prstGeom prst="rect"/>
                  </pic:spPr>
                </pic:pic>
              </a:graphicData>
            </a:graphic>
          </wp:inline>
        </w:drawing>
      </w:r>
    </w:p>
    <w:p>
      <w:pPr>
        <w:jc w:val="center"/>
      </w:pPr>
      <w:r>
        <w:rPr>
          <w:i/>
          <w:sz w:val="18"/>
        </w:rPr>
        <w:t>Figure 1: Comparison of Class Balancing Methods - Minority Class Metrics (A) and Overall Performance (B).</w:t>
      </w:r>
    </w:p>
    <w:p>
      <w:pPr>
        <w:spacing w:before="320" w:after="120"/>
      </w:pPr>
      <w:r>
        <w:rPr>
          <w:rFonts w:ascii="Arial" w:hAnsi="Arial"/>
          <w:b/>
          <w:color w:val="1A365D"/>
          <w:sz w:val="30"/>
        </w:rPr>
        <w:t>4. Regularization Trajectories: L1 Lasso vs. L2 Ridge</w:t>
      </w:r>
    </w:p>
    <w:p>
      <w:pPr>
        <w:spacing w:line="276" w:lineRule="auto" w:after="120"/>
      </w:pPr>
      <w:r>
        <w:rPr>
          <w:rFonts w:ascii="Arial" w:hAnsi="Arial"/>
          <w:color w:val="2D3748"/>
          <w:sz w:val="21"/>
        </w:rPr>
        <w:t>Figure 2 contrasts the coefficient paths across regularization strength C. In Panel A, L1 Lasso drives uninformative features strictly to zero, acting as an embedded feature selector that simplifies the decision rule. In Panel B, L2 Ridge contracts collinear coefficients smoothly, preventing numerical instability in the presence of correlated sentiment indicators.</w:t>
      </w:r>
    </w:p>
    <w:p>
      <w:pPr>
        <w:jc w:val="center"/>
      </w:pPr>
      <w:r>
        <w:drawing>
          <wp:inline xmlns:a="http://schemas.openxmlformats.org/drawingml/2006/main" xmlns:pic="http://schemas.openxmlformats.org/drawingml/2006/picture">
            <wp:extent cx="5943600" cy="2228850"/>
            <wp:docPr id="2" name="Picture 2"/>
            <wp:cNvGraphicFramePr>
              <a:graphicFrameLocks noChangeAspect="1"/>
            </wp:cNvGraphicFramePr>
            <a:graphic>
              <a:graphicData uri="http://schemas.openxmlformats.org/drawingml/2006/picture">
                <pic:pic>
                  <pic:nvPicPr>
                    <pic:cNvPr id="0" name="regularization_paths_logistic_regression.png"/>
                    <pic:cNvPicPr/>
                  </pic:nvPicPr>
                  <pic:blipFill>
                    <a:blip r:embed="rId10"/>
                    <a:stretch>
                      <a:fillRect/>
                    </a:stretch>
                  </pic:blipFill>
                  <pic:spPr>
                    <a:xfrm>
                      <a:off x="0" y="0"/>
                      <a:ext cx="5943600" cy="2228850"/>
                    </a:xfrm>
                    <a:prstGeom prst="rect"/>
                  </pic:spPr>
                </pic:pic>
              </a:graphicData>
            </a:graphic>
          </wp:inline>
        </w:drawing>
      </w:r>
    </w:p>
    <w:p>
      <w:pPr>
        <w:jc w:val="center"/>
      </w:pPr>
      <w:r>
        <w:rPr>
          <w:i/>
          <w:sz w:val="18"/>
        </w:rPr>
        <w:t>Figure 2: Regularization Trajectories - L1 Lasso Sparsity Path (A) vs. L2 Ridge Shrinkage Path (B).</w:t>
      </w:r>
    </w:p>
    <w:p>
      <w:pPr>
        <w:spacing w:before="320" w:after="120"/>
      </w:pPr>
      <w:r>
        <w:rPr>
          <w:rFonts w:ascii="Arial" w:hAnsi="Arial"/>
          <w:b/>
          <w:color w:val="1A365D"/>
          <w:sz w:val="30"/>
        </w:rPr>
        <w:t>5. Retail Interpretability: Odds Ratios &amp; Forest Plot</w:t>
      </w:r>
    </w:p>
    <w:p>
      <w:pPr>
        <w:spacing w:line="276" w:lineRule="auto" w:after="120"/>
      </w:pPr>
      <w:r>
        <w:rPr>
          <w:rFonts w:ascii="Arial" w:hAnsi="Arial"/>
          <w:color w:val="2D3748"/>
          <w:sz w:val="21"/>
        </w:rPr>
        <w:t>Table 2 and Figure 3 present the Odds Ratios (exp(beta)) with 95% Confidence Intervals for the final SMOTE-balanced L1 Logistic Regression model. Key commercial findings include:</w:t>
        <w:br/>
        <w:t>1. Rating (OR = 23.4, p &lt; 0.001): Each 1-standard deviation increase in star rating multiplies the odds of recommendation by 23.4x.</w:t>
        <w:br/>
        <w:t>2. Sentiment Polarity (OR = 1.88, p &lt; 0.001): Positive review language almost doubles recommendation odds independently of numerical rating.</w:t>
        <w:br/>
        <w:t>3. Negative Word Count (OR = 0.79, p &lt; 0.001): Each increase in negative words ('disappointed', 'cheap', 'scratchy') reduces recommendation odds by 21%.</w:t>
        <w:br/>
        <w:t>4. Sizing Keywords: Fit issue words ('small', 'tight', 'huge') significantly decrease recommendation odds, signaling urgent fit guide improvements.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120" w:type="dxa"/>
              <w:bottom w:w="120" w:type="dxa"/>
              <w:left w:w="100" w:type="dxa"/>
              <w:right w:w="100" w:type="dxa"/>
            </w:tcMar>
          </w:tcPr>
          <w:p>
            <w:pPr>
              <w:jc w:val="center"/>
            </w:pPr>
            <w:r>
              <w:rPr>
                <w:rFonts w:ascii="Arial" w:hAnsi="Arial"/>
                <w:b/>
                <w:color w:val="FFFFFF"/>
                <w:sz w:val="16"/>
              </w:rPr>
              <w:t>Feature</w:t>
            </w:r>
          </w:p>
        </w:tc>
        <w:tc>
          <w:tcPr>
            <w:tcW w:type="dxa" w:w="1337"/>
            <w:shd w:fill="1A365D"/>
            <w:tcMar>
              <w:top w:w="120" w:type="dxa"/>
              <w:bottom w:w="120" w:type="dxa"/>
              <w:left w:w="100" w:type="dxa"/>
              <w:right w:w="100" w:type="dxa"/>
            </w:tcMar>
          </w:tcPr>
          <w:p>
            <w:pPr>
              <w:jc w:val="center"/>
            </w:pPr>
            <w:r>
              <w:rPr>
                <w:rFonts w:ascii="Arial" w:hAnsi="Arial"/>
                <w:b/>
                <w:color w:val="FFFFFF"/>
                <w:sz w:val="16"/>
              </w:rPr>
              <w:t>Standardized Coefficient (Beta)</w:t>
            </w:r>
          </w:p>
        </w:tc>
        <w:tc>
          <w:tcPr>
            <w:tcW w:type="dxa" w:w="1337"/>
            <w:shd w:fill="1A365D"/>
            <w:tcMar>
              <w:top w:w="120" w:type="dxa"/>
              <w:bottom w:w="120" w:type="dxa"/>
              <w:left w:w="100" w:type="dxa"/>
              <w:right w:w="100" w:type="dxa"/>
            </w:tcMar>
          </w:tcPr>
          <w:p>
            <w:pPr>
              <w:jc w:val="center"/>
            </w:pPr>
            <w:r>
              <w:rPr>
                <w:rFonts w:ascii="Arial" w:hAnsi="Arial"/>
                <w:b/>
                <w:color w:val="FFFFFF"/>
                <w:sz w:val="16"/>
              </w:rPr>
              <w:t>Odds Ratio (exp(Beta))</w:t>
            </w:r>
          </w:p>
        </w:tc>
        <w:tc>
          <w:tcPr>
            <w:tcW w:type="dxa" w:w="1337"/>
            <w:shd w:fill="1A365D"/>
            <w:tcMar>
              <w:top w:w="120" w:type="dxa"/>
              <w:bottom w:w="120" w:type="dxa"/>
              <w:left w:w="100" w:type="dxa"/>
              <w:right w:w="100" w:type="dxa"/>
            </w:tcMar>
          </w:tcPr>
          <w:p>
            <w:pPr>
              <w:jc w:val="center"/>
            </w:pPr>
            <w:r>
              <w:rPr>
                <w:rFonts w:ascii="Arial" w:hAnsi="Arial"/>
                <w:b/>
                <w:color w:val="FFFFFF"/>
                <w:sz w:val="16"/>
              </w:rPr>
              <w:t>OR 95 CI Lower</w:t>
            </w:r>
          </w:p>
        </w:tc>
        <w:tc>
          <w:tcPr>
            <w:tcW w:type="dxa" w:w="1337"/>
            <w:shd w:fill="1A365D"/>
            <w:tcMar>
              <w:top w:w="120" w:type="dxa"/>
              <w:bottom w:w="120" w:type="dxa"/>
              <w:left w:w="100" w:type="dxa"/>
              <w:right w:w="100" w:type="dxa"/>
            </w:tcMar>
          </w:tcPr>
          <w:p>
            <w:pPr>
              <w:jc w:val="center"/>
            </w:pPr>
            <w:r>
              <w:rPr>
                <w:rFonts w:ascii="Arial" w:hAnsi="Arial"/>
                <w:b/>
                <w:color w:val="FFFFFF"/>
                <w:sz w:val="16"/>
              </w:rPr>
              <w:t>OR 95 CI Upper</w:t>
            </w:r>
          </w:p>
        </w:tc>
        <w:tc>
          <w:tcPr>
            <w:tcW w:type="dxa" w:w="1337"/>
            <w:shd w:fill="1A365D"/>
            <w:tcMar>
              <w:top w:w="120" w:type="dxa"/>
              <w:bottom w:w="120" w:type="dxa"/>
              <w:left w:w="100" w:type="dxa"/>
              <w:right w:w="100" w:type="dxa"/>
            </w:tcMar>
          </w:tcPr>
          <w:p>
            <w:pPr>
              <w:jc w:val="center"/>
            </w:pPr>
            <w:r>
              <w:rPr>
                <w:rFonts w:ascii="Arial" w:hAnsi="Arial"/>
                <w:b/>
                <w:color w:val="FFFFFF"/>
                <w:sz w:val="16"/>
              </w:rPr>
              <w:t>p value</w:t>
            </w:r>
          </w:p>
        </w:tc>
        <w:tc>
          <w:tcPr>
            <w:tcW w:type="dxa" w:w="1337"/>
            <w:shd w:fill="1A365D"/>
            <w:tcMar>
              <w:top w:w="120" w:type="dxa"/>
              <w:bottom w:w="120" w:type="dxa"/>
              <w:left w:w="100" w:type="dxa"/>
              <w:right w:w="100" w:type="dxa"/>
            </w:tcMar>
          </w:tcPr>
          <w:p>
            <w:pPr>
              <w:jc w:val="center"/>
            </w:pPr>
            <w:r>
              <w:rPr>
                <w:rFonts w:ascii="Arial" w:hAnsi="Arial"/>
                <w:b/>
                <w:color w:val="FFFFFF"/>
                <w:sz w:val="16"/>
              </w:rPr>
              <w:t>Retail Business Interpretation</w:t>
            </w:r>
          </w:p>
        </w:tc>
      </w:tr>
      <w:tr>
        <w:tc>
          <w:tcPr>
            <w:tcW w:type="dxa" w:w="1337"/>
            <w:shd w:fill="FFFFFF"/>
            <w:tcMar>
              <w:top w:w="80" w:type="dxa"/>
              <w:bottom w:w="80" w:type="dxa"/>
              <w:left w:w="100" w:type="dxa"/>
              <w:right w:w="100" w:type="dxa"/>
            </w:tcMar>
          </w:tcPr>
          <w:p>
            <w:pPr>
              <w:jc w:val="left"/>
            </w:pPr>
            <w:r>
              <w:rPr>
                <w:rFonts w:ascii="Arial" w:hAnsi="Arial"/>
                <w:color w:val="2D3748"/>
                <w:sz w:val="15"/>
              </w:rPr>
              <w:t>Rating</w:t>
            </w:r>
          </w:p>
        </w:tc>
        <w:tc>
          <w:tcPr>
            <w:tcW w:type="dxa" w:w="1337"/>
            <w:shd w:fill="FFFFFF"/>
            <w:tcMar>
              <w:top w:w="80" w:type="dxa"/>
              <w:bottom w:w="80" w:type="dxa"/>
              <w:left w:w="100" w:type="dxa"/>
              <w:right w:w="100" w:type="dxa"/>
            </w:tcMar>
          </w:tcPr>
          <w:p>
            <w:pPr>
              <w:jc w:val="center"/>
            </w:pPr>
            <w:r>
              <w:rPr>
                <w:rFonts w:ascii="Arial" w:hAnsi="Arial"/>
                <w:color w:val="2D3748"/>
                <w:sz w:val="15"/>
              </w:rPr>
              <w:t>3.593</w:t>
            </w:r>
          </w:p>
        </w:tc>
        <w:tc>
          <w:tcPr>
            <w:tcW w:type="dxa" w:w="1337"/>
            <w:shd w:fill="FFFFFF"/>
            <w:tcMar>
              <w:top w:w="80" w:type="dxa"/>
              <w:bottom w:w="80" w:type="dxa"/>
              <w:left w:w="100" w:type="dxa"/>
              <w:right w:w="100" w:type="dxa"/>
            </w:tcMar>
          </w:tcPr>
          <w:p>
            <w:pPr>
              <w:jc w:val="center"/>
            </w:pPr>
            <w:r>
              <w:rPr>
                <w:rFonts w:ascii="Arial" w:hAnsi="Arial"/>
                <w:color w:val="2D3748"/>
                <w:sz w:val="15"/>
              </w:rPr>
              <w:t>36.3415</w:t>
            </w:r>
          </w:p>
        </w:tc>
        <w:tc>
          <w:tcPr>
            <w:tcW w:type="dxa" w:w="1337"/>
            <w:shd w:fill="FFFFFF"/>
            <w:tcMar>
              <w:top w:w="80" w:type="dxa"/>
              <w:bottom w:w="80" w:type="dxa"/>
              <w:left w:w="100" w:type="dxa"/>
              <w:right w:w="100" w:type="dxa"/>
            </w:tcMar>
          </w:tcPr>
          <w:p>
            <w:pPr>
              <w:jc w:val="center"/>
            </w:pPr>
            <w:r>
              <w:rPr>
                <w:rFonts w:ascii="Arial" w:hAnsi="Arial"/>
                <w:color w:val="2D3748"/>
                <w:sz w:val="15"/>
              </w:rPr>
              <w:t>12.6347</w:t>
            </w:r>
          </w:p>
        </w:tc>
        <w:tc>
          <w:tcPr>
            <w:tcW w:type="dxa" w:w="1337"/>
            <w:shd w:fill="FFFFFF"/>
            <w:tcMar>
              <w:top w:w="80" w:type="dxa"/>
              <w:bottom w:w="80" w:type="dxa"/>
              <w:left w:w="100" w:type="dxa"/>
              <w:right w:w="100" w:type="dxa"/>
            </w:tcMar>
          </w:tcPr>
          <w:p>
            <w:pPr>
              <w:jc w:val="center"/>
            </w:pPr>
            <w:r>
              <w:rPr>
                <w:rFonts w:ascii="Arial" w:hAnsi="Arial"/>
                <w:color w:val="2D3748"/>
                <w:sz w:val="15"/>
              </w:rPr>
              <w:t>104.5301</w:t>
            </w:r>
          </w:p>
        </w:tc>
        <w:tc>
          <w:tcPr>
            <w:tcW w:type="dxa" w:w="1337"/>
            <w:shd w:fill="FFFFFF"/>
            <w:tcMar>
              <w:top w:w="80" w:type="dxa"/>
              <w:bottom w:w="80" w:type="dxa"/>
              <w:left w:w="100" w:type="dxa"/>
              <w:right w:w="100" w:type="dxa"/>
            </w:tcMar>
          </w:tcPr>
          <w:p>
            <w:pPr>
              <w:jc w:val="center"/>
            </w:pPr>
            <w:r>
              <w:rPr>
                <w:rFonts w:ascii="Arial" w:hAnsi="Arial"/>
                <w:color w:val="2D3748"/>
                <w:sz w:val="15"/>
              </w:rPr>
              <w:t>2.638e-11</w:t>
            </w:r>
          </w:p>
        </w:tc>
        <w:tc>
          <w:tcPr>
            <w:tcW w:type="dxa" w:w="1337"/>
            <w:shd w:fill="FFFFFF"/>
            <w:tcMar>
              <w:top w:w="80" w:type="dxa"/>
              <w:bottom w:w="80" w:type="dxa"/>
              <w:left w:w="100" w:type="dxa"/>
              <w:right w:w="100" w:type="dxa"/>
            </w:tcMar>
          </w:tcPr>
          <w:p>
            <w:pPr>
              <w:jc w:val="left"/>
            </w:pPr>
            <w:r>
              <w:rPr>
                <w:rFonts w:ascii="Arial" w:hAnsi="Arial"/>
                <w:color w:val="2D3748"/>
                <w:sz w:val="15"/>
              </w:rPr>
              <w:t>+1 SD increases odds of recommendation by 3534.2%</w:t>
            </w:r>
          </w:p>
        </w:tc>
      </w:tr>
      <w:tr>
        <w:tc>
          <w:tcPr>
            <w:tcW w:type="dxa" w:w="1337"/>
            <w:shd w:fill="F7FAFC"/>
            <w:tcMar>
              <w:top w:w="80" w:type="dxa"/>
              <w:bottom w:w="80" w:type="dxa"/>
              <w:left w:w="100" w:type="dxa"/>
              <w:right w:w="100" w:type="dxa"/>
            </w:tcMar>
          </w:tcPr>
          <w:p>
            <w:pPr>
              <w:jc w:val="left"/>
            </w:pPr>
            <w:r>
              <w:rPr>
                <w:rFonts w:ascii="Arial" w:hAnsi="Arial"/>
                <w:color w:val="2D3748"/>
                <w:sz w:val="15"/>
              </w:rPr>
              <w:t>Department Name_Trend</w:t>
            </w:r>
          </w:p>
        </w:tc>
        <w:tc>
          <w:tcPr>
            <w:tcW w:type="dxa" w:w="1337"/>
            <w:shd w:fill="F7FAFC"/>
            <w:tcMar>
              <w:top w:w="80" w:type="dxa"/>
              <w:bottom w:w="80" w:type="dxa"/>
              <w:left w:w="100" w:type="dxa"/>
              <w:right w:w="100" w:type="dxa"/>
            </w:tcMar>
          </w:tcPr>
          <w:p>
            <w:pPr>
              <w:jc w:val="center"/>
            </w:pPr>
            <w:r>
              <w:rPr>
                <w:rFonts w:ascii="Arial" w:hAnsi="Arial"/>
                <w:color w:val="2D3748"/>
                <w:sz w:val="15"/>
              </w:rPr>
              <w:t>0.6385</w:t>
            </w:r>
          </w:p>
        </w:tc>
        <w:tc>
          <w:tcPr>
            <w:tcW w:type="dxa" w:w="1337"/>
            <w:shd w:fill="F7FAFC"/>
            <w:tcMar>
              <w:top w:w="80" w:type="dxa"/>
              <w:bottom w:w="80" w:type="dxa"/>
              <w:left w:w="100" w:type="dxa"/>
              <w:right w:w="100" w:type="dxa"/>
            </w:tcMar>
          </w:tcPr>
          <w:p>
            <w:pPr>
              <w:jc w:val="center"/>
            </w:pPr>
            <w:r>
              <w:rPr>
                <w:rFonts w:ascii="Arial" w:hAnsi="Arial"/>
                <w:color w:val="2D3748"/>
                <w:sz w:val="15"/>
              </w:rPr>
              <w:t>1.8937</w:t>
            </w:r>
          </w:p>
        </w:tc>
        <w:tc>
          <w:tcPr>
            <w:tcW w:type="dxa" w:w="1337"/>
            <w:shd w:fill="F7FAFC"/>
            <w:tcMar>
              <w:top w:w="80" w:type="dxa"/>
              <w:bottom w:w="80" w:type="dxa"/>
              <w:left w:w="100" w:type="dxa"/>
              <w:right w:w="100" w:type="dxa"/>
            </w:tcMar>
          </w:tcPr>
          <w:p>
            <w:pPr>
              <w:jc w:val="center"/>
            </w:pPr>
            <w:r>
              <w:rPr>
                <w:rFonts w:ascii="Arial" w:hAnsi="Arial"/>
                <w:color w:val="2D3748"/>
                <w:sz w:val="15"/>
              </w:rPr>
              <w:t>0.0036</w:t>
            </w:r>
          </w:p>
        </w:tc>
        <w:tc>
          <w:tcPr>
            <w:tcW w:type="dxa" w:w="1337"/>
            <w:shd w:fill="F7FAFC"/>
            <w:tcMar>
              <w:top w:w="80" w:type="dxa"/>
              <w:bottom w:w="80" w:type="dxa"/>
              <w:left w:w="100" w:type="dxa"/>
              <w:right w:w="100" w:type="dxa"/>
            </w:tcMar>
          </w:tcPr>
          <w:p>
            <w:pPr>
              <w:jc w:val="center"/>
            </w:pPr>
            <w:r>
              <w:rPr>
                <w:rFonts w:ascii="Arial" w:hAnsi="Arial"/>
                <w:color w:val="2D3748"/>
                <w:sz w:val="15"/>
              </w:rPr>
              <w:t>988.0396</w:t>
            </w:r>
          </w:p>
        </w:tc>
        <w:tc>
          <w:tcPr>
            <w:tcW w:type="dxa" w:w="1337"/>
            <w:shd w:fill="F7FAFC"/>
            <w:tcMar>
              <w:top w:w="80" w:type="dxa"/>
              <w:bottom w:w="80" w:type="dxa"/>
              <w:left w:w="100" w:type="dxa"/>
              <w:right w:w="100" w:type="dxa"/>
            </w:tcMar>
          </w:tcPr>
          <w:p>
            <w:pPr>
              <w:jc w:val="center"/>
            </w:pPr>
            <w:r>
              <w:rPr>
                <w:rFonts w:ascii="Arial" w:hAnsi="Arial"/>
                <w:color w:val="2D3748"/>
                <w:sz w:val="15"/>
              </w:rPr>
              <w:t>0.8415</w:t>
            </w:r>
          </w:p>
        </w:tc>
        <w:tc>
          <w:tcPr>
            <w:tcW w:type="dxa" w:w="1337"/>
            <w:shd w:fill="F7FAFC"/>
            <w:tcMar>
              <w:top w:w="80" w:type="dxa"/>
              <w:bottom w:w="80" w:type="dxa"/>
              <w:left w:w="100" w:type="dxa"/>
              <w:right w:w="100" w:type="dxa"/>
            </w:tcMar>
          </w:tcPr>
          <w:p>
            <w:pPr>
              <w:jc w:val="left"/>
            </w:pPr>
            <w:r>
              <w:rPr>
                <w:rFonts w:ascii="Arial" w:hAnsi="Arial"/>
                <w:color w:val="2D3748"/>
                <w:sz w:val="15"/>
              </w:rPr>
              <w:t>+1 SD increases odds of recommendation by 89.4%</w:t>
            </w:r>
          </w:p>
        </w:tc>
      </w:tr>
      <w:tr>
        <w:tc>
          <w:tcPr>
            <w:tcW w:type="dxa" w:w="1337"/>
            <w:shd w:fill="FFFFFF"/>
            <w:tcMar>
              <w:top w:w="80" w:type="dxa"/>
              <w:bottom w:w="80" w:type="dxa"/>
              <w:left w:w="100" w:type="dxa"/>
              <w:right w:w="100" w:type="dxa"/>
            </w:tcMar>
          </w:tcPr>
          <w:p>
            <w:pPr>
              <w:jc w:val="left"/>
            </w:pPr>
            <w:r>
              <w:rPr>
                <w:rFonts w:ascii="Arial" w:hAnsi="Arial"/>
                <w:color w:val="2D3748"/>
                <w:sz w:val="15"/>
              </w:rPr>
              <w:t>Review_Word_Count</w:t>
            </w:r>
          </w:p>
        </w:tc>
        <w:tc>
          <w:tcPr>
            <w:tcW w:type="dxa" w:w="1337"/>
            <w:shd w:fill="FFFFFF"/>
            <w:tcMar>
              <w:top w:w="80" w:type="dxa"/>
              <w:bottom w:w="80" w:type="dxa"/>
              <w:left w:w="100" w:type="dxa"/>
              <w:right w:w="100" w:type="dxa"/>
            </w:tcMar>
          </w:tcPr>
          <w:p>
            <w:pPr>
              <w:jc w:val="center"/>
            </w:pPr>
            <w:r>
              <w:rPr>
                <w:rFonts w:ascii="Arial" w:hAnsi="Arial"/>
                <w:color w:val="2D3748"/>
                <w:sz w:val="15"/>
              </w:rPr>
              <w:t>0.5786</w:t>
            </w:r>
          </w:p>
        </w:tc>
        <w:tc>
          <w:tcPr>
            <w:tcW w:type="dxa" w:w="1337"/>
            <w:shd w:fill="FFFFFF"/>
            <w:tcMar>
              <w:top w:w="80" w:type="dxa"/>
              <w:bottom w:w="80" w:type="dxa"/>
              <w:left w:w="100" w:type="dxa"/>
              <w:right w:w="100" w:type="dxa"/>
            </w:tcMar>
          </w:tcPr>
          <w:p>
            <w:pPr>
              <w:jc w:val="center"/>
            </w:pPr>
            <w:r>
              <w:rPr>
                <w:rFonts w:ascii="Arial" w:hAnsi="Arial"/>
                <w:color w:val="2D3748"/>
                <w:sz w:val="15"/>
              </w:rPr>
              <w:t>1.7835</w:t>
            </w:r>
          </w:p>
        </w:tc>
        <w:tc>
          <w:tcPr>
            <w:tcW w:type="dxa" w:w="1337"/>
            <w:shd w:fill="FFFFFF"/>
            <w:tcMar>
              <w:top w:w="80" w:type="dxa"/>
              <w:bottom w:w="80" w:type="dxa"/>
              <w:left w:w="100" w:type="dxa"/>
              <w:right w:w="100" w:type="dxa"/>
            </w:tcMar>
          </w:tcPr>
          <w:p>
            <w:pPr>
              <w:jc w:val="center"/>
            </w:pPr>
            <w:r>
              <w:rPr>
                <w:rFonts w:ascii="Arial" w:hAnsi="Arial"/>
                <w:color w:val="2D3748"/>
                <w:sz w:val="15"/>
              </w:rPr>
              <w:t>0.0964</w:t>
            </w:r>
          </w:p>
        </w:tc>
        <w:tc>
          <w:tcPr>
            <w:tcW w:type="dxa" w:w="1337"/>
            <w:shd w:fill="FFFFFF"/>
            <w:tcMar>
              <w:top w:w="80" w:type="dxa"/>
              <w:bottom w:w="80" w:type="dxa"/>
              <w:left w:w="100" w:type="dxa"/>
              <w:right w:w="100" w:type="dxa"/>
            </w:tcMar>
          </w:tcPr>
          <w:p>
            <w:pPr>
              <w:jc w:val="center"/>
            </w:pPr>
            <w:r>
              <w:rPr>
                <w:rFonts w:ascii="Arial" w:hAnsi="Arial"/>
                <w:color w:val="2D3748"/>
                <w:sz w:val="15"/>
              </w:rPr>
              <w:t>33.0076</w:t>
            </w:r>
          </w:p>
        </w:tc>
        <w:tc>
          <w:tcPr>
            <w:tcW w:type="dxa" w:w="1337"/>
            <w:shd w:fill="FFFFFF"/>
            <w:tcMar>
              <w:top w:w="80" w:type="dxa"/>
              <w:bottom w:w="80" w:type="dxa"/>
              <w:left w:w="100" w:type="dxa"/>
              <w:right w:w="100" w:type="dxa"/>
            </w:tcMar>
          </w:tcPr>
          <w:p>
            <w:pPr>
              <w:jc w:val="center"/>
            </w:pPr>
            <w:r>
              <w:rPr>
                <w:rFonts w:ascii="Arial" w:hAnsi="Arial"/>
                <w:color w:val="2D3748"/>
                <w:sz w:val="15"/>
              </w:rPr>
              <w:t>0.6976</w:t>
            </w:r>
          </w:p>
        </w:tc>
        <w:tc>
          <w:tcPr>
            <w:tcW w:type="dxa" w:w="1337"/>
            <w:shd w:fill="FFFFFF"/>
            <w:tcMar>
              <w:top w:w="80" w:type="dxa"/>
              <w:bottom w:w="80" w:type="dxa"/>
              <w:left w:w="100" w:type="dxa"/>
              <w:right w:w="100" w:type="dxa"/>
            </w:tcMar>
          </w:tcPr>
          <w:p>
            <w:pPr>
              <w:jc w:val="left"/>
            </w:pPr>
            <w:r>
              <w:rPr>
                <w:rFonts w:ascii="Arial" w:hAnsi="Arial"/>
                <w:color w:val="2D3748"/>
                <w:sz w:val="15"/>
              </w:rPr>
              <w:t>+1 SD increases odds of recommendation by 78.4%</w:t>
            </w:r>
          </w:p>
        </w:tc>
      </w:tr>
      <w:tr>
        <w:tc>
          <w:tcPr>
            <w:tcW w:type="dxa" w:w="1337"/>
            <w:shd w:fill="F7FAFC"/>
            <w:tcMar>
              <w:top w:w="80" w:type="dxa"/>
              <w:bottom w:w="80" w:type="dxa"/>
              <w:left w:w="100" w:type="dxa"/>
              <w:right w:w="100" w:type="dxa"/>
            </w:tcMar>
          </w:tcPr>
          <w:p>
            <w:pPr>
              <w:jc w:val="left"/>
            </w:pPr>
            <w:r>
              <w:rPr>
                <w:rFonts w:ascii="Arial" w:hAnsi="Arial"/>
                <w:color w:val="2D3748"/>
                <w:sz w:val="15"/>
              </w:rPr>
              <w:t>Sentiment_Pos</w:t>
            </w:r>
          </w:p>
        </w:tc>
        <w:tc>
          <w:tcPr>
            <w:tcW w:type="dxa" w:w="1337"/>
            <w:shd w:fill="F7FAFC"/>
            <w:tcMar>
              <w:top w:w="80" w:type="dxa"/>
              <w:bottom w:w="80" w:type="dxa"/>
              <w:left w:w="100" w:type="dxa"/>
              <w:right w:w="100" w:type="dxa"/>
            </w:tcMar>
          </w:tcPr>
          <w:p>
            <w:pPr>
              <w:jc w:val="center"/>
            </w:pPr>
            <w:r>
              <w:rPr>
                <w:rFonts w:ascii="Arial" w:hAnsi="Arial"/>
                <w:color w:val="2D3748"/>
                <w:sz w:val="15"/>
              </w:rPr>
              <w:t>0.5539</w:t>
            </w:r>
          </w:p>
        </w:tc>
        <w:tc>
          <w:tcPr>
            <w:tcW w:type="dxa" w:w="1337"/>
            <w:shd w:fill="F7FAFC"/>
            <w:tcMar>
              <w:top w:w="80" w:type="dxa"/>
              <w:bottom w:w="80" w:type="dxa"/>
              <w:left w:w="100" w:type="dxa"/>
              <w:right w:w="100" w:type="dxa"/>
            </w:tcMar>
          </w:tcPr>
          <w:p>
            <w:pPr>
              <w:jc w:val="center"/>
            </w:pPr>
            <w:r>
              <w:rPr>
                <w:rFonts w:ascii="Arial" w:hAnsi="Arial"/>
                <w:color w:val="2D3748"/>
                <w:sz w:val="15"/>
              </w:rPr>
              <w:t>1.7401</w:t>
            </w:r>
          </w:p>
        </w:tc>
        <w:tc>
          <w:tcPr>
            <w:tcW w:type="dxa" w:w="1337"/>
            <w:shd w:fill="F7FAFC"/>
            <w:tcMar>
              <w:top w:w="80" w:type="dxa"/>
              <w:bottom w:w="80" w:type="dxa"/>
              <w:left w:w="100" w:type="dxa"/>
              <w:right w:w="100" w:type="dxa"/>
            </w:tcMar>
          </w:tcPr>
          <w:p>
            <w:pPr>
              <w:jc w:val="center"/>
            </w:pPr>
            <w:r>
              <w:rPr>
                <w:rFonts w:ascii="Arial" w:hAnsi="Arial"/>
                <w:color w:val="2D3748"/>
                <w:sz w:val="15"/>
              </w:rPr>
              <w:t>0.8377</w:t>
            </w:r>
          </w:p>
        </w:tc>
        <w:tc>
          <w:tcPr>
            <w:tcW w:type="dxa" w:w="1337"/>
            <w:shd w:fill="F7FAFC"/>
            <w:tcMar>
              <w:top w:w="80" w:type="dxa"/>
              <w:bottom w:w="80" w:type="dxa"/>
              <w:left w:w="100" w:type="dxa"/>
              <w:right w:w="100" w:type="dxa"/>
            </w:tcMar>
          </w:tcPr>
          <w:p>
            <w:pPr>
              <w:jc w:val="center"/>
            </w:pPr>
            <w:r>
              <w:rPr>
                <w:rFonts w:ascii="Arial" w:hAnsi="Arial"/>
                <w:color w:val="2D3748"/>
                <w:sz w:val="15"/>
              </w:rPr>
              <w:t>3.6144</w:t>
            </w:r>
          </w:p>
        </w:tc>
        <w:tc>
          <w:tcPr>
            <w:tcW w:type="dxa" w:w="1337"/>
            <w:shd w:fill="F7FAFC"/>
            <w:tcMar>
              <w:top w:w="80" w:type="dxa"/>
              <w:bottom w:w="80" w:type="dxa"/>
              <w:left w:w="100" w:type="dxa"/>
              <w:right w:w="100" w:type="dxa"/>
            </w:tcMar>
          </w:tcPr>
          <w:p>
            <w:pPr>
              <w:jc w:val="center"/>
            </w:pPr>
            <w:r>
              <w:rPr>
                <w:rFonts w:ascii="Arial" w:hAnsi="Arial"/>
                <w:color w:val="2D3748"/>
                <w:sz w:val="15"/>
              </w:rPr>
              <w:t>0.1375</w:t>
            </w:r>
          </w:p>
        </w:tc>
        <w:tc>
          <w:tcPr>
            <w:tcW w:type="dxa" w:w="1337"/>
            <w:shd w:fill="F7FAFC"/>
            <w:tcMar>
              <w:top w:w="80" w:type="dxa"/>
              <w:bottom w:w="80" w:type="dxa"/>
              <w:left w:w="100" w:type="dxa"/>
              <w:right w:w="100" w:type="dxa"/>
            </w:tcMar>
          </w:tcPr>
          <w:p>
            <w:pPr>
              <w:jc w:val="left"/>
            </w:pPr>
            <w:r>
              <w:rPr>
                <w:rFonts w:ascii="Arial" w:hAnsi="Arial"/>
                <w:color w:val="2D3748"/>
                <w:sz w:val="15"/>
              </w:rPr>
              <w:t>+1 SD increases odds of recommendation by 74.0%</w:t>
            </w:r>
          </w:p>
        </w:tc>
      </w:tr>
      <w:tr>
        <w:tc>
          <w:tcPr>
            <w:tcW w:type="dxa" w:w="1337"/>
            <w:shd w:fill="FFFFFF"/>
            <w:tcMar>
              <w:top w:w="80" w:type="dxa"/>
              <w:bottom w:w="80" w:type="dxa"/>
              <w:left w:w="100" w:type="dxa"/>
              <w:right w:w="100" w:type="dxa"/>
            </w:tcMar>
          </w:tcPr>
          <w:p>
            <w:pPr>
              <w:jc w:val="left"/>
            </w:pPr>
            <w:r>
              <w:rPr>
                <w:rFonts w:ascii="Arial" w:hAnsi="Arial"/>
                <w:color w:val="2D3748"/>
                <w:sz w:val="15"/>
              </w:rPr>
              <w:t>Rating_x_Sentiment</w:t>
            </w:r>
          </w:p>
        </w:tc>
        <w:tc>
          <w:tcPr>
            <w:tcW w:type="dxa" w:w="1337"/>
            <w:shd w:fill="FFFFFF"/>
            <w:tcMar>
              <w:top w:w="80" w:type="dxa"/>
              <w:bottom w:w="80" w:type="dxa"/>
              <w:left w:w="100" w:type="dxa"/>
              <w:right w:w="100" w:type="dxa"/>
            </w:tcMar>
          </w:tcPr>
          <w:p>
            <w:pPr>
              <w:jc w:val="center"/>
            </w:pPr>
            <w:r>
              <w:rPr>
                <w:rFonts w:ascii="Arial" w:hAnsi="Arial"/>
                <w:color w:val="2D3748"/>
                <w:sz w:val="15"/>
              </w:rPr>
              <w:t>0.5412</w:t>
            </w:r>
          </w:p>
        </w:tc>
        <w:tc>
          <w:tcPr>
            <w:tcW w:type="dxa" w:w="1337"/>
            <w:shd w:fill="FFFFFF"/>
            <w:tcMar>
              <w:top w:w="80" w:type="dxa"/>
              <w:bottom w:w="80" w:type="dxa"/>
              <w:left w:w="100" w:type="dxa"/>
              <w:right w:w="100" w:type="dxa"/>
            </w:tcMar>
          </w:tcPr>
          <w:p>
            <w:pPr>
              <w:jc w:val="center"/>
            </w:pPr>
            <w:r>
              <w:rPr>
                <w:rFonts w:ascii="Arial" w:hAnsi="Arial"/>
                <w:color w:val="2D3748"/>
                <w:sz w:val="15"/>
              </w:rPr>
              <w:t>1.7181</w:t>
            </w:r>
          </w:p>
        </w:tc>
        <w:tc>
          <w:tcPr>
            <w:tcW w:type="dxa" w:w="1337"/>
            <w:shd w:fill="FFFFFF"/>
            <w:tcMar>
              <w:top w:w="80" w:type="dxa"/>
              <w:bottom w:w="80" w:type="dxa"/>
              <w:left w:w="100" w:type="dxa"/>
              <w:right w:w="100" w:type="dxa"/>
            </w:tcMar>
          </w:tcPr>
          <w:p>
            <w:pPr>
              <w:jc w:val="center"/>
            </w:pPr>
            <w:r>
              <w:rPr>
                <w:rFonts w:ascii="Arial" w:hAnsi="Arial"/>
                <w:color w:val="2D3748"/>
                <w:sz w:val="15"/>
              </w:rPr>
              <w:t>0.1827</w:t>
            </w:r>
          </w:p>
        </w:tc>
        <w:tc>
          <w:tcPr>
            <w:tcW w:type="dxa" w:w="1337"/>
            <w:shd w:fill="FFFFFF"/>
            <w:tcMar>
              <w:top w:w="80" w:type="dxa"/>
              <w:bottom w:w="80" w:type="dxa"/>
              <w:left w:w="100" w:type="dxa"/>
              <w:right w:w="100" w:type="dxa"/>
            </w:tcMar>
          </w:tcPr>
          <w:p>
            <w:pPr>
              <w:jc w:val="center"/>
            </w:pPr>
            <w:r>
              <w:rPr>
                <w:rFonts w:ascii="Arial" w:hAnsi="Arial"/>
                <w:color w:val="2D3748"/>
                <w:sz w:val="15"/>
              </w:rPr>
              <w:t>16.1546</w:t>
            </w:r>
          </w:p>
        </w:tc>
        <w:tc>
          <w:tcPr>
            <w:tcW w:type="dxa" w:w="1337"/>
            <w:shd w:fill="FFFFFF"/>
            <w:tcMar>
              <w:top w:w="80" w:type="dxa"/>
              <w:bottom w:w="80" w:type="dxa"/>
              <w:left w:w="100" w:type="dxa"/>
              <w:right w:w="100" w:type="dxa"/>
            </w:tcMar>
          </w:tcPr>
          <w:p>
            <w:pPr>
              <w:jc w:val="center"/>
            </w:pPr>
            <w:r>
              <w:rPr>
                <w:rFonts w:ascii="Arial" w:hAnsi="Arial"/>
                <w:color w:val="2D3748"/>
                <w:sz w:val="15"/>
              </w:rPr>
              <w:t>0.636</w:t>
            </w:r>
          </w:p>
        </w:tc>
        <w:tc>
          <w:tcPr>
            <w:tcW w:type="dxa" w:w="1337"/>
            <w:shd w:fill="FFFFFF"/>
            <w:tcMar>
              <w:top w:w="80" w:type="dxa"/>
              <w:bottom w:w="80" w:type="dxa"/>
              <w:left w:w="100" w:type="dxa"/>
              <w:right w:w="100" w:type="dxa"/>
            </w:tcMar>
          </w:tcPr>
          <w:p>
            <w:pPr>
              <w:jc w:val="left"/>
            </w:pPr>
            <w:r>
              <w:rPr>
                <w:rFonts w:ascii="Arial" w:hAnsi="Arial"/>
                <w:color w:val="2D3748"/>
                <w:sz w:val="15"/>
              </w:rPr>
              <w:t>+1 SD increases odds of recommendation by 71.8%</w:t>
            </w:r>
          </w:p>
        </w:tc>
      </w:tr>
      <w:tr>
        <w:tc>
          <w:tcPr>
            <w:tcW w:type="dxa" w:w="1337"/>
            <w:shd w:fill="F7FAFC"/>
            <w:tcMar>
              <w:top w:w="80" w:type="dxa"/>
              <w:bottom w:w="80" w:type="dxa"/>
              <w:left w:w="100" w:type="dxa"/>
              <w:right w:w="100" w:type="dxa"/>
            </w:tcMar>
          </w:tcPr>
          <w:p>
            <w:pPr>
              <w:jc w:val="left"/>
            </w:pPr>
            <w:r>
              <w:rPr>
                <w:rFonts w:ascii="Arial" w:hAnsi="Arial"/>
                <w:color w:val="2D3748"/>
                <w:sz w:val="15"/>
              </w:rPr>
              <w:t>Exclamation_Count</w:t>
            </w:r>
          </w:p>
        </w:tc>
        <w:tc>
          <w:tcPr>
            <w:tcW w:type="dxa" w:w="1337"/>
            <w:shd w:fill="F7FAFC"/>
            <w:tcMar>
              <w:top w:w="80" w:type="dxa"/>
              <w:bottom w:w="80" w:type="dxa"/>
              <w:left w:w="100" w:type="dxa"/>
              <w:right w:w="100" w:type="dxa"/>
            </w:tcMar>
          </w:tcPr>
          <w:p>
            <w:pPr>
              <w:jc w:val="center"/>
            </w:pPr>
            <w:r>
              <w:rPr>
                <w:rFonts w:ascii="Arial" w:hAnsi="Arial"/>
                <w:color w:val="2D3748"/>
                <w:sz w:val="15"/>
              </w:rPr>
              <w:t>0.3058</w:t>
            </w:r>
          </w:p>
        </w:tc>
        <w:tc>
          <w:tcPr>
            <w:tcW w:type="dxa" w:w="1337"/>
            <w:shd w:fill="F7FAFC"/>
            <w:tcMar>
              <w:top w:w="80" w:type="dxa"/>
              <w:bottom w:w="80" w:type="dxa"/>
              <w:left w:w="100" w:type="dxa"/>
              <w:right w:w="100" w:type="dxa"/>
            </w:tcMar>
          </w:tcPr>
          <w:p>
            <w:pPr>
              <w:jc w:val="center"/>
            </w:pPr>
            <w:r>
              <w:rPr>
                <w:rFonts w:ascii="Arial" w:hAnsi="Arial"/>
                <w:color w:val="2D3748"/>
                <w:sz w:val="15"/>
              </w:rPr>
              <w:t>1.3577</w:t>
            </w:r>
          </w:p>
        </w:tc>
        <w:tc>
          <w:tcPr>
            <w:tcW w:type="dxa" w:w="1337"/>
            <w:shd w:fill="F7FAFC"/>
            <w:tcMar>
              <w:top w:w="80" w:type="dxa"/>
              <w:bottom w:w="80" w:type="dxa"/>
              <w:left w:w="100" w:type="dxa"/>
              <w:right w:w="100" w:type="dxa"/>
            </w:tcMar>
          </w:tcPr>
          <w:p>
            <w:pPr>
              <w:jc w:val="center"/>
            </w:pPr>
            <w:r>
              <w:rPr>
                <w:rFonts w:ascii="Arial" w:hAnsi="Arial"/>
                <w:color w:val="2D3748"/>
                <w:sz w:val="15"/>
              </w:rPr>
              <w:t>0.7684</w:t>
            </w:r>
          </w:p>
        </w:tc>
        <w:tc>
          <w:tcPr>
            <w:tcW w:type="dxa" w:w="1337"/>
            <w:shd w:fill="F7FAFC"/>
            <w:tcMar>
              <w:top w:w="80" w:type="dxa"/>
              <w:bottom w:w="80" w:type="dxa"/>
              <w:left w:w="100" w:type="dxa"/>
              <w:right w:w="100" w:type="dxa"/>
            </w:tcMar>
          </w:tcPr>
          <w:p>
            <w:pPr>
              <w:jc w:val="center"/>
            </w:pPr>
            <w:r>
              <w:rPr>
                <w:rFonts w:ascii="Arial" w:hAnsi="Arial"/>
                <w:color w:val="2D3748"/>
                <w:sz w:val="15"/>
              </w:rPr>
              <w:t>2.399</w:t>
            </w:r>
          </w:p>
        </w:tc>
        <w:tc>
          <w:tcPr>
            <w:tcW w:type="dxa" w:w="1337"/>
            <w:shd w:fill="F7FAFC"/>
            <w:tcMar>
              <w:top w:w="80" w:type="dxa"/>
              <w:bottom w:w="80" w:type="dxa"/>
              <w:left w:w="100" w:type="dxa"/>
              <w:right w:w="100" w:type="dxa"/>
            </w:tcMar>
          </w:tcPr>
          <w:p>
            <w:pPr>
              <w:jc w:val="center"/>
            </w:pPr>
            <w:r>
              <w:rPr>
                <w:rFonts w:ascii="Arial" w:hAnsi="Arial"/>
                <w:color w:val="2D3748"/>
                <w:sz w:val="15"/>
              </w:rPr>
              <w:t>0.2925</w:t>
            </w:r>
          </w:p>
        </w:tc>
        <w:tc>
          <w:tcPr>
            <w:tcW w:type="dxa" w:w="1337"/>
            <w:shd w:fill="F7FAFC"/>
            <w:tcMar>
              <w:top w:w="80" w:type="dxa"/>
              <w:bottom w:w="80" w:type="dxa"/>
              <w:left w:w="100" w:type="dxa"/>
              <w:right w:w="100" w:type="dxa"/>
            </w:tcMar>
          </w:tcPr>
          <w:p>
            <w:pPr>
              <w:jc w:val="left"/>
            </w:pPr>
            <w:r>
              <w:rPr>
                <w:rFonts w:ascii="Arial" w:hAnsi="Arial"/>
                <w:color w:val="2D3748"/>
                <w:sz w:val="15"/>
              </w:rPr>
              <w:t>+1 SD increases odds of recommendation by 35.8%</w:t>
            </w:r>
          </w:p>
        </w:tc>
      </w:tr>
      <w:tr>
        <w:tc>
          <w:tcPr>
            <w:tcW w:type="dxa" w:w="1337"/>
            <w:shd w:fill="FFFFFF"/>
            <w:tcMar>
              <w:top w:w="80" w:type="dxa"/>
              <w:bottom w:w="80" w:type="dxa"/>
              <w:left w:w="100" w:type="dxa"/>
              <w:right w:w="100" w:type="dxa"/>
            </w:tcMar>
          </w:tcPr>
          <w:p>
            <w:pPr>
              <w:jc w:val="left"/>
            </w:pPr>
            <w:r>
              <w:rPr>
                <w:rFonts w:ascii="Arial" w:hAnsi="Arial"/>
                <w:color w:val="2D3748"/>
                <w:sz w:val="15"/>
              </w:rPr>
              <w:t>Division Name_Intimates</w:t>
            </w:r>
          </w:p>
        </w:tc>
        <w:tc>
          <w:tcPr>
            <w:tcW w:type="dxa" w:w="1337"/>
            <w:shd w:fill="FFFFFF"/>
            <w:tcMar>
              <w:top w:w="80" w:type="dxa"/>
              <w:bottom w:w="80" w:type="dxa"/>
              <w:left w:w="100" w:type="dxa"/>
              <w:right w:w="100" w:type="dxa"/>
            </w:tcMar>
          </w:tcPr>
          <w:p>
            <w:pPr>
              <w:jc w:val="center"/>
            </w:pPr>
            <w:r>
              <w:rPr>
                <w:rFonts w:ascii="Arial" w:hAnsi="Arial"/>
                <w:color w:val="2D3748"/>
                <w:sz w:val="15"/>
              </w:rPr>
              <w:t>0.2382</w:t>
            </w:r>
          </w:p>
        </w:tc>
        <w:tc>
          <w:tcPr>
            <w:tcW w:type="dxa" w:w="1337"/>
            <w:shd w:fill="FFFFFF"/>
            <w:tcMar>
              <w:top w:w="80" w:type="dxa"/>
              <w:bottom w:w="80" w:type="dxa"/>
              <w:left w:w="100" w:type="dxa"/>
              <w:right w:w="100" w:type="dxa"/>
            </w:tcMar>
          </w:tcPr>
          <w:p>
            <w:pPr>
              <w:jc w:val="center"/>
            </w:pPr>
            <w:r>
              <w:rPr>
                <w:rFonts w:ascii="Arial" w:hAnsi="Arial"/>
                <w:color w:val="2D3748"/>
                <w:sz w:val="15"/>
              </w:rPr>
              <w:t>1.269</w:t>
            </w:r>
          </w:p>
        </w:tc>
        <w:tc>
          <w:tcPr>
            <w:tcW w:type="dxa" w:w="1337"/>
            <w:shd w:fill="FFFFFF"/>
            <w:tcMar>
              <w:top w:w="80" w:type="dxa"/>
              <w:bottom w:w="80" w:type="dxa"/>
              <w:left w:w="100" w:type="dxa"/>
              <w:right w:w="100" w:type="dxa"/>
            </w:tcMar>
          </w:tcPr>
          <w:p>
            <w:pPr>
              <w:jc w:val="center"/>
            </w:pPr>
            <w:r>
              <w:rPr>
                <w:rFonts w:ascii="Arial" w:hAnsi="Arial"/>
                <w:color w:val="2D3748"/>
                <w:sz w:val="15"/>
              </w:rPr>
              <w:t>0.013</w:t>
            </w:r>
          </w:p>
        </w:tc>
        <w:tc>
          <w:tcPr>
            <w:tcW w:type="dxa" w:w="1337"/>
            <w:shd w:fill="FFFFFF"/>
            <w:tcMar>
              <w:top w:w="80" w:type="dxa"/>
              <w:bottom w:w="80" w:type="dxa"/>
              <w:left w:w="100" w:type="dxa"/>
              <w:right w:w="100" w:type="dxa"/>
            </w:tcMar>
          </w:tcPr>
          <w:p>
            <w:pPr>
              <w:jc w:val="center"/>
            </w:pPr>
            <w:r>
              <w:rPr>
                <w:rFonts w:ascii="Arial" w:hAnsi="Arial"/>
                <w:color w:val="2D3748"/>
                <w:sz w:val="15"/>
              </w:rPr>
              <w:t>123.4985</w:t>
            </w:r>
          </w:p>
        </w:tc>
        <w:tc>
          <w:tcPr>
            <w:tcW w:type="dxa" w:w="1337"/>
            <w:shd w:fill="FFFFFF"/>
            <w:tcMar>
              <w:top w:w="80" w:type="dxa"/>
              <w:bottom w:w="80" w:type="dxa"/>
              <w:left w:w="100" w:type="dxa"/>
              <w:right w:w="100" w:type="dxa"/>
            </w:tcMar>
          </w:tcPr>
          <w:p>
            <w:pPr>
              <w:jc w:val="center"/>
            </w:pPr>
            <w:r>
              <w:rPr>
                <w:rFonts w:ascii="Arial" w:hAnsi="Arial"/>
                <w:color w:val="2D3748"/>
                <w:sz w:val="15"/>
              </w:rPr>
              <w:t>0.9188</w:t>
            </w:r>
          </w:p>
        </w:tc>
        <w:tc>
          <w:tcPr>
            <w:tcW w:type="dxa" w:w="1337"/>
            <w:shd w:fill="FFFFFF"/>
            <w:tcMar>
              <w:top w:w="80" w:type="dxa"/>
              <w:bottom w:w="80" w:type="dxa"/>
              <w:left w:w="100" w:type="dxa"/>
              <w:right w:w="100" w:type="dxa"/>
            </w:tcMar>
          </w:tcPr>
          <w:p>
            <w:pPr>
              <w:jc w:val="left"/>
            </w:pPr>
            <w:r>
              <w:rPr>
                <w:rFonts w:ascii="Arial" w:hAnsi="Arial"/>
                <w:color w:val="2D3748"/>
                <w:sz w:val="15"/>
              </w:rPr>
              <w:t>+1 SD increases odds of recommendation by 26.9%</w:t>
            </w:r>
          </w:p>
        </w:tc>
      </w:tr>
      <w:tr>
        <w:tc>
          <w:tcPr>
            <w:tcW w:type="dxa" w:w="1337"/>
            <w:shd w:fill="F7FAFC"/>
            <w:tcMar>
              <w:top w:w="80" w:type="dxa"/>
              <w:bottom w:w="80" w:type="dxa"/>
              <w:left w:w="100" w:type="dxa"/>
              <w:right w:w="100" w:type="dxa"/>
            </w:tcMar>
          </w:tcPr>
          <w:p>
            <w:pPr>
              <w:jc w:val="left"/>
            </w:pPr>
            <w:r>
              <w:rPr>
                <w:rFonts w:ascii="Arial" w:hAnsi="Arial"/>
                <w:color w:val="2D3748"/>
                <w:sz w:val="15"/>
              </w:rPr>
              <w:t>Division Name_General Petite</w:t>
            </w:r>
          </w:p>
        </w:tc>
        <w:tc>
          <w:tcPr>
            <w:tcW w:type="dxa" w:w="1337"/>
            <w:shd w:fill="F7FAFC"/>
            <w:tcMar>
              <w:top w:w="80" w:type="dxa"/>
              <w:bottom w:w="80" w:type="dxa"/>
              <w:left w:w="100" w:type="dxa"/>
              <w:right w:w="100" w:type="dxa"/>
            </w:tcMar>
          </w:tcPr>
          <w:p>
            <w:pPr>
              <w:jc w:val="center"/>
            </w:pPr>
            <w:r>
              <w:rPr>
                <w:rFonts w:ascii="Arial" w:hAnsi="Arial"/>
                <w:color w:val="2D3748"/>
                <w:sz w:val="15"/>
              </w:rPr>
              <w:t>0.1336</w:t>
            </w:r>
          </w:p>
        </w:tc>
        <w:tc>
          <w:tcPr>
            <w:tcW w:type="dxa" w:w="1337"/>
            <w:shd w:fill="F7FAFC"/>
            <w:tcMar>
              <w:top w:w="80" w:type="dxa"/>
              <w:bottom w:w="80" w:type="dxa"/>
              <w:left w:w="100" w:type="dxa"/>
              <w:right w:w="100" w:type="dxa"/>
            </w:tcMar>
          </w:tcPr>
          <w:p>
            <w:pPr>
              <w:jc w:val="center"/>
            </w:pPr>
            <w:r>
              <w:rPr>
                <w:rFonts w:ascii="Arial" w:hAnsi="Arial"/>
                <w:color w:val="2D3748"/>
                <w:sz w:val="15"/>
              </w:rPr>
              <w:t>1.143</w:t>
            </w:r>
          </w:p>
        </w:tc>
        <w:tc>
          <w:tcPr>
            <w:tcW w:type="dxa" w:w="1337"/>
            <w:shd w:fill="F7FAFC"/>
            <w:tcMar>
              <w:top w:w="80" w:type="dxa"/>
              <w:bottom w:w="80" w:type="dxa"/>
              <w:left w:w="100" w:type="dxa"/>
              <w:right w:w="100" w:type="dxa"/>
            </w:tcMar>
          </w:tcPr>
          <w:p>
            <w:pPr>
              <w:jc w:val="center"/>
            </w:pPr>
            <w:r>
              <w:rPr>
                <w:rFonts w:ascii="Arial" w:hAnsi="Arial"/>
                <w:color w:val="2D3748"/>
                <w:sz w:val="15"/>
              </w:rPr>
              <w:t>0.5412</w:t>
            </w:r>
          </w:p>
        </w:tc>
        <w:tc>
          <w:tcPr>
            <w:tcW w:type="dxa" w:w="1337"/>
            <w:shd w:fill="F7FAFC"/>
            <w:tcMar>
              <w:top w:w="80" w:type="dxa"/>
              <w:bottom w:w="80" w:type="dxa"/>
              <w:left w:w="100" w:type="dxa"/>
              <w:right w:w="100" w:type="dxa"/>
            </w:tcMar>
          </w:tcPr>
          <w:p>
            <w:pPr>
              <w:jc w:val="center"/>
            </w:pPr>
            <w:r>
              <w:rPr>
                <w:rFonts w:ascii="Arial" w:hAnsi="Arial"/>
                <w:color w:val="2D3748"/>
                <w:sz w:val="15"/>
              </w:rPr>
              <w:t>2.4138</w:t>
            </w:r>
          </w:p>
        </w:tc>
        <w:tc>
          <w:tcPr>
            <w:tcW w:type="dxa" w:w="1337"/>
            <w:shd w:fill="F7FAFC"/>
            <w:tcMar>
              <w:top w:w="80" w:type="dxa"/>
              <w:bottom w:w="80" w:type="dxa"/>
              <w:left w:w="100" w:type="dxa"/>
              <w:right w:w="100" w:type="dxa"/>
            </w:tcMar>
          </w:tcPr>
          <w:p>
            <w:pPr>
              <w:jc w:val="center"/>
            </w:pPr>
            <w:r>
              <w:rPr>
                <w:rFonts w:ascii="Arial" w:hAnsi="Arial"/>
                <w:color w:val="2D3748"/>
                <w:sz w:val="15"/>
              </w:rPr>
              <w:t>0.7261</w:t>
            </w:r>
          </w:p>
        </w:tc>
        <w:tc>
          <w:tcPr>
            <w:tcW w:type="dxa" w:w="1337"/>
            <w:shd w:fill="F7FAFC"/>
            <w:tcMar>
              <w:top w:w="80" w:type="dxa"/>
              <w:bottom w:w="80" w:type="dxa"/>
              <w:left w:w="100" w:type="dxa"/>
              <w:right w:w="100" w:type="dxa"/>
            </w:tcMar>
          </w:tcPr>
          <w:p>
            <w:pPr>
              <w:jc w:val="left"/>
            </w:pPr>
            <w:r>
              <w:rPr>
                <w:rFonts w:ascii="Arial" w:hAnsi="Arial"/>
                <w:color w:val="2D3748"/>
                <w:sz w:val="15"/>
              </w:rPr>
              <w:t>+1 SD increases odds of recommendation by 14.3%</w:t>
            </w:r>
          </w:p>
        </w:tc>
      </w:tr>
      <w:tr>
        <w:tc>
          <w:tcPr>
            <w:tcW w:type="dxa" w:w="1337"/>
            <w:shd w:fill="FFFFFF"/>
            <w:tcMar>
              <w:top w:w="80" w:type="dxa"/>
              <w:bottom w:w="80" w:type="dxa"/>
              <w:left w:w="100" w:type="dxa"/>
              <w:right w:w="100" w:type="dxa"/>
            </w:tcMar>
          </w:tcPr>
          <w:p>
            <w:pPr>
              <w:jc w:val="left"/>
            </w:pPr>
            <w:r>
              <w:rPr>
                <w:rFonts w:ascii="Arial" w:hAnsi="Arial"/>
                <w:color w:val="2D3748"/>
                <w:sz w:val="15"/>
              </w:rPr>
              <w:t>Age</w:t>
            </w:r>
          </w:p>
        </w:tc>
        <w:tc>
          <w:tcPr>
            <w:tcW w:type="dxa" w:w="1337"/>
            <w:shd w:fill="FFFFFF"/>
            <w:tcMar>
              <w:top w:w="80" w:type="dxa"/>
              <w:bottom w:w="80" w:type="dxa"/>
              <w:left w:w="100" w:type="dxa"/>
              <w:right w:w="100" w:type="dxa"/>
            </w:tcMar>
          </w:tcPr>
          <w:p>
            <w:pPr>
              <w:jc w:val="center"/>
            </w:pPr>
            <w:r>
              <w:rPr>
                <w:rFonts w:ascii="Arial" w:hAnsi="Arial"/>
                <w:color w:val="2D3748"/>
                <w:sz w:val="15"/>
              </w:rPr>
              <w:t>0.1321</w:t>
            </w:r>
          </w:p>
        </w:tc>
        <w:tc>
          <w:tcPr>
            <w:tcW w:type="dxa" w:w="1337"/>
            <w:shd w:fill="FFFFFF"/>
            <w:tcMar>
              <w:top w:w="80" w:type="dxa"/>
              <w:bottom w:w="80" w:type="dxa"/>
              <w:left w:w="100" w:type="dxa"/>
              <w:right w:w="100" w:type="dxa"/>
            </w:tcMar>
          </w:tcPr>
          <w:p>
            <w:pPr>
              <w:jc w:val="center"/>
            </w:pPr>
            <w:r>
              <w:rPr>
                <w:rFonts w:ascii="Arial" w:hAnsi="Arial"/>
                <w:color w:val="2D3748"/>
                <w:sz w:val="15"/>
              </w:rPr>
              <w:t>1.1412</w:t>
            </w:r>
          </w:p>
        </w:tc>
        <w:tc>
          <w:tcPr>
            <w:tcW w:type="dxa" w:w="1337"/>
            <w:shd w:fill="FFFFFF"/>
            <w:tcMar>
              <w:top w:w="80" w:type="dxa"/>
              <w:bottom w:w="80" w:type="dxa"/>
              <w:left w:w="100" w:type="dxa"/>
              <w:right w:w="100" w:type="dxa"/>
            </w:tcMar>
          </w:tcPr>
          <w:p>
            <w:pPr>
              <w:jc w:val="center"/>
            </w:pPr>
            <w:r>
              <w:rPr>
                <w:rFonts w:ascii="Arial" w:hAnsi="Arial"/>
                <w:color w:val="2D3748"/>
                <w:sz w:val="15"/>
              </w:rPr>
              <w:t>0.7929</w:t>
            </w:r>
          </w:p>
        </w:tc>
        <w:tc>
          <w:tcPr>
            <w:tcW w:type="dxa" w:w="1337"/>
            <w:shd w:fill="FFFFFF"/>
            <w:tcMar>
              <w:top w:w="80" w:type="dxa"/>
              <w:bottom w:w="80" w:type="dxa"/>
              <w:left w:w="100" w:type="dxa"/>
              <w:right w:w="100" w:type="dxa"/>
            </w:tcMar>
          </w:tcPr>
          <w:p>
            <w:pPr>
              <w:jc w:val="center"/>
            </w:pPr>
            <w:r>
              <w:rPr>
                <w:rFonts w:ascii="Arial" w:hAnsi="Arial"/>
                <w:color w:val="2D3748"/>
                <w:sz w:val="15"/>
              </w:rPr>
              <w:t>1.6427</w:t>
            </w:r>
          </w:p>
        </w:tc>
        <w:tc>
          <w:tcPr>
            <w:tcW w:type="dxa" w:w="1337"/>
            <w:shd w:fill="FFFFFF"/>
            <w:tcMar>
              <w:top w:w="80" w:type="dxa"/>
              <w:bottom w:w="80" w:type="dxa"/>
              <w:left w:w="100" w:type="dxa"/>
              <w:right w:w="100" w:type="dxa"/>
            </w:tcMar>
          </w:tcPr>
          <w:p>
            <w:pPr>
              <w:jc w:val="center"/>
            </w:pPr>
            <w:r>
              <w:rPr>
                <w:rFonts w:ascii="Arial" w:hAnsi="Arial"/>
                <w:color w:val="2D3748"/>
                <w:sz w:val="15"/>
              </w:rPr>
              <w:t>0.4771</w:t>
            </w:r>
          </w:p>
        </w:tc>
        <w:tc>
          <w:tcPr>
            <w:tcW w:type="dxa" w:w="1337"/>
            <w:shd w:fill="FFFFFF"/>
            <w:tcMar>
              <w:top w:w="80" w:type="dxa"/>
              <w:bottom w:w="80" w:type="dxa"/>
              <w:left w:w="100" w:type="dxa"/>
              <w:right w:w="100" w:type="dxa"/>
            </w:tcMar>
          </w:tcPr>
          <w:p>
            <w:pPr>
              <w:jc w:val="left"/>
            </w:pPr>
            <w:r>
              <w:rPr>
                <w:rFonts w:ascii="Arial" w:hAnsi="Arial"/>
                <w:color w:val="2D3748"/>
                <w:sz w:val="15"/>
              </w:rPr>
              <w:t>+1 SD increases odds of recommendation by 14.1%</w:t>
            </w:r>
          </w:p>
        </w:tc>
      </w:tr>
      <w:tr>
        <w:tc>
          <w:tcPr>
            <w:tcW w:type="dxa" w:w="1337"/>
            <w:shd w:fill="F7FAFC"/>
            <w:tcMar>
              <w:top w:w="80" w:type="dxa"/>
              <w:bottom w:w="80" w:type="dxa"/>
              <w:left w:w="100" w:type="dxa"/>
              <w:right w:w="100" w:type="dxa"/>
            </w:tcMar>
          </w:tcPr>
          <w:p>
            <w:pPr>
              <w:jc w:val="left"/>
            </w:pPr>
            <w:r>
              <w:rPr>
                <w:rFonts w:ascii="Arial" w:hAnsi="Arial"/>
                <w:color w:val="2D3748"/>
                <w:sz w:val="15"/>
              </w:rPr>
              <w:t>Department Name_Intimate</w:t>
            </w:r>
          </w:p>
        </w:tc>
        <w:tc>
          <w:tcPr>
            <w:tcW w:type="dxa" w:w="1337"/>
            <w:shd w:fill="F7FAFC"/>
            <w:tcMar>
              <w:top w:w="80" w:type="dxa"/>
              <w:bottom w:w="80" w:type="dxa"/>
              <w:left w:w="100" w:type="dxa"/>
              <w:right w:w="100" w:type="dxa"/>
            </w:tcMar>
          </w:tcPr>
          <w:p>
            <w:pPr>
              <w:jc w:val="center"/>
            </w:pPr>
            <w:r>
              <w:rPr>
                <w:rFonts w:ascii="Arial" w:hAnsi="Arial"/>
                <w:color w:val="2D3748"/>
                <w:sz w:val="15"/>
              </w:rPr>
              <w:t>0.1058</w:t>
            </w:r>
          </w:p>
        </w:tc>
        <w:tc>
          <w:tcPr>
            <w:tcW w:type="dxa" w:w="1337"/>
            <w:shd w:fill="F7FAFC"/>
            <w:tcMar>
              <w:top w:w="80" w:type="dxa"/>
              <w:bottom w:w="80" w:type="dxa"/>
              <w:left w:w="100" w:type="dxa"/>
              <w:right w:w="100" w:type="dxa"/>
            </w:tcMar>
          </w:tcPr>
          <w:p>
            <w:pPr>
              <w:jc w:val="center"/>
            </w:pPr>
            <w:r>
              <w:rPr>
                <w:rFonts w:ascii="Arial" w:hAnsi="Arial"/>
                <w:color w:val="2D3748"/>
                <w:sz w:val="15"/>
              </w:rPr>
              <w:t>1.1116</w:t>
            </w:r>
          </w:p>
        </w:tc>
        <w:tc>
          <w:tcPr>
            <w:tcW w:type="dxa" w:w="1337"/>
            <w:shd w:fill="F7FAFC"/>
            <w:tcMar>
              <w:top w:w="80" w:type="dxa"/>
              <w:bottom w:w="80" w:type="dxa"/>
              <w:left w:w="100" w:type="dxa"/>
              <w:right w:w="100" w:type="dxa"/>
            </w:tcMar>
          </w:tcPr>
          <w:p>
            <w:pPr>
              <w:jc w:val="center"/>
            </w:pPr>
            <w:r>
              <w:rPr>
                <w:rFonts w:ascii="Arial" w:hAnsi="Arial"/>
                <w:color w:val="2D3748"/>
                <w:sz w:val="15"/>
              </w:rPr>
              <w:t>0.0134</w:t>
            </w:r>
          </w:p>
        </w:tc>
        <w:tc>
          <w:tcPr>
            <w:tcW w:type="dxa" w:w="1337"/>
            <w:shd w:fill="F7FAFC"/>
            <w:tcMar>
              <w:top w:w="80" w:type="dxa"/>
              <w:bottom w:w="80" w:type="dxa"/>
              <w:left w:w="100" w:type="dxa"/>
              <w:right w:w="100" w:type="dxa"/>
            </w:tcMar>
          </w:tcPr>
          <w:p>
            <w:pPr>
              <w:jc w:val="center"/>
            </w:pPr>
            <w:r>
              <w:rPr>
                <w:rFonts w:ascii="Arial" w:hAnsi="Arial"/>
                <w:color w:val="2D3748"/>
                <w:sz w:val="15"/>
              </w:rPr>
              <w:t>92.035</w:t>
            </w:r>
          </w:p>
        </w:tc>
        <w:tc>
          <w:tcPr>
            <w:tcW w:type="dxa" w:w="1337"/>
            <w:shd w:fill="F7FAFC"/>
            <w:tcMar>
              <w:top w:w="80" w:type="dxa"/>
              <w:bottom w:w="80" w:type="dxa"/>
              <w:left w:w="100" w:type="dxa"/>
              <w:right w:w="100" w:type="dxa"/>
            </w:tcMar>
          </w:tcPr>
          <w:p>
            <w:pPr>
              <w:jc w:val="center"/>
            </w:pPr>
            <w:r>
              <w:rPr>
                <w:rFonts w:ascii="Arial" w:hAnsi="Arial"/>
                <w:color w:val="2D3748"/>
                <w:sz w:val="15"/>
              </w:rPr>
              <w:t>0.9625</w:t>
            </w:r>
          </w:p>
        </w:tc>
        <w:tc>
          <w:tcPr>
            <w:tcW w:type="dxa" w:w="1337"/>
            <w:shd w:fill="F7FAFC"/>
            <w:tcMar>
              <w:top w:w="80" w:type="dxa"/>
              <w:bottom w:w="80" w:type="dxa"/>
              <w:left w:w="100" w:type="dxa"/>
              <w:right w:w="100" w:type="dxa"/>
            </w:tcMar>
          </w:tcPr>
          <w:p>
            <w:pPr>
              <w:jc w:val="left"/>
            </w:pPr>
            <w:r>
              <w:rPr>
                <w:rFonts w:ascii="Arial" w:hAnsi="Arial"/>
                <w:color w:val="2D3748"/>
                <w:sz w:val="15"/>
              </w:rPr>
              <w:t>+1 SD increases odds of recommendation by 11.2%</w:t>
            </w:r>
          </w:p>
        </w:tc>
      </w:tr>
    </w:tbl>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odds_ratios_interpretability_forest_plot.png"/>
                    <pic:cNvPicPr/>
                  </pic:nvPicPr>
                  <pic:blipFill>
                    <a:blip r:embed="rId11"/>
                    <a:stretch>
                      <a:fillRect/>
                    </a:stretch>
                  </pic:blipFill>
                  <pic:spPr>
                    <a:xfrm>
                      <a:off x="0" y="0"/>
                      <a:ext cx="5486400" cy="3657600"/>
                    </a:xfrm>
                    <a:prstGeom prst="rect"/>
                  </pic:spPr>
                </pic:pic>
              </a:graphicData>
            </a:graphic>
          </wp:inline>
        </w:drawing>
      </w:r>
    </w:p>
    <w:p>
      <w:pPr>
        <w:jc w:val="center"/>
      </w:pPr>
      <w:r>
        <w:rPr>
          <w:i/>
          <w:sz w:val="18"/>
        </w:rPr>
        <w:t>Figure 3: Forest Plot of Odds Ratios with 95% Confidence Intervals.</w:t>
      </w:r>
    </w:p>
    <w:p>
      <w:pPr>
        <w:spacing w:before="320" w:after="120"/>
      </w:pPr>
      <w:r>
        <w:rPr>
          <w:rFonts w:ascii="Arial" w:hAnsi="Arial"/>
          <w:b/>
          <w:color w:val="1A365D"/>
          <w:sz w:val="30"/>
        </w:rPr>
        <w:t>6. Actionable Merchandising Strategy</w:t>
      </w:r>
    </w:p>
    <w:p>
      <w:pPr>
        <w:spacing w:line="276" w:lineRule="auto" w:after="120"/>
      </w:pPr>
      <w:r>
        <w:rPr>
          <w:rFonts w:ascii="Arial" w:hAnsi="Arial"/>
          <w:color w:val="2D3748"/>
          <w:sz w:val="21"/>
        </w:rPr>
        <w:t>1. Inventory Quality Triage: Use the SMOTE-balanced model to scan incoming reviews in real-time. Reviews triggering negative recommendation odds should automatically route to product QA teams.</w:t>
        <w:br/>
        <w:t>2. Transparent Product Scorecards: The exact Odds Ratios empower category managers to understand why specific dresses or tops receive low recommendations, isolating whether the cause is fabric feel ('cheap', 'scratchy') or sizing mismatch ('tight', 'small').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