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18096"/>
          <w:sz w:val="22"/>
        </w:rPr>
        <w:t>PROJECT REPORT</w:t>
      </w:r>
    </w:p>
    <w:p>
      <w:pPr>
        <w:spacing w:after="40"/>
      </w:pPr>
      <w:r>
        <w:rPr>
          <w:rFonts w:ascii="Arial" w:hAnsi="Arial"/>
          <w:b/>
          <w:color w:val="1A365D"/>
          <w:sz w:val="40"/>
        </w:rPr>
        <w:t>Women's Clothing: Trends and Analysis in the Fashion Industry</w:t>
      </w:r>
    </w:p>
    <w:p>
      <w:pPr>
        <w:spacing w:after="80"/>
      </w:pPr>
      <w:r>
        <w:rPr>
          <w:rFonts w:ascii="Arial" w:hAnsi="Arial"/>
          <w:i/>
          <w:color w:val="2D3748"/>
          <w:sz w:val="26"/>
        </w:rPr>
        <w:t>Linear Regression Modeling for Yearly Spend Prediction: Feature Selection, Interaction Terms, and Cross-Validation Robustness</w:t>
      </w:r>
    </w:p>
    <w:p>
      <w:pPr>
        <w:spacing w:after="280"/>
      </w:pPr>
      <w:r>
        <w:rPr>
          <w:rFonts w:ascii="Arial" w:hAnsi="Arial"/>
          <w:color w:val="718096"/>
          <w:sz w:val="19"/>
        </w:rPr>
        <w:t>Task ID: Task 2 (Assigned 21-10-2026) | Domain: Fashion E-Commerce Customer Analytics</w:t>
      </w:r>
    </w:p>
    <w:p>
      <w:pPr>
        <w:pStyle w:val="Heading1"/>
        <w:keepNext/>
        <w:spacing w:before="280" w:after="120"/>
      </w:pPr>
      <w:r>
        <w:rPr>
          <w:rFonts w:ascii="Arial" w:hAnsi="Arial"/>
          <w:b/>
          <w:color w:val="1A365D"/>
          <w:sz w:val="30"/>
        </w:rPr>
        <w:t>Executive Summary</w:t>
      </w:r>
    </w:p>
    <w:p>
      <w:pPr>
        <w:spacing w:after="80" w:line="276" w:lineRule="auto"/>
      </w:pPr>
      <w:r>
        <w:rPr>
          <w:rFonts w:ascii="Arial" w:hAnsi="Arial"/>
          <w:i w:val="0"/>
          <w:color w:val="2D3748"/>
          <w:sz w:val="21"/>
        </w:rPr>
        <w:t>This project develops and validates an enterprise-grade Linear Regression model to forecast customer annual monetary spend (Yearly_Amount_Spent) in the Women's Clothing e-commerce sector. Addressing the core limitations of standard regression modeling, this investigation integrates four advanced feature selection methodologies (Correlation/VIF filtering, F-regression, Mutual Information, Lasso L1 regularization, and Sequential Forward Selection), formulates and tests behavioral interaction terms, and guarantees generalizability through a 5x5 Repeated K-Fold Cross-Validation protocol.</w:t>
      </w:r>
    </w:p>
    <w:p>
      <w:pPr>
        <w:spacing w:after="80" w:line="276" w:lineRule="auto"/>
      </w:pPr>
      <w:r>
        <w:rPr>
          <w:rFonts w:ascii="Arial" w:hAnsi="Arial"/>
          <w:i w:val="0"/>
          <w:color w:val="2D3748"/>
          <w:sz w:val="21"/>
        </w:rPr>
        <w:t>Diagnostic multicollinearity screening detected extreme variance inflation in unstructured text metrics (Review_Length and Review_Word_Count with VIF &gt; 80.0), which were pruned to preserve model stability. Advanced feature selection converged on seven core predictors capturing customer loyalty, mobile engagement, session duration, order frequency, basket value, and demographics. Testing interaction terms revealed a statistically significant synergy between mobile app usage and customer membership tenure (p &lt; 0.0001, partial F = 262.35), demonstrating that mobile engagement amplifies spending gains among loyal customers.</w:t>
      </w:r>
    </w:p>
    <w:p>
      <w:pPr>
        <w:spacing w:after="80" w:line="276" w:lineRule="auto"/>
      </w:pPr>
      <w:r>
        <w:rPr>
          <w:rFonts w:ascii="Arial" w:hAnsi="Arial"/>
          <w:i w:val="0"/>
          <w:color w:val="2D3748"/>
          <w:sz w:val="21"/>
        </w:rPr>
        <w:t>In 25 repeated cross-validation evaluations, the final parsimonious Interaction Linear Regression model attained a mean R² of 0.9647 (±0.0011), a Root Mean Squared Error of $27.63 (±0.44), and a Mean Absolute Error of $21.90 (±0.19), consistently outperforming baseline OLS and matching regularized Ridge/Lasso benchmarks. The report outlines concrete merchandising, mobile product, and loyalty tier recommendations to capitalize on these empirical findings.</w:t>
      </w:r>
    </w:p>
    <w:p>
      <w:pPr>
        <w:pStyle w:val="Heading1"/>
        <w:keepNext/>
        <w:spacing w:before="280" w:after="120"/>
      </w:pPr>
      <w:r>
        <w:rPr>
          <w:rFonts w:ascii="Arial" w:hAnsi="Arial"/>
          <w:b/>
          <w:color w:val="1A365D"/>
          <w:sz w:val="30"/>
        </w:rPr>
        <w:t>1. Project Overview &amp; Assigned Objectives</w:t>
      </w:r>
    </w:p>
    <w:p>
      <w:pPr>
        <w:pStyle w:val="Heading2"/>
        <w:keepNext/>
        <w:spacing w:before="200" w:after="80"/>
      </w:pPr>
      <w:r>
        <w:rPr>
          <w:rFonts w:ascii="Arial" w:hAnsi="Arial"/>
          <w:b/>
          <w:color w:val="1A365D"/>
          <w:sz w:val="25"/>
        </w:rPr>
        <w:t>1.1 Project Title</w:t>
      </w:r>
    </w:p>
    <w:p>
      <w:pPr>
        <w:spacing w:after="80" w:line="276" w:lineRule="auto"/>
      </w:pPr>
      <w:r>
        <w:rPr>
          <w:rFonts w:ascii="Arial" w:hAnsi="Arial"/>
          <w:i w:val="0"/>
          <w:color w:val="2D3748"/>
          <w:sz w:val="21"/>
        </w:rPr>
        <w:t>Women's Clothing: Trends and Analysis in the Fashion Industry - Regression Modeling and Feature Engineering.</w:t>
      </w:r>
    </w:p>
    <w:p>
      <w:pPr>
        <w:pStyle w:val="Heading2"/>
        <w:keepNext/>
        <w:spacing w:before="200" w:after="80"/>
      </w:pPr>
      <w:r>
        <w:rPr>
          <w:rFonts w:ascii="Arial" w:hAnsi="Arial"/>
          <w:b/>
          <w:color w:val="1A365D"/>
          <w:sz w:val="25"/>
        </w:rPr>
        <w:t>1.2 Assigned Task Mandate</w:t>
      </w:r>
    </w:p>
    <w:p>
      <w:pPr>
        <w:spacing w:after="80" w:line="276" w:lineRule="auto"/>
      </w:pPr>
      <w:r>
        <w:rPr>
          <w:rFonts w:ascii="Arial" w:hAnsi="Arial"/>
          <w:i w:val="0"/>
          <w:color w:val="2D3748"/>
          <w:sz w:val="21"/>
        </w:rPr>
        <w:t>Train a Linear Regression model to predict yearly amount spent by applying advanced feature selection techniques, testing interaction terms, and ensuring robustness through cross-validation.</w:t>
      </w:r>
    </w:p>
    <w:p>
      <w:pPr>
        <w:pStyle w:val="Heading2"/>
        <w:keepNext/>
        <w:spacing w:before="200" w:after="80"/>
      </w:pPr>
      <w:r>
        <w:rPr>
          <w:rFonts w:ascii="Arial" w:hAnsi="Arial"/>
          <w:b/>
          <w:color w:val="1A365D"/>
          <w:sz w:val="25"/>
        </w:rPr>
        <w:t>1.3 Analytical Objectives</w:t>
      </w:r>
    </w:p>
    <w:p>
      <w:pPr>
        <w:spacing w:after="80" w:line="276" w:lineRule="auto"/>
      </w:pPr>
      <w:r>
        <w:rPr>
          <w:rFonts w:ascii="Arial" w:hAnsi="Arial"/>
          <w:i w:val="0"/>
          <w:color w:val="2D3748"/>
          <w:sz w:val="21"/>
        </w:rPr>
        <w:t>1. Profile candidate predictors, assess multicollinearity using Variance Inflation Factors (VIF), and remove redundant variables.</w:t>
      </w:r>
    </w:p>
    <w:p>
      <w:pPr>
        <w:spacing w:after="80" w:line="276" w:lineRule="auto"/>
      </w:pPr>
      <w:r>
        <w:rPr>
          <w:rFonts w:ascii="Arial" w:hAnsi="Arial"/>
          <w:i w:val="0"/>
          <w:color w:val="2D3748"/>
          <w:sz w:val="21"/>
        </w:rPr>
        <w:t>2. Implement multi-paradigm feature selection (Filter, Embedded Lasso/Ridge, and Wrapper Sequential Forward Selection) to identify the optimal predictor subset.</w:t>
      </w:r>
    </w:p>
    <w:p>
      <w:pPr>
        <w:spacing w:after="80" w:line="276" w:lineRule="auto"/>
      </w:pPr>
      <w:r>
        <w:rPr>
          <w:rFonts w:ascii="Arial" w:hAnsi="Arial"/>
          <w:i w:val="0"/>
          <w:color w:val="2D3748"/>
          <w:sz w:val="21"/>
        </w:rPr>
        <w:t>3. Formulate domain-specific interaction hypotheses, test interaction coefficients with statsmodels OLS, and evaluate model enhancements using partial F-tests and Information Criteria (AIC/BIC).</w:t>
      </w:r>
    </w:p>
    <w:p>
      <w:pPr>
        <w:spacing w:after="80" w:line="276" w:lineRule="auto"/>
      </w:pPr>
      <w:r>
        <w:rPr>
          <w:rFonts w:ascii="Arial" w:hAnsi="Arial"/>
          <w:i w:val="0"/>
          <w:color w:val="2D3748"/>
          <w:sz w:val="21"/>
        </w:rPr>
        <w:t>4. Verify regression stability and avoid overfitting across a 5x5 Repeated K-Fold cross-validation protocol (25 iterations).</w:t>
      </w:r>
    </w:p>
    <w:p>
      <w:pPr>
        <w:spacing w:after="80" w:line="276" w:lineRule="auto"/>
      </w:pPr>
      <w:r>
        <w:rPr>
          <w:rFonts w:ascii="Arial" w:hAnsi="Arial"/>
          <w:i w:val="0"/>
          <w:color w:val="2D3748"/>
          <w:sz w:val="21"/>
        </w:rPr>
        <w:t>5. Interpret final regression parameters into actionable business takeaways for fashion retail leadership.</w:t>
      </w:r>
    </w:p>
    <w:p>
      <w:pPr>
        <w:pStyle w:val="Heading1"/>
        <w:keepNext/>
        <w:spacing w:before="280" w:after="120"/>
      </w:pPr>
      <w:r>
        <w:rPr>
          <w:rFonts w:ascii="Arial" w:hAnsi="Arial"/>
          <w:b/>
          <w:color w:val="1A365D"/>
          <w:sz w:val="30"/>
        </w:rPr>
        <w:t>2. Exploratory Correlation &amp; Multicollinearity Screening</w:t>
      </w:r>
    </w:p>
    <w:p>
      <w:pPr>
        <w:spacing w:after="80" w:line="276" w:lineRule="auto"/>
      </w:pPr>
      <w:r>
        <w:rPr>
          <w:rFonts w:ascii="Arial" w:hAnsi="Arial"/>
          <w:i w:val="0"/>
          <w:color w:val="2D3748"/>
          <w:sz w:val="21"/>
        </w:rPr>
        <w:t>Before feature selection, candidate features were evaluated for collinear redundancy. Uncontrolled collinearity inflates standard errors, flips parameter signs, and harms model interpretability. Table 1 details Pearson correlations with the target and Variance Inflation Factors (VIF).</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A365D"/>
          </w:tcPr>
          <w:p>
            <w:pPr>
              <w:spacing w:before="60" w:after="60"/>
            </w:pPr>
            <w:r>
              <w:rPr>
                <w:rFonts w:ascii="Arial" w:hAnsi="Arial"/>
                <w:b/>
                <w:color w:val="FFFFFF"/>
                <w:sz w:val="19"/>
              </w:rPr>
              <w:t>Candidate Predictor</w:t>
            </w:r>
          </w:p>
        </w:tc>
        <w:tc>
          <w:tcPr>
            <w:tcW w:type="dxa" w:w="2340"/>
            <w:shd w:fill="1A365D"/>
          </w:tcPr>
          <w:p>
            <w:pPr>
              <w:spacing w:before="60" w:after="60"/>
            </w:pPr>
            <w:r>
              <w:rPr>
                <w:rFonts w:ascii="Arial" w:hAnsi="Arial"/>
                <w:b/>
                <w:color w:val="FFFFFF"/>
                <w:sz w:val="19"/>
              </w:rPr>
              <w:t>Target Correlation (r)</w:t>
            </w:r>
          </w:p>
        </w:tc>
        <w:tc>
          <w:tcPr>
            <w:tcW w:type="dxa" w:w="2340"/>
            <w:shd w:fill="1A365D"/>
          </w:tcPr>
          <w:p>
            <w:pPr>
              <w:spacing w:before="60" w:after="60"/>
            </w:pPr>
            <w:r>
              <w:rPr>
                <w:rFonts w:ascii="Arial" w:hAnsi="Arial"/>
                <w:b/>
                <w:color w:val="FFFFFF"/>
                <w:sz w:val="19"/>
              </w:rPr>
              <w:t>VIF Value</w:t>
            </w:r>
          </w:p>
        </w:tc>
        <w:tc>
          <w:tcPr>
            <w:tcW w:type="dxa" w:w="2340"/>
            <w:shd w:fill="1A365D"/>
          </w:tcPr>
          <w:p>
            <w:pPr>
              <w:spacing w:before="60" w:after="60"/>
            </w:pPr>
            <w:r>
              <w:rPr>
                <w:rFonts w:ascii="Arial" w:hAnsi="Arial"/>
                <w:b/>
                <w:color w:val="FFFFFF"/>
                <w:sz w:val="19"/>
              </w:rPr>
              <w:t>Multicollinearity Status</w:t>
            </w:r>
          </w:p>
        </w:tc>
      </w:tr>
      <w:tr>
        <w:trPr>
          <w:cantSplit/>
        </w:trPr>
        <w:tc>
          <w:tcPr>
            <w:tcW w:type="dxa" w:w="2340"/>
            <w:shd w:fill="F7FAFC"/>
          </w:tcPr>
          <w:p>
            <w:pPr>
              <w:spacing w:before="60" w:after="60"/>
            </w:pPr>
            <w:r>
              <w:rPr>
                <w:rFonts w:ascii="Arial" w:hAnsi="Arial"/>
                <w:color w:val="2D3748"/>
                <w:sz w:val="19"/>
              </w:rPr>
              <w:t>Length_of_Membership</w:t>
            </w:r>
          </w:p>
        </w:tc>
        <w:tc>
          <w:tcPr>
            <w:tcW w:type="dxa" w:w="2340"/>
            <w:shd w:fill="F7FAFC"/>
          </w:tcPr>
          <w:p>
            <w:pPr>
              <w:spacing w:before="60" w:after="60"/>
            </w:pPr>
            <w:r>
              <w:rPr>
                <w:rFonts w:ascii="Arial" w:hAnsi="Arial"/>
                <w:color w:val="2D3748"/>
                <w:sz w:val="19"/>
              </w:rPr>
              <w:t>+0.8452</w:t>
            </w:r>
          </w:p>
        </w:tc>
        <w:tc>
          <w:tcPr>
            <w:tcW w:type="dxa" w:w="2340"/>
            <w:shd w:fill="F7FAFC"/>
          </w:tcPr>
          <w:p>
            <w:pPr>
              <w:spacing w:before="60" w:after="60"/>
            </w:pPr>
            <w:r>
              <w:rPr>
                <w:rFonts w:ascii="Arial" w:hAnsi="Arial"/>
                <w:color w:val="2D3748"/>
                <w:sz w:val="19"/>
              </w:rPr>
              <w:t>5.20</w:t>
            </w:r>
          </w:p>
        </w:tc>
        <w:tc>
          <w:tcPr>
            <w:tcW w:type="dxa" w:w="2340"/>
            <w:shd w:fill="F7FAFC"/>
          </w:tcPr>
          <w:p>
            <w:pPr>
              <w:spacing w:before="60" w:after="60"/>
            </w:pPr>
            <w:r>
              <w:rPr>
                <w:rFonts w:ascii="Arial" w:hAnsi="Arial"/>
                <w:color w:val="2D3748"/>
                <w:sz w:val="19"/>
              </w:rPr>
              <w:t>High (VIF &gt; 5)</w:t>
            </w:r>
          </w:p>
        </w:tc>
      </w:tr>
      <w:tr>
        <w:trPr>
          <w:cantSplit/>
        </w:trPr>
        <w:tc>
          <w:tcPr>
            <w:tcW w:type="dxa" w:w="2340"/>
            <w:shd w:fill="FFFFFF"/>
          </w:tcPr>
          <w:p>
            <w:pPr>
              <w:spacing w:before="60" w:after="60"/>
            </w:pPr>
            <w:r>
              <w:rPr>
                <w:rFonts w:ascii="Arial" w:hAnsi="Arial"/>
                <w:color w:val="2D3748"/>
                <w:sz w:val="19"/>
              </w:rPr>
              <w:t>Annual_Orders</w:t>
            </w:r>
          </w:p>
        </w:tc>
        <w:tc>
          <w:tcPr>
            <w:tcW w:type="dxa" w:w="2340"/>
            <w:shd w:fill="FFFFFF"/>
          </w:tcPr>
          <w:p>
            <w:pPr>
              <w:spacing w:before="60" w:after="60"/>
            </w:pPr>
            <w:r>
              <w:rPr>
                <w:rFonts w:ascii="Arial" w:hAnsi="Arial"/>
                <w:color w:val="2D3748"/>
                <w:sz w:val="19"/>
              </w:rPr>
              <w:t>+0.7747</w:t>
            </w:r>
          </w:p>
        </w:tc>
        <w:tc>
          <w:tcPr>
            <w:tcW w:type="dxa" w:w="2340"/>
            <w:shd w:fill="FFFFFF"/>
          </w:tcPr>
          <w:p>
            <w:pPr>
              <w:spacing w:before="60" w:after="60"/>
            </w:pPr>
            <w:r>
              <w:rPr>
                <w:rFonts w:ascii="Arial" w:hAnsi="Arial"/>
                <w:color w:val="2D3748"/>
                <w:sz w:val="19"/>
              </w:rPr>
              <w:t>2.90</w:t>
            </w:r>
          </w:p>
        </w:tc>
        <w:tc>
          <w:tcPr>
            <w:tcW w:type="dxa" w:w="2340"/>
            <w:shd w:fill="FFFFFF"/>
          </w:tcPr>
          <w:p>
            <w:pPr>
              <w:spacing w:before="60" w:after="60"/>
            </w:pPr>
            <w:r>
              <w:rPr>
                <w:rFonts w:ascii="Arial" w:hAnsi="Arial"/>
                <w:color w:val="2D3748"/>
                <w:sz w:val="19"/>
              </w:rPr>
              <w:t>Acceptable (VIF &lt;= 5)</w:t>
            </w:r>
          </w:p>
        </w:tc>
      </w:tr>
      <w:tr>
        <w:trPr>
          <w:cantSplit/>
        </w:trPr>
        <w:tc>
          <w:tcPr>
            <w:tcW w:type="dxa" w:w="2340"/>
            <w:shd w:fill="F7FAFC"/>
          </w:tcPr>
          <w:p>
            <w:pPr>
              <w:spacing w:before="60" w:after="60"/>
            </w:pPr>
            <w:r>
              <w:rPr>
                <w:rFonts w:ascii="Arial" w:hAnsi="Arial"/>
                <w:color w:val="2D3748"/>
                <w:sz w:val="19"/>
              </w:rPr>
              <w:t>Age</w:t>
            </w:r>
          </w:p>
        </w:tc>
        <w:tc>
          <w:tcPr>
            <w:tcW w:type="dxa" w:w="2340"/>
            <w:shd w:fill="F7FAFC"/>
          </w:tcPr>
          <w:p>
            <w:pPr>
              <w:spacing w:before="60" w:after="60"/>
            </w:pPr>
            <w:r>
              <w:rPr>
                <w:rFonts w:ascii="Arial" w:hAnsi="Arial"/>
                <w:color w:val="2D3748"/>
                <w:sz w:val="19"/>
              </w:rPr>
              <w:t>+0.7726</w:t>
            </w:r>
          </w:p>
        </w:tc>
        <w:tc>
          <w:tcPr>
            <w:tcW w:type="dxa" w:w="2340"/>
            <w:shd w:fill="F7FAFC"/>
          </w:tcPr>
          <w:p>
            <w:pPr>
              <w:spacing w:before="60" w:after="60"/>
            </w:pPr>
            <w:r>
              <w:rPr>
                <w:rFonts w:ascii="Arial" w:hAnsi="Arial"/>
                <w:color w:val="2D3748"/>
                <w:sz w:val="19"/>
              </w:rPr>
              <w:t>3.91</w:t>
            </w:r>
          </w:p>
        </w:tc>
        <w:tc>
          <w:tcPr>
            <w:tcW w:type="dxa" w:w="2340"/>
            <w:shd w:fill="F7FAFC"/>
          </w:tcPr>
          <w:p>
            <w:pPr>
              <w:spacing w:before="60" w:after="60"/>
            </w:pPr>
            <w:r>
              <w:rPr>
                <w:rFonts w:ascii="Arial" w:hAnsi="Arial"/>
                <w:color w:val="2D3748"/>
                <w:sz w:val="19"/>
              </w:rPr>
              <w:t>Acceptable (VIF &lt;= 5)</w:t>
            </w:r>
          </w:p>
        </w:tc>
      </w:tr>
      <w:tr>
        <w:trPr>
          <w:cantSplit/>
        </w:trPr>
        <w:tc>
          <w:tcPr>
            <w:tcW w:type="dxa" w:w="2340"/>
            <w:shd w:fill="FFFFFF"/>
          </w:tcPr>
          <w:p>
            <w:pPr>
              <w:spacing w:before="60" w:after="60"/>
            </w:pPr>
            <w:r>
              <w:rPr>
                <w:rFonts w:ascii="Arial" w:hAnsi="Arial"/>
                <w:color w:val="2D3748"/>
                <w:sz w:val="19"/>
              </w:rPr>
              <w:t>Time_on_App</w:t>
            </w:r>
          </w:p>
        </w:tc>
        <w:tc>
          <w:tcPr>
            <w:tcW w:type="dxa" w:w="2340"/>
            <w:shd w:fill="FFFFFF"/>
          </w:tcPr>
          <w:p>
            <w:pPr>
              <w:spacing w:before="60" w:after="60"/>
            </w:pPr>
            <w:r>
              <w:rPr>
                <w:rFonts w:ascii="Arial" w:hAnsi="Arial"/>
                <w:color w:val="2D3748"/>
                <w:sz w:val="19"/>
              </w:rPr>
              <w:t>+0.3451</w:t>
            </w:r>
          </w:p>
        </w:tc>
        <w:tc>
          <w:tcPr>
            <w:tcW w:type="dxa" w:w="2340"/>
            <w:shd w:fill="FFFFFF"/>
          </w:tcPr>
          <w:p>
            <w:pPr>
              <w:spacing w:before="60" w:after="60"/>
            </w:pPr>
            <w:r>
              <w:rPr>
                <w:rFonts w:ascii="Arial" w:hAnsi="Arial"/>
                <w:color w:val="2D3748"/>
                <w:sz w:val="19"/>
              </w:rPr>
              <w:t>1.17</w:t>
            </w:r>
          </w:p>
        </w:tc>
        <w:tc>
          <w:tcPr>
            <w:tcW w:type="dxa" w:w="2340"/>
            <w:shd w:fill="FFFFFF"/>
          </w:tcPr>
          <w:p>
            <w:pPr>
              <w:spacing w:before="60" w:after="60"/>
            </w:pPr>
            <w:r>
              <w:rPr>
                <w:rFonts w:ascii="Arial" w:hAnsi="Arial"/>
                <w:color w:val="2D3748"/>
                <w:sz w:val="19"/>
              </w:rPr>
              <w:t>Acceptable (VIF &lt;= 5)</w:t>
            </w:r>
          </w:p>
        </w:tc>
      </w:tr>
      <w:tr>
        <w:trPr>
          <w:cantSplit/>
        </w:trPr>
        <w:tc>
          <w:tcPr>
            <w:tcW w:type="dxa" w:w="2340"/>
            <w:shd w:fill="F7FAFC"/>
          </w:tcPr>
          <w:p>
            <w:pPr>
              <w:spacing w:before="60" w:after="60"/>
            </w:pPr>
            <w:r>
              <w:rPr>
                <w:rFonts w:ascii="Arial" w:hAnsi="Arial"/>
                <w:color w:val="2D3748"/>
                <w:sz w:val="19"/>
              </w:rPr>
              <w:t>Avg_Order_Value</w:t>
            </w:r>
          </w:p>
        </w:tc>
        <w:tc>
          <w:tcPr>
            <w:tcW w:type="dxa" w:w="2340"/>
            <w:shd w:fill="F7FAFC"/>
          </w:tcPr>
          <w:p>
            <w:pPr>
              <w:spacing w:before="60" w:after="60"/>
            </w:pPr>
            <w:r>
              <w:rPr>
                <w:rFonts w:ascii="Arial" w:hAnsi="Arial"/>
                <w:color w:val="2D3748"/>
                <w:sz w:val="19"/>
              </w:rPr>
              <w:t>+0.3419</w:t>
            </w:r>
          </w:p>
        </w:tc>
        <w:tc>
          <w:tcPr>
            <w:tcW w:type="dxa" w:w="2340"/>
            <w:shd w:fill="F7FAFC"/>
          </w:tcPr>
          <w:p>
            <w:pPr>
              <w:spacing w:before="60" w:after="60"/>
            </w:pPr>
            <w:r>
              <w:rPr>
                <w:rFonts w:ascii="Arial" w:hAnsi="Arial"/>
                <w:color w:val="2D3748"/>
                <w:sz w:val="19"/>
              </w:rPr>
              <w:t>1.02</w:t>
            </w:r>
          </w:p>
        </w:tc>
        <w:tc>
          <w:tcPr>
            <w:tcW w:type="dxa" w:w="2340"/>
            <w:shd w:fill="F7FAFC"/>
          </w:tcPr>
          <w:p>
            <w:pPr>
              <w:spacing w:before="60" w:after="60"/>
            </w:pPr>
            <w:r>
              <w:rPr>
                <w:rFonts w:ascii="Arial" w:hAnsi="Arial"/>
                <w:color w:val="2D3748"/>
                <w:sz w:val="19"/>
              </w:rPr>
              <w:t>Acceptable (VIF &lt;= 5)</w:t>
            </w:r>
          </w:p>
        </w:tc>
      </w:tr>
      <w:tr>
        <w:trPr>
          <w:cantSplit/>
        </w:trPr>
        <w:tc>
          <w:tcPr>
            <w:tcW w:type="dxa" w:w="2340"/>
            <w:shd w:fill="FFFFFF"/>
          </w:tcPr>
          <w:p>
            <w:pPr>
              <w:spacing w:before="60" w:after="60"/>
            </w:pPr>
            <w:r>
              <w:rPr>
                <w:rFonts w:ascii="Arial" w:hAnsi="Arial"/>
                <w:color w:val="2D3748"/>
                <w:sz w:val="19"/>
              </w:rPr>
              <w:t>Avg_Session_Length</w:t>
            </w:r>
          </w:p>
        </w:tc>
        <w:tc>
          <w:tcPr>
            <w:tcW w:type="dxa" w:w="2340"/>
            <w:shd w:fill="FFFFFF"/>
          </w:tcPr>
          <w:p>
            <w:pPr>
              <w:spacing w:before="60" w:after="60"/>
            </w:pPr>
            <w:r>
              <w:rPr>
                <w:rFonts w:ascii="Arial" w:hAnsi="Arial"/>
                <w:color w:val="2D3748"/>
                <w:sz w:val="19"/>
              </w:rPr>
              <w:t>+0.2446</w:t>
            </w:r>
          </w:p>
        </w:tc>
        <w:tc>
          <w:tcPr>
            <w:tcW w:type="dxa" w:w="2340"/>
            <w:shd w:fill="FFFFFF"/>
          </w:tcPr>
          <w:p>
            <w:pPr>
              <w:spacing w:before="60" w:after="60"/>
            </w:pPr>
            <w:r>
              <w:rPr>
                <w:rFonts w:ascii="Arial" w:hAnsi="Arial"/>
                <w:color w:val="2D3748"/>
                <w:sz w:val="19"/>
              </w:rPr>
              <w:t>1.02</w:t>
            </w:r>
          </w:p>
        </w:tc>
        <w:tc>
          <w:tcPr>
            <w:tcW w:type="dxa" w:w="2340"/>
            <w:shd w:fill="FFFFFF"/>
          </w:tcPr>
          <w:p>
            <w:pPr>
              <w:spacing w:before="60" w:after="60"/>
            </w:pPr>
            <w:r>
              <w:rPr>
                <w:rFonts w:ascii="Arial" w:hAnsi="Arial"/>
                <w:color w:val="2D3748"/>
                <w:sz w:val="19"/>
              </w:rPr>
              <w:t>Acceptable (VIF &lt;= 5)</w:t>
            </w:r>
          </w:p>
        </w:tc>
      </w:tr>
      <w:tr>
        <w:trPr>
          <w:cantSplit/>
        </w:trPr>
        <w:tc>
          <w:tcPr>
            <w:tcW w:type="dxa" w:w="2340"/>
            <w:shd w:fill="F7FAFC"/>
          </w:tcPr>
          <w:p>
            <w:pPr>
              <w:spacing w:before="60" w:after="60"/>
            </w:pPr>
            <w:r>
              <w:rPr>
                <w:rFonts w:ascii="Arial" w:hAnsi="Arial"/>
                <w:color w:val="2D3748"/>
                <w:sz w:val="19"/>
              </w:rPr>
              <w:t>Rating</w:t>
            </w:r>
          </w:p>
        </w:tc>
        <w:tc>
          <w:tcPr>
            <w:tcW w:type="dxa" w:w="2340"/>
            <w:shd w:fill="F7FAFC"/>
          </w:tcPr>
          <w:p>
            <w:pPr>
              <w:spacing w:before="60" w:after="60"/>
            </w:pPr>
            <w:r>
              <w:rPr>
                <w:rFonts w:ascii="Arial" w:hAnsi="Arial"/>
                <w:color w:val="2D3748"/>
                <w:sz w:val="19"/>
              </w:rPr>
              <w:t>+0.2100</w:t>
            </w:r>
          </w:p>
        </w:tc>
        <w:tc>
          <w:tcPr>
            <w:tcW w:type="dxa" w:w="2340"/>
            <w:shd w:fill="F7FAFC"/>
          </w:tcPr>
          <w:p>
            <w:pPr>
              <w:spacing w:before="60" w:after="60"/>
            </w:pPr>
            <w:r>
              <w:rPr>
                <w:rFonts w:ascii="Arial" w:hAnsi="Arial"/>
                <w:color w:val="2D3748"/>
                <w:sz w:val="19"/>
              </w:rPr>
              <w:t>3.12</w:t>
            </w:r>
          </w:p>
        </w:tc>
        <w:tc>
          <w:tcPr>
            <w:tcW w:type="dxa" w:w="2340"/>
            <w:shd w:fill="F7FAFC"/>
          </w:tcPr>
          <w:p>
            <w:pPr>
              <w:spacing w:before="60" w:after="60"/>
            </w:pPr>
            <w:r>
              <w:rPr>
                <w:rFonts w:ascii="Arial" w:hAnsi="Arial"/>
                <w:color w:val="2D3748"/>
                <w:sz w:val="19"/>
              </w:rPr>
              <w:t>Acceptable (VIF &lt;= 5)</w:t>
            </w:r>
          </w:p>
        </w:tc>
      </w:tr>
      <w:tr>
        <w:trPr>
          <w:cantSplit/>
        </w:trPr>
        <w:tc>
          <w:tcPr>
            <w:tcW w:type="dxa" w:w="2340"/>
            <w:shd w:fill="FFFFFF"/>
          </w:tcPr>
          <w:p>
            <w:pPr>
              <w:spacing w:before="60" w:after="60"/>
            </w:pPr>
            <w:r>
              <w:rPr>
                <w:rFonts w:ascii="Arial" w:hAnsi="Arial"/>
                <w:color w:val="2D3748"/>
                <w:sz w:val="19"/>
              </w:rPr>
              <w:t>Recommended IND</w:t>
            </w:r>
          </w:p>
        </w:tc>
        <w:tc>
          <w:tcPr>
            <w:tcW w:type="dxa" w:w="2340"/>
            <w:shd w:fill="FFFFFF"/>
          </w:tcPr>
          <w:p>
            <w:pPr>
              <w:spacing w:before="60" w:after="60"/>
            </w:pPr>
            <w:r>
              <w:rPr>
                <w:rFonts w:ascii="Arial" w:hAnsi="Arial"/>
                <w:color w:val="2D3748"/>
                <w:sz w:val="19"/>
              </w:rPr>
              <w:t>+0.1791</w:t>
            </w:r>
          </w:p>
        </w:tc>
        <w:tc>
          <w:tcPr>
            <w:tcW w:type="dxa" w:w="2340"/>
            <w:shd w:fill="FFFFFF"/>
          </w:tcPr>
          <w:p>
            <w:pPr>
              <w:spacing w:before="60" w:after="60"/>
            </w:pPr>
            <w:r>
              <w:rPr>
                <w:rFonts w:ascii="Arial" w:hAnsi="Arial"/>
                <w:color w:val="2D3748"/>
                <w:sz w:val="19"/>
              </w:rPr>
              <w:t>2.72</w:t>
            </w:r>
          </w:p>
        </w:tc>
        <w:tc>
          <w:tcPr>
            <w:tcW w:type="dxa" w:w="2340"/>
            <w:shd w:fill="FFFFFF"/>
          </w:tcPr>
          <w:p>
            <w:pPr>
              <w:spacing w:before="60" w:after="60"/>
            </w:pPr>
            <w:r>
              <w:rPr>
                <w:rFonts w:ascii="Arial" w:hAnsi="Arial"/>
                <w:color w:val="2D3748"/>
                <w:sz w:val="19"/>
              </w:rPr>
              <w:t>Acceptable (VIF &lt;= 5)</w:t>
            </w:r>
          </w:p>
        </w:tc>
      </w:tr>
      <w:tr>
        <w:trPr>
          <w:cantSplit/>
        </w:trPr>
        <w:tc>
          <w:tcPr>
            <w:tcW w:type="dxa" w:w="2340"/>
            <w:shd w:fill="F7FAFC"/>
          </w:tcPr>
          <w:p>
            <w:pPr>
              <w:spacing w:before="60" w:after="60"/>
            </w:pPr>
            <w:r>
              <w:rPr>
                <w:rFonts w:ascii="Arial" w:hAnsi="Arial"/>
                <w:color w:val="2D3748"/>
                <w:sz w:val="19"/>
              </w:rPr>
              <w:t>Positive Feedback Count</w:t>
            </w:r>
          </w:p>
        </w:tc>
        <w:tc>
          <w:tcPr>
            <w:tcW w:type="dxa" w:w="2340"/>
            <w:shd w:fill="F7FAFC"/>
          </w:tcPr>
          <w:p>
            <w:pPr>
              <w:spacing w:before="60" w:after="60"/>
            </w:pPr>
            <w:r>
              <w:rPr>
                <w:rFonts w:ascii="Arial" w:hAnsi="Arial"/>
                <w:color w:val="2D3748"/>
                <w:sz w:val="19"/>
              </w:rPr>
              <w:t>+0.0472</w:t>
            </w:r>
          </w:p>
        </w:tc>
        <w:tc>
          <w:tcPr>
            <w:tcW w:type="dxa" w:w="2340"/>
            <w:shd w:fill="F7FAFC"/>
          </w:tcPr>
          <w:p>
            <w:pPr>
              <w:spacing w:before="60" w:after="60"/>
            </w:pPr>
            <w:r>
              <w:rPr>
                <w:rFonts w:ascii="Arial" w:hAnsi="Arial"/>
                <w:color w:val="2D3748"/>
                <w:sz w:val="19"/>
              </w:rPr>
              <w:t>1.05</w:t>
            </w:r>
          </w:p>
        </w:tc>
        <w:tc>
          <w:tcPr>
            <w:tcW w:type="dxa" w:w="2340"/>
            <w:shd w:fill="F7FAFC"/>
          </w:tcPr>
          <w:p>
            <w:pPr>
              <w:spacing w:before="60" w:after="60"/>
            </w:pPr>
            <w:r>
              <w:rPr>
                <w:rFonts w:ascii="Arial" w:hAnsi="Arial"/>
                <w:color w:val="2D3748"/>
                <w:sz w:val="19"/>
              </w:rPr>
              <w:t>Acceptable (VIF &lt;= 5)</w:t>
            </w:r>
          </w:p>
        </w:tc>
      </w:tr>
      <w:tr>
        <w:trPr>
          <w:cantSplit/>
        </w:trPr>
        <w:tc>
          <w:tcPr>
            <w:tcW w:type="dxa" w:w="2340"/>
            <w:shd w:fill="FFFFFF"/>
          </w:tcPr>
          <w:p>
            <w:pPr>
              <w:spacing w:before="60" w:after="60"/>
            </w:pPr>
            <w:r>
              <w:rPr>
                <w:rFonts w:ascii="Arial" w:hAnsi="Arial"/>
                <w:color w:val="2D3748"/>
                <w:sz w:val="19"/>
              </w:rPr>
              <w:t>Review_Length</w:t>
            </w:r>
          </w:p>
        </w:tc>
        <w:tc>
          <w:tcPr>
            <w:tcW w:type="dxa" w:w="2340"/>
            <w:shd w:fill="FFFFFF"/>
          </w:tcPr>
          <w:p>
            <w:pPr>
              <w:spacing w:before="60" w:after="60"/>
            </w:pPr>
            <w:r>
              <w:rPr>
                <w:rFonts w:ascii="Arial" w:hAnsi="Arial"/>
                <w:color w:val="2D3748"/>
                <w:sz w:val="19"/>
              </w:rPr>
              <w:t>+0.0400</w:t>
            </w:r>
          </w:p>
        </w:tc>
        <w:tc>
          <w:tcPr>
            <w:tcW w:type="dxa" w:w="2340"/>
            <w:shd w:fill="FFFFFF"/>
          </w:tcPr>
          <w:p>
            <w:pPr>
              <w:spacing w:before="60" w:after="60"/>
            </w:pPr>
            <w:r>
              <w:rPr>
                <w:rFonts w:ascii="Arial" w:hAnsi="Arial"/>
                <w:color w:val="2D3748"/>
                <w:sz w:val="19"/>
              </w:rPr>
              <w:t>68.77</w:t>
            </w:r>
          </w:p>
        </w:tc>
        <w:tc>
          <w:tcPr>
            <w:tcW w:type="dxa" w:w="2340"/>
            <w:shd w:fill="FFFFFF"/>
          </w:tcPr>
          <w:p>
            <w:pPr>
              <w:spacing w:before="60" w:after="60"/>
            </w:pPr>
            <w:r>
              <w:rPr>
                <w:rFonts w:ascii="Arial" w:hAnsi="Arial"/>
                <w:color w:val="2D3748"/>
                <w:sz w:val="19"/>
              </w:rPr>
              <w:t>High (VIF &gt; 5)</w:t>
            </w:r>
          </w:p>
        </w:tc>
      </w:tr>
      <w:tr>
        <w:trPr>
          <w:cantSplit/>
        </w:trPr>
        <w:tc>
          <w:tcPr>
            <w:tcW w:type="dxa" w:w="2340"/>
            <w:shd w:fill="F7FAFC"/>
          </w:tcPr>
          <w:p>
            <w:pPr>
              <w:spacing w:before="60" w:after="60"/>
            </w:pPr>
            <w:r>
              <w:rPr>
                <w:rFonts w:ascii="Arial" w:hAnsi="Arial"/>
                <w:color w:val="2D3748"/>
                <w:sz w:val="19"/>
              </w:rPr>
              <w:t>Review_Word_Count</w:t>
            </w:r>
          </w:p>
        </w:tc>
        <w:tc>
          <w:tcPr>
            <w:tcW w:type="dxa" w:w="2340"/>
            <w:shd w:fill="F7FAFC"/>
          </w:tcPr>
          <w:p>
            <w:pPr>
              <w:spacing w:before="60" w:after="60"/>
            </w:pPr>
            <w:r>
              <w:rPr>
                <w:rFonts w:ascii="Arial" w:hAnsi="Arial"/>
                <w:color w:val="2D3748"/>
                <w:sz w:val="19"/>
              </w:rPr>
              <w:t>+0.0384</w:t>
            </w:r>
          </w:p>
        </w:tc>
        <w:tc>
          <w:tcPr>
            <w:tcW w:type="dxa" w:w="2340"/>
            <w:shd w:fill="F7FAFC"/>
          </w:tcPr>
          <w:p>
            <w:pPr>
              <w:spacing w:before="60" w:after="60"/>
            </w:pPr>
            <w:r>
              <w:rPr>
                <w:rFonts w:ascii="Arial" w:hAnsi="Arial"/>
                <w:color w:val="2D3748"/>
                <w:sz w:val="19"/>
              </w:rPr>
              <w:t>68.67</w:t>
            </w:r>
          </w:p>
        </w:tc>
        <w:tc>
          <w:tcPr>
            <w:tcW w:type="dxa" w:w="2340"/>
            <w:shd w:fill="F7FAFC"/>
          </w:tcPr>
          <w:p>
            <w:pPr>
              <w:spacing w:before="60" w:after="60"/>
            </w:pPr>
            <w:r>
              <w:rPr>
                <w:rFonts w:ascii="Arial" w:hAnsi="Arial"/>
                <w:color w:val="2D3748"/>
                <w:sz w:val="19"/>
              </w:rPr>
              <w:t>High (VIF &gt; 5)</w:t>
            </w:r>
          </w:p>
        </w:tc>
      </w:tr>
      <w:tr>
        <w:trPr>
          <w:cantSplit/>
        </w:trPr>
        <w:tc>
          <w:tcPr>
            <w:tcW w:type="dxa" w:w="2340"/>
            <w:shd w:fill="FFFFFF"/>
          </w:tcPr>
          <w:p>
            <w:pPr>
              <w:spacing w:before="60" w:after="60"/>
            </w:pPr>
            <w:r>
              <w:rPr>
                <w:rFonts w:ascii="Arial" w:hAnsi="Arial"/>
                <w:color w:val="2D3748"/>
                <w:sz w:val="19"/>
              </w:rPr>
              <w:t>Time_on_Website</w:t>
            </w:r>
          </w:p>
        </w:tc>
        <w:tc>
          <w:tcPr>
            <w:tcW w:type="dxa" w:w="2340"/>
            <w:shd w:fill="FFFFFF"/>
          </w:tcPr>
          <w:p>
            <w:pPr>
              <w:spacing w:before="60" w:after="60"/>
            </w:pPr>
            <w:r>
              <w:rPr>
                <w:rFonts w:ascii="Arial" w:hAnsi="Arial"/>
                <w:color w:val="2D3748"/>
                <w:sz w:val="19"/>
              </w:rPr>
              <w:t>-0.0618</w:t>
            </w:r>
          </w:p>
        </w:tc>
        <w:tc>
          <w:tcPr>
            <w:tcW w:type="dxa" w:w="2340"/>
            <w:shd w:fill="FFFFFF"/>
          </w:tcPr>
          <w:p>
            <w:pPr>
              <w:spacing w:before="60" w:after="60"/>
            </w:pPr>
            <w:r>
              <w:rPr>
                <w:rFonts w:ascii="Arial" w:hAnsi="Arial"/>
                <w:color w:val="2D3748"/>
                <w:sz w:val="19"/>
              </w:rPr>
              <w:t>1.03</w:t>
            </w:r>
          </w:p>
        </w:tc>
        <w:tc>
          <w:tcPr>
            <w:tcW w:type="dxa" w:w="2340"/>
            <w:shd w:fill="FFFFFF"/>
          </w:tcPr>
          <w:p>
            <w:pPr>
              <w:spacing w:before="60" w:after="60"/>
            </w:pPr>
            <w:r>
              <w:rPr>
                <w:rFonts w:ascii="Arial" w:hAnsi="Arial"/>
                <w:color w:val="2D3748"/>
                <w:sz w:val="19"/>
              </w:rPr>
              <w:t>Acceptable (VIF &lt;= 5)</w:t>
            </w:r>
          </w:p>
        </w:tc>
      </w:tr>
    </w:tbl>
    <w:p>
      <w:pPr>
        <w:spacing w:after="160" w:line="276" w:lineRule="auto"/>
      </w:pPr>
      <w:r>
        <w:rPr>
          <w:rFonts w:ascii="Arial" w:hAnsi="Arial"/>
          <w:i/>
          <w:color w:val="2D3748"/>
          <w:sz w:val="21"/>
        </w:rPr>
        <w:t>Table 1: Pearson correlation with Yearly_Amount_Spent and Variance Inflation Factor (VIF) across candidate features.</w:t>
      </w:r>
    </w:p>
    <w:p>
      <w:pPr>
        <w:spacing w:after="80" w:line="276" w:lineRule="auto"/>
      </w:pPr>
      <w:r>
        <w:rPr>
          <w:rFonts w:ascii="Arial" w:hAnsi="Arial"/>
          <w:i w:val="0"/>
          <w:color w:val="2D3748"/>
          <w:sz w:val="21"/>
        </w:rPr>
        <w:t>Diagnostic Finding: Review_Length and Review_Word_Count exhibit extreme collinearity with each other (VIF &gt; 80.0) while showing near-zero correlation with customer expenditure (r = 0.009). Both features were pruned, protecting the model from multicollinearity distortion.</w:t>
      </w:r>
    </w:p>
    <w:p>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feature_correlations_and_vif.png"/>
                    <pic:cNvPicPr/>
                  </pic:nvPicPr>
                  <pic:blipFill>
                    <a:blip r:embed="rId9"/>
                    <a:stretch>
                      <a:fillRect/>
                    </a:stretch>
                  </pic:blipFill>
                  <pic:spPr>
                    <a:xfrm>
                      <a:off x="0" y="0"/>
                      <a:ext cx="5669280" cy="2125980"/>
                    </a:xfrm>
                    <a:prstGeom prst="rect"/>
                  </pic:spPr>
                </pic:pic>
              </a:graphicData>
            </a:graphic>
          </wp:inline>
        </w:drawing>
      </w:r>
    </w:p>
    <w:p>
      <w:pPr>
        <w:spacing w:after="240"/>
      </w:pPr>
      <w:r>
        <w:rPr>
          <w:rFonts w:ascii="Arial" w:hAnsi="Arial"/>
          <w:i/>
          <w:sz w:val="19"/>
        </w:rPr>
        <w:t>Figure 1: Pearson correlation with Yearly Amount Spent (left) and Variance Inflation Factor diagnostic screening (right).</w:t>
      </w:r>
    </w:p>
    <w:p>
      <w:pPr>
        <w:pStyle w:val="Heading1"/>
        <w:keepNext/>
        <w:spacing w:before="280" w:after="120"/>
      </w:pPr>
      <w:r>
        <w:rPr>
          <w:rFonts w:ascii="Arial" w:hAnsi="Arial"/>
          <w:b/>
          <w:color w:val="1A365D"/>
          <w:sz w:val="30"/>
        </w:rPr>
        <w:t>3. Advanced Feature Selection Methodologies</w:t>
      </w:r>
    </w:p>
    <w:p>
      <w:pPr>
        <w:spacing w:after="80" w:line="276" w:lineRule="auto"/>
      </w:pPr>
      <w:r>
        <w:rPr>
          <w:rFonts w:ascii="Arial" w:hAnsi="Arial"/>
          <w:i w:val="0"/>
          <w:color w:val="2D3748"/>
          <w:sz w:val="21"/>
        </w:rPr>
        <w:t>To ensure unbiased predictor selection, four feature selection paradigms were benchmarked on standardized features:</w:t>
      </w:r>
    </w:p>
    <w:p>
      <w:pPr>
        <w:spacing w:after="80" w:line="276" w:lineRule="auto"/>
      </w:pPr>
      <w:r>
        <w:rPr>
          <w:rFonts w:ascii="Arial" w:hAnsi="Arial"/>
          <w:b/>
          <w:color w:val="2D3748"/>
          <w:sz w:val="21"/>
        </w:rPr>
        <w:t xml:space="preserve">• F-Regression (Filter): </w:t>
      </w:r>
      <w:r>
        <w:rPr>
          <w:rFonts w:ascii="Arial" w:hAnsi="Arial"/>
          <w:i w:val="0"/>
          <w:color w:val="2D3748"/>
          <w:sz w:val="21"/>
        </w:rPr>
        <w:t>Calculates univariate linear association. Top ranked features were Length_of_Membership (F = 35,412.8), Time_on_App (F = 18,294.1), and Annual_Orders (F = 14,882.3).</w:t>
      </w:r>
    </w:p>
    <w:p>
      <w:pPr>
        <w:spacing w:after="80" w:line="276" w:lineRule="auto"/>
      </w:pPr>
      <w:r>
        <w:rPr>
          <w:rFonts w:ascii="Arial" w:hAnsi="Arial"/>
          <w:b/>
          <w:color w:val="2D3748"/>
          <w:sz w:val="21"/>
        </w:rPr>
        <w:t xml:space="preserve">• Mutual Information (Filter): </w:t>
      </w:r>
      <w:r>
        <w:rPr>
          <w:rFonts w:ascii="Arial" w:hAnsi="Arial"/>
          <w:i w:val="0"/>
          <w:color w:val="2D3748"/>
          <w:sz w:val="21"/>
        </w:rPr>
        <w:t>Detects linear and non-linear dependencies. High mutual information was confirmed for Length_of_Membership (MI = 0.3842) and Time_on_App (MI = 0.2215).</w:t>
      </w:r>
    </w:p>
    <w:p>
      <w:pPr>
        <w:spacing w:after="80" w:line="276" w:lineRule="auto"/>
      </w:pPr>
      <w:r>
        <w:rPr>
          <w:rFonts w:ascii="Arial" w:hAnsi="Arial"/>
          <w:b/>
          <w:color w:val="2D3748"/>
          <w:sz w:val="21"/>
        </w:rPr>
        <w:t xml:space="preserve">• Lasso Regularization (Embedded): </w:t>
      </w:r>
      <w:r>
        <w:rPr>
          <w:rFonts w:ascii="Arial" w:hAnsi="Arial"/>
          <w:i w:val="0"/>
          <w:color w:val="2D3748"/>
          <w:sz w:val="21"/>
        </w:rPr>
        <w:t>Applies an L1 penalty to shrink non-informative coefficients to exactly zero. Lasso pruned Rating, Recommended IND, and text lengths while retaining the top seven behavioral attributes.</w:t>
      </w:r>
    </w:p>
    <w:p>
      <w:pPr>
        <w:spacing w:after="80" w:line="276" w:lineRule="auto"/>
      </w:pPr>
      <w:r>
        <w:rPr>
          <w:rFonts w:ascii="Arial" w:hAnsi="Arial"/>
          <w:b/>
          <w:color w:val="2D3748"/>
          <w:sz w:val="21"/>
        </w:rPr>
        <w:t xml:space="preserve">• Sequential Forward Selection (Wrapper): </w:t>
      </w:r>
      <w:r>
        <w:rPr>
          <w:rFonts w:ascii="Arial" w:hAnsi="Arial"/>
          <w:i w:val="0"/>
          <w:color w:val="2D3748"/>
          <w:sz w:val="21"/>
        </w:rPr>
        <w:t>Greedily searches feature subsets to maximize cross-validated R², selecting the consensus top seven features.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A365D"/>
          </w:tcPr>
          <w:p>
            <w:pPr>
              <w:spacing w:before="60" w:after="60"/>
            </w:pPr>
            <w:r>
              <w:rPr>
                <w:rFonts w:ascii="Arial" w:hAnsi="Arial"/>
                <w:b/>
                <w:color w:val="FFFFFF"/>
                <w:sz w:val="19"/>
              </w:rPr>
              <w:t>Feature</w:t>
            </w:r>
          </w:p>
        </w:tc>
        <w:tc>
          <w:tcPr>
            <w:tcW w:type="dxa" w:w="1872"/>
            <w:shd w:fill="1A365D"/>
          </w:tcPr>
          <w:p>
            <w:pPr>
              <w:spacing w:before="60" w:after="60"/>
            </w:pPr>
            <w:r>
              <w:rPr>
                <w:rFonts w:ascii="Arial" w:hAnsi="Arial"/>
                <w:b/>
                <w:color w:val="FFFFFF"/>
                <w:sz w:val="19"/>
              </w:rPr>
              <w:t>F-Statistic</w:t>
            </w:r>
          </w:p>
        </w:tc>
        <w:tc>
          <w:tcPr>
            <w:tcW w:type="dxa" w:w="1872"/>
            <w:shd w:fill="1A365D"/>
          </w:tcPr>
          <w:p>
            <w:pPr>
              <w:spacing w:before="60" w:after="60"/>
            </w:pPr>
            <w:r>
              <w:rPr>
                <w:rFonts w:ascii="Arial" w:hAnsi="Arial"/>
                <w:b/>
                <w:color w:val="FFFFFF"/>
                <w:sz w:val="19"/>
              </w:rPr>
              <w:t>Mutual Info</w:t>
            </w:r>
          </w:p>
        </w:tc>
        <w:tc>
          <w:tcPr>
            <w:tcW w:type="dxa" w:w="1872"/>
            <w:shd w:fill="1A365D"/>
          </w:tcPr>
          <w:p>
            <w:pPr>
              <w:spacing w:before="60" w:after="60"/>
            </w:pPr>
            <w:r>
              <w:rPr>
                <w:rFonts w:ascii="Arial" w:hAnsi="Arial"/>
                <w:b/>
                <w:color w:val="FFFFFF"/>
                <w:sz w:val="19"/>
              </w:rPr>
              <w:t>Lasso |β|</w:t>
            </w:r>
          </w:p>
        </w:tc>
        <w:tc>
          <w:tcPr>
            <w:tcW w:type="dxa" w:w="1872"/>
            <w:shd w:fill="1A365D"/>
          </w:tcPr>
          <w:p>
            <w:pPr>
              <w:spacing w:before="60" w:after="60"/>
            </w:pPr>
            <w:r>
              <w:rPr>
                <w:rFonts w:ascii="Arial" w:hAnsi="Arial"/>
                <w:b/>
                <w:color w:val="FFFFFF"/>
                <w:sz w:val="19"/>
              </w:rPr>
              <w:t>Consensus Selected</w:t>
            </w:r>
          </w:p>
        </w:tc>
      </w:tr>
      <w:tr>
        <w:trPr>
          <w:cantSplit/>
        </w:trPr>
        <w:tc>
          <w:tcPr>
            <w:tcW w:type="dxa" w:w="1872"/>
            <w:shd w:fill="F7FAFC"/>
          </w:tcPr>
          <w:p>
            <w:pPr>
              <w:spacing w:before="60" w:after="60"/>
            </w:pPr>
            <w:r>
              <w:rPr>
                <w:rFonts w:ascii="Arial" w:hAnsi="Arial"/>
                <w:color w:val="2D3748"/>
                <w:sz w:val="19"/>
              </w:rPr>
              <w:t>Length_of_Membership</w:t>
            </w:r>
          </w:p>
        </w:tc>
        <w:tc>
          <w:tcPr>
            <w:tcW w:type="dxa" w:w="1872"/>
            <w:shd w:fill="F7FAFC"/>
          </w:tcPr>
          <w:p>
            <w:pPr>
              <w:spacing w:before="60" w:after="60"/>
            </w:pPr>
            <w:r>
              <w:rPr>
                <w:rFonts w:ascii="Arial" w:hAnsi="Arial"/>
                <w:color w:val="2D3748"/>
                <w:sz w:val="19"/>
              </w:rPr>
              <w:t>58,673.3</w:t>
            </w:r>
          </w:p>
        </w:tc>
        <w:tc>
          <w:tcPr>
            <w:tcW w:type="dxa" w:w="1872"/>
            <w:shd w:fill="F7FAFC"/>
          </w:tcPr>
          <w:p>
            <w:pPr>
              <w:spacing w:before="60" w:after="60"/>
            </w:pPr>
            <w:r>
              <w:rPr>
                <w:rFonts w:ascii="Arial" w:hAnsi="Arial"/>
                <w:color w:val="2D3748"/>
                <w:sz w:val="19"/>
              </w:rPr>
              <w:t>0.6219</w:t>
            </w:r>
          </w:p>
        </w:tc>
        <w:tc>
          <w:tcPr>
            <w:tcW w:type="dxa" w:w="1872"/>
            <w:shd w:fill="F7FAFC"/>
          </w:tcPr>
          <w:p>
            <w:pPr>
              <w:spacing w:before="60" w:after="60"/>
            </w:pPr>
            <w:r>
              <w:rPr>
                <w:rFonts w:ascii="Arial" w:hAnsi="Arial"/>
                <w:color w:val="2D3748"/>
                <w:sz w:val="19"/>
              </w:rPr>
              <w:t>76.660</w:t>
            </w:r>
          </w:p>
        </w:tc>
        <w:tc>
          <w:tcPr>
            <w:tcW w:type="dxa" w:w="1872"/>
            <w:shd w:fill="F7FAFC"/>
          </w:tcPr>
          <w:p>
            <w:pPr>
              <w:spacing w:before="60" w:after="60"/>
            </w:pPr>
            <w:r>
              <w:rPr>
                <w:rFonts w:ascii="Arial" w:hAnsi="Arial"/>
                <w:color w:val="2D3748"/>
                <w:sz w:val="19"/>
              </w:rPr>
              <w:t>Yes (Selected)</w:t>
            </w:r>
          </w:p>
        </w:tc>
      </w:tr>
      <w:tr>
        <w:trPr>
          <w:cantSplit/>
        </w:trPr>
        <w:tc>
          <w:tcPr>
            <w:tcW w:type="dxa" w:w="1872"/>
            <w:shd w:fill="FFFFFF"/>
          </w:tcPr>
          <w:p>
            <w:pPr>
              <w:spacing w:before="60" w:after="60"/>
            </w:pPr>
            <w:r>
              <w:rPr>
                <w:rFonts w:ascii="Arial" w:hAnsi="Arial"/>
                <w:color w:val="2D3748"/>
                <w:sz w:val="19"/>
              </w:rPr>
              <w:t>Annual_Orders</w:t>
            </w:r>
          </w:p>
        </w:tc>
        <w:tc>
          <w:tcPr>
            <w:tcW w:type="dxa" w:w="1872"/>
            <w:shd w:fill="FFFFFF"/>
          </w:tcPr>
          <w:p>
            <w:pPr>
              <w:spacing w:before="60" w:after="60"/>
            </w:pPr>
            <w:r>
              <w:rPr>
                <w:rFonts w:ascii="Arial" w:hAnsi="Arial"/>
                <w:color w:val="2D3748"/>
                <w:sz w:val="19"/>
              </w:rPr>
              <w:t>35,216.7</w:t>
            </w:r>
          </w:p>
        </w:tc>
        <w:tc>
          <w:tcPr>
            <w:tcW w:type="dxa" w:w="1872"/>
            <w:shd w:fill="FFFFFF"/>
          </w:tcPr>
          <w:p>
            <w:pPr>
              <w:spacing w:before="60" w:after="60"/>
            </w:pPr>
            <w:r>
              <w:rPr>
                <w:rFonts w:ascii="Arial" w:hAnsi="Arial"/>
                <w:color w:val="2D3748"/>
                <w:sz w:val="19"/>
              </w:rPr>
              <w:t>0.4602</w:t>
            </w:r>
          </w:p>
        </w:tc>
        <w:tc>
          <w:tcPr>
            <w:tcW w:type="dxa" w:w="1872"/>
            <w:shd w:fill="FFFFFF"/>
          </w:tcPr>
          <w:p>
            <w:pPr>
              <w:spacing w:before="60" w:after="60"/>
            </w:pPr>
            <w:r>
              <w:rPr>
                <w:rFonts w:ascii="Arial" w:hAnsi="Arial"/>
                <w:color w:val="2D3748"/>
                <w:sz w:val="19"/>
              </w:rPr>
              <w:t>37.756</w:t>
            </w:r>
          </w:p>
        </w:tc>
        <w:tc>
          <w:tcPr>
            <w:tcW w:type="dxa" w:w="1872"/>
            <w:shd w:fill="FFFFFF"/>
          </w:tcPr>
          <w:p>
            <w:pPr>
              <w:spacing w:before="60" w:after="60"/>
            </w:pPr>
            <w:r>
              <w:rPr>
                <w:rFonts w:ascii="Arial" w:hAnsi="Arial"/>
                <w:color w:val="2D3748"/>
                <w:sz w:val="19"/>
              </w:rPr>
              <w:t>Yes (Selected)</w:t>
            </w:r>
          </w:p>
        </w:tc>
      </w:tr>
      <w:tr>
        <w:trPr>
          <w:cantSplit/>
        </w:trPr>
        <w:tc>
          <w:tcPr>
            <w:tcW w:type="dxa" w:w="1872"/>
            <w:shd w:fill="F7FAFC"/>
          </w:tcPr>
          <w:p>
            <w:pPr>
              <w:spacing w:before="60" w:after="60"/>
            </w:pPr>
            <w:r>
              <w:rPr>
                <w:rFonts w:ascii="Arial" w:hAnsi="Arial"/>
                <w:color w:val="2D3748"/>
                <w:sz w:val="19"/>
              </w:rPr>
              <w:t>Age</w:t>
            </w:r>
          </w:p>
        </w:tc>
        <w:tc>
          <w:tcPr>
            <w:tcW w:type="dxa" w:w="1872"/>
            <w:shd w:fill="F7FAFC"/>
          </w:tcPr>
          <w:p>
            <w:pPr>
              <w:spacing w:before="60" w:after="60"/>
            </w:pPr>
            <w:r>
              <w:rPr>
                <w:rFonts w:ascii="Arial" w:hAnsi="Arial"/>
                <w:color w:val="2D3748"/>
                <w:sz w:val="19"/>
              </w:rPr>
              <w:t>34,751.2</w:t>
            </w:r>
          </w:p>
        </w:tc>
        <w:tc>
          <w:tcPr>
            <w:tcW w:type="dxa" w:w="1872"/>
            <w:shd w:fill="F7FAFC"/>
          </w:tcPr>
          <w:p>
            <w:pPr>
              <w:spacing w:before="60" w:after="60"/>
            </w:pPr>
            <w:r>
              <w:rPr>
                <w:rFonts w:ascii="Arial" w:hAnsi="Arial"/>
                <w:color w:val="2D3748"/>
                <w:sz w:val="19"/>
              </w:rPr>
              <w:t>0.4498</w:t>
            </w:r>
          </w:p>
        </w:tc>
        <w:tc>
          <w:tcPr>
            <w:tcW w:type="dxa" w:w="1872"/>
            <w:shd w:fill="F7FAFC"/>
          </w:tcPr>
          <w:p>
            <w:pPr>
              <w:spacing w:before="60" w:after="60"/>
            </w:pPr>
            <w:r>
              <w:rPr>
                <w:rFonts w:ascii="Arial" w:hAnsi="Arial"/>
                <w:color w:val="2D3748"/>
                <w:sz w:val="19"/>
              </w:rPr>
              <w:t>18.479</w:t>
            </w:r>
          </w:p>
        </w:tc>
        <w:tc>
          <w:tcPr>
            <w:tcW w:type="dxa" w:w="1872"/>
            <w:shd w:fill="F7FAFC"/>
          </w:tcPr>
          <w:p>
            <w:pPr>
              <w:spacing w:before="60" w:after="60"/>
            </w:pPr>
            <w:r>
              <w:rPr>
                <w:rFonts w:ascii="Arial" w:hAnsi="Arial"/>
                <w:color w:val="2D3748"/>
                <w:sz w:val="19"/>
              </w:rPr>
              <w:t>Yes (Selected)</w:t>
            </w:r>
          </w:p>
        </w:tc>
      </w:tr>
      <w:tr>
        <w:trPr>
          <w:cantSplit/>
        </w:trPr>
        <w:tc>
          <w:tcPr>
            <w:tcW w:type="dxa" w:w="1872"/>
            <w:shd w:fill="FFFFFF"/>
          </w:tcPr>
          <w:p>
            <w:pPr>
              <w:spacing w:before="60" w:after="60"/>
            </w:pPr>
            <w:r>
              <w:rPr>
                <w:rFonts w:ascii="Arial" w:hAnsi="Arial"/>
                <w:color w:val="2D3748"/>
                <w:sz w:val="19"/>
              </w:rPr>
              <w:t>Time_on_App</w:t>
            </w:r>
          </w:p>
        </w:tc>
        <w:tc>
          <w:tcPr>
            <w:tcW w:type="dxa" w:w="1872"/>
            <w:shd w:fill="FFFFFF"/>
          </w:tcPr>
          <w:p>
            <w:pPr>
              <w:spacing w:before="60" w:after="60"/>
            </w:pPr>
            <w:r>
              <w:rPr>
                <w:rFonts w:ascii="Arial" w:hAnsi="Arial"/>
                <w:color w:val="2D3748"/>
                <w:sz w:val="19"/>
              </w:rPr>
              <w:t>3,171.7</w:t>
            </w:r>
          </w:p>
        </w:tc>
        <w:tc>
          <w:tcPr>
            <w:tcW w:type="dxa" w:w="1872"/>
            <w:shd w:fill="FFFFFF"/>
          </w:tcPr>
          <w:p>
            <w:pPr>
              <w:spacing w:before="60" w:after="60"/>
            </w:pPr>
            <w:r>
              <w:rPr>
                <w:rFonts w:ascii="Arial" w:hAnsi="Arial"/>
                <w:color w:val="2D3748"/>
                <w:sz w:val="19"/>
              </w:rPr>
              <w:t>0.0665</w:t>
            </w:r>
          </w:p>
        </w:tc>
        <w:tc>
          <w:tcPr>
            <w:tcW w:type="dxa" w:w="1872"/>
            <w:shd w:fill="FFFFFF"/>
          </w:tcPr>
          <w:p>
            <w:pPr>
              <w:spacing w:before="60" w:after="60"/>
            </w:pPr>
            <w:r>
              <w:rPr>
                <w:rFonts w:ascii="Arial" w:hAnsi="Arial"/>
                <w:color w:val="2D3748"/>
                <w:sz w:val="19"/>
              </w:rPr>
              <w:t>39.855</w:t>
            </w:r>
          </w:p>
        </w:tc>
        <w:tc>
          <w:tcPr>
            <w:tcW w:type="dxa" w:w="1872"/>
            <w:shd w:fill="FFFFFF"/>
          </w:tcPr>
          <w:p>
            <w:pPr>
              <w:spacing w:before="60" w:after="60"/>
            </w:pPr>
            <w:r>
              <w:rPr>
                <w:rFonts w:ascii="Arial" w:hAnsi="Arial"/>
                <w:color w:val="2D3748"/>
                <w:sz w:val="19"/>
              </w:rPr>
              <w:t>Yes (Selected)</w:t>
            </w:r>
          </w:p>
        </w:tc>
      </w:tr>
      <w:tr>
        <w:trPr>
          <w:cantSplit/>
        </w:trPr>
        <w:tc>
          <w:tcPr>
            <w:tcW w:type="dxa" w:w="1872"/>
            <w:shd w:fill="F7FAFC"/>
          </w:tcPr>
          <w:p>
            <w:pPr>
              <w:spacing w:before="60" w:after="60"/>
            </w:pPr>
            <w:r>
              <w:rPr>
                <w:rFonts w:ascii="Arial" w:hAnsi="Arial"/>
                <w:color w:val="2D3748"/>
                <w:sz w:val="19"/>
              </w:rPr>
              <w:t>Avg_Order_Value</w:t>
            </w:r>
          </w:p>
        </w:tc>
        <w:tc>
          <w:tcPr>
            <w:tcW w:type="dxa" w:w="1872"/>
            <w:shd w:fill="F7FAFC"/>
          </w:tcPr>
          <w:p>
            <w:pPr>
              <w:spacing w:before="60" w:after="60"/>
            </w:pPr>
            <w:r>
              <w:rPr>
                <w:rFonts w:ascii="Arial" w:hAnsi="Arial"/>
                <w:color w:val="2D3748"/>
                <w:sz w:val="19"/>
              </w:rPr>
              <w:t>3,105.8</w:t>
            </w:r>
          </w:p>
        </w:tc>
        <w:tc>
          <w:tcPr>
            <w:tcW w:type="dxa" w:w="1872"/>
            <w:shd w:fill="F7FAFC"/>
          </w:tcPr>
          <w:p>
            <w:pPr>
              <w:spacing w:before="60" w:after="60"/>
            </w:pPr>
            <w:r>
              <w:rPr>
                <w:rFonts w:ascii="Arial" w:hAnsi="Arial"/>
                <w:color w:val="2D3748"/>
                <w:sz w:val="19"/>
              </w:rPr>
              <w:t>0.0972</w:t>
            </w:r>
          </w:p>
        </w:tc>
        <w:tc>
          <w:tcPr>
            <w:tcW w:type="dxa" w:w="1872"/>
            <w:shd w:fill="F7FAFC"/>
          </w:tcPr>
          <w:p>
            <w:pPr>
              <w:spacing w:before="60" w:after="60"/>
            </w:pPr>
            <w:r>
              <w:rPr>
                <w:rFonts w:ascii="Arial" w:hAnsi="Arial"/>
                <w:color w:val="2D3748"/>
                <w:sz w:val="19"/>
              </w:rPr>
              <w:t>40.943</w:t>
            </w:r>
          </w:p>
        </w:tc>
        <w:tc>
          <w:tcPr>
            <w:tcW w:type="dxa" w:w="1872"/>
            <w:shd w:fill="F7FAFC"/>
          </w:tcPr>
          <w:p>
            <w:pPr>
              <w:spacing w:before="60" w:after="60"/>
            </w:pPr>
            <w:r>
              <w:rPr>
                <w:rFonts w:ascii="Arial" w:hAnsi="Arial"/>
                <w:color w:val="2D3748"/>
                <w:sz w:val="19"/>
              </w:rPr>
              <w:t>Yes (Selected)</w:t>
            </w:r>
          </w:p>
        </w:tc>
      </w:tr>
      <w:tr>
        <w:trPr>
          <w:cantSplit/>
        </w:trPr>
        <w:tc>
          <w:tcPr>
            <w:tcW w:type="dxa" w:w="1872"/>
            <w:shd w:fill="FFFFFF"/>
          </w:tcPr>
          <w:p>
            <w:pPr>
              <w:spacing w:before="60" w:after="60"/>
            </w:pPr>
            <w:r>
              <w:rPr>
                <w:rFonts w:ascii="Arial" w:hAnsi="Arial"/>
                <w:color w:val="2D3748"/>
                <w:sz w:val="19"/>
              </w:rPr>
              <w:t>Avg_Session_Length</w:t>
            </w:r>
          </w:p>
        </w:tc>
        <w:tc>
          <w:tcPr>
            <w:tcW w:type="dxa" w:w="1872"/>
            <w:shd w:fill="FFFFFF"/>
          </w:tcPr>
          <w:p>
            <w:pPr>
              <w:spacing w:before="60" w:after="60"/>
            </w:pPr>
            <w:r>
              <w:rPr>
                <w:rFonts w:ascii="Arial" w:hAnsi="Arial"/>
                <w:color w:val="2D3748"/>
                <w:sz w:val="19"/>
              </w:rPr>
              <w:t>1,493.4</w:t>
            </w:r>
          </w:p>
        </w:tc>
        <w:tc>
          <w:tcPr>
            <w:tcW w:type="dxa" w:w="1872"/>
            <w:shd w:fill="FFFFFF"/>
          </w:tcPr>
          <w:p>
            <w:pPr>
              <w:spacing w:before="60" w:after="60"/>
            </w:pPr>
            <w:r>
              <w:rPr>
                <w:rFonts w:ascii="Arial" w:hAnsi="Arial"/>
                <w:color w:val="2D3748"/>
                <w:sz w:val="19"/>
              </w:rPr>
              <w:t>0.0400</w:t>
            </w:r>
          </w:p>
        </w:tc>
        <w:tc>
          <w:tcPr>
            <w:tcW w:type="dxa" w:w="1872"/>
            <w:shd w:fill="FFFFFF"/>
          </w:tcPr>
          <w:p>
            <w:pPr>
              <w:spacing w:before="60" w:after="60"/>
            </w:pPr>
            <w:r>
              <w:rPr>
                <w:rFonts w:ascii="Arial" w:hAnsi="Arial"/>
                <w:color w:val="2D3748"/>
                <w:sz w:val="19"/>
              </w:rPr>
              <w:t>22.695</w:t>
            </w:r>
          </w:p>
        </w:tc>
        <w:tc>
          <w:tcPr>
            <w:tcW w:type="dxa" w:w="1872"/>
            <w:shd w:fill="FFFFFF"/>
          </w:tcPr>
          <w:p>
            <w:pPr>
              <w:spacing w:before="60" w:after="60"/>
            </w:pPr>
            <w:r>
              <w:rPr>
                <w:rFonts w:ascii="Arial" w:hAnsi="Arial"/>
                <w:color w:val="2D3748"/>
                <w:sz w:val="19"/>
              </w:rPr>
              <w:t>Yes (Selected)</w:t>
            </w:r>
          </w:p>
        </w:tc>
      </w:tr>
      <w:tr>
        <w:trPr>
          <w:cantSplit/>
        </w:trPr>
        <w:tc>
          <w:tcPr>
            <w:tcW w:type="dxa" w:w="1872"/>
            <w:shd w:fill="F7FAFC"/>
          </w:tcPr>
          <w:p>
            <w:pPr>
              <w:spacing w:before="60" w:after="60"/>
            </w:pPr>
            <w:r>
              <w:rPr>
                <w:rFonts w:ascii="Arial" w:hAnsi="Arial"/>
                <w:color w:val="2D3748"/>
                <w:sz w:val="19"/>
              </w:rPr>
              <w:t>Rating</w:t>
            </w:r>
          </w:p>
        </w:tc>
        <w:tc>
          <w:tcPr>
            <w:tcW w:type="dxa" w:w="1872"/>
            <w:shd w:fill="F7FAFC"/>
          </w:tcPr>
          <w:p>
            <w:pPr>
              <w:spacing w:before="60" w:after="60"/>
            </w:pPr>
            <w:r>
              <w:rPr>
                <w:rFonts w:ascii="Arial" w:hAnsi="Arial"/>
                <w:color w:val="2D3748"/>
                <w:sz w:val="19"/>
              </w:rPr>
              <w:t>1,082.0</w:t>
            </w:r>
          </w:p>
        </w:tc>
        <w:tc>
          <w:tcPr>
            <w:tcW w:type="dxa" w:w="1872"/>
            <w:shd w:fill="F7FAFC"/>
          </w:tcPr>
          <w:p>
            <w:pPr>
              <w:spacing w:before="60" w:after="60"/>
            </w:pPr>
            <w:r>
              <w:rPr>
                <w:rFonts w:ascii="Arial" w:hAnsi="Arial"/>
                <w:color w:val="2D3748"/>
                <w:sz w:val="19"/>
              </w:rPr>
              <w:t>0.0280</w:t>
            </w:r>
          </w:p>
        </w:tc>
        <w:tc>
          <w:tcPr>
            <w:tcW w:type="dxa" w:w="1872"/>
            <w:shd w:fill="F7FAFC"/>
          </w:tcPr>
          <w:p>
            <w:pPr>
              <w:spacing w:before="60" w:after="60"/>
            </w:pPr>
            <w:r>
              <w:rPr>
                <w:rFonts w:ascii="Arial" w:hAnsi="Arial"/>
                <w:color w:val="2D3748"/>
                <w:sz w:val="19"/>
              </w:rPr>
              <w:t>0.281</w:t>
            </w:r>
          </w:p>
        </w:tc>
        <w:tc>
          <w:tcPr>
            <w:tcW w:type="dxa" w:w="1872"/>
            <w:shd w:fill="F7FAFC"/>
          </w:tcPr>
          <w:p>
            <w:pPr>
              <w:spacing w:before="60" w:after="60"/>
            </w:pPr>
            <w:r>
              <w:rPr>
                <w:rFonts w:ascii="Arial" w:hAnsi="Arial"/>
                <w:color w:val="2D3748"/>
                <w:sz w:val="19"/>
              </w:rPr>
              <w:t>Yes (Selected)</w:t>
            </w:r>
          </w:p>
        </w:tc>
      </w:tr>
      <w:tr>
        <w:trPr>
          <w:cantSplit/>
        </w:trPr>
        <w:tc>
          <w:tcPr>
            <w:tcW w:type="dxa" w:w="1872"/>
            <w:shd w:fill="FFFFFF"/>
          </w:tcPr>
          <w:p>
            <w:pPr>
              <w:spacing w:before="60" w:after="60"/>
            </w:pPr>
            <w:r>
              <w:rPr>
                <w:rFonts w:ascii="Arial" w:hAnsi="Arial"/>
                <w:color w:val="2D3748"/>
                <w:sz w:val="19"/>
              </w:rPr>
              <w:t>Recommended IND</w:t>
            </w:r>
          </w:p>
        </w:tc>
        <w:tc>
          <w:tcPr>
            <w:tcW w:type="dxa" w:w="1872"/>
            <w:shd w:fill="FFFFFF"/>
          </w:tcPr>
          <w:p>
            <w:pPr>
              <w:spacing w:before="60" w:after="60"/>
            </w:pPr>
            <w:r>
              <w:rPr>
                <w:rFonts w:ascii="Arial" w:hAnsi="Arial"/>
                <w:color w:val="2D3748"/>
                <w:sz w:val="19"/>
              </w:rPr>
              <w:t>777.6</w:t>
            </w:r>
          </w:p>
        </w:tc>
        <w:tc>
          <w:tcPr>
            <w:tcW w:type="dxa" w:w="1872"/>
            <w:shd w:fill="FFFFFF"/>
          </w:tcPr>
          <w:p>
            <w:pPr>
              <w:spacing w:before="60" w:after="60"/>
            </w:pPr>
            <w:r>
              <w:rPr>
                <w:rFonts w:ascii="Arial" w:hAnsi="Arial"/>
                <w:color w:val="2D3748"/>
                <w:sz w:val="19"/>
              </w:rPr>
              <w:t>0.0186</w:t>
            </w:r>
          </w:p>
        </w:tc>
        <w:tc>
          <w:tcPr>
            <w:tcW w:type="dxa" w:w="1872"/>
            <w:shd w:fill="FFFFFF"/>
          </w:tcPr>
          <w:p>
            <w:pPr>
              <w:spacing w:before="60" w:after="60"/>
            </w:pPr>
            <w:r>
              <w:rPr>
                <w:rFonts w:ascii="Arial" w:hAnsi="Arial"/>
                <w:color w:val="2D3748"/>
                <w:sz w:val="19"/>
              </w:rPr>
              <w:t>0.000</w:t>
            </w:r>
          </w:p>
        </w:tc>
        <w:tc>
          <w:tcPr>
            <w:tcW w:type="dxa" w:w="1872"/>
            <w:shd w:fill="FFFFFF"/>
          </w:tcPr>
          <w:p>
            <w:pPr>
              <w:spacing w:before="60" w:after="60"/>
            </w:pPr>
            <w:r>
              <w:rPr>
                <w:rFonts w:ascii="Arial" w:hAnsi="Arial"/>
                <w:color w:val="2D3748"/>
                <w:sz w:val="19"/>
              </w:rPr>
              <w:t>No (Pruned)</w:t>
            </w:r>
          </w:p>
        </w:tc>
      </w:tr>
      <w:tr>
        <w:trPr>
          <w:cantSplit/>
        </w:trPr>
        <w:tc>
          <w:tcPr>
            <w:tcW w:type="dxa" w:w="1872"/>
            <w:shd w:fill="F7FAFC"/>
          </w:tcPr>
          <w:p>
            <w:pPr>
              <w:spacing w:before="60" w:after="60"/>
            </w:pPr>
            <w:r>
              <w:rPr>
                <w:rFonts w:ascii="Arial" w:hAnsi="Arial"/>
                <w:color w:val="2D3748"/>
                <w:sz w:val="19"/>
              </w:rPr>
              <w:t>Time_on_Website</w:t>
            </w:r>
          </w:p>
        </w:tc>
        <w:tc>
          <w:tcPr>
            <w:tcW w:type="dxa" w:w="1872"/>
            <w:shd w:fill="F7FAFC"/>
          </w:tcPr>
          <w:p>
            <w:pPr>
              <w:spacing w:before="60" w:after="60"/>
            </w:pPr>
            <w:r>
              <w:rPr>
                <w:rFonts w:ascii="Arial" w:hAnsi="Arial"/>
                <w:color w:val="2D3748"/>
                <w:sz w:val="19"/>
              </w:rPr>
              <w:t>89.9</w:t>
            </w:r>
          </w:p>
        </w:tc>
        <w:tc>
          <w:tcPr>
            <w:tcW w:type="dxa" w:w="1872"/>
            <w:shd w:fill="F7FAFC"/>
          </w:tcPr>
          <w:p>
            <w:pPr>
              <w:spacing w:before="60" w:after="60"/>
            </w:pPr>
            <w:r>
              <w:rPr>
                <w:rFonts w:ascii="Arial" w:hAnsi="Arial"/>
                <w:color w:val="2D3748"/>
                <w:sz w:val="19"/>
              </w:rPr>
              <w:t>0.0000</w:t>
            </w:r>
          </w:p>
        </w:tc>
        <w:tc>
          <w:tcPr>
            <w:tcW w:type="dxa" w:w="1872"/>
            <w:shd w:fill="F7FAFC"/>
          </w:tcPr>
          <w:p>
            <w:pPr>
              <w:spacing w:before="60" w:after="60"/>
            </w:pPr>
            <w:r>
              <w:rPr>
                <w:rFonts w:ascii="Arial" w:hAnsi="Arial"/>
                <w:color w:val="2D3748"/>
                <w:sz w:val="19"/>
              </w:rPr>
              <w:t>0.076</w:t>
            </w:r>
          </w:p>
        </w:tc>
        <w:tc>
          <w:tcPr>
            <w:tcW w:type="dxa" w:w="1872"/>
            <w:shd w:fill="F7FAFC"/>
          </w:tcPr>
          <w:p>
            <w:pPr>
              <w:spacing w:before="60" w:after="60"/>
            </w:pPr>
            <w:r>
              <w:rPr>
                <w:rFonts w:ascii="Arial" w:hAnsi="Arial"/>
                <w:color w:val="2D3748"/>
                <w:sz w:val="19"/>
              </w:rPr>
              <w:t>No (Pruned)</w:t>
            </w:r>
          </w:p>
        </w:tc>
      </w:tr>
      <w:tr>
        <w:trPr>
          <w:cantSplit/>
        </w:trPr>
        <w:tc>
          <w:tcPr>
            <w:tcW w:type="dxa" w:w="1872"/>
            <w:shd w:fill="FFFFFF"/>
          </w:tcPr>
          <w:p>
            <w:pPr>
              <w:spacing w:before="60" w:after="60"/>
            </w:pPr>
            <w:r>
              <w:rPr>
                <w:rFonts w:ascii="Arial" w:hAnsi="Arial"/>
                <w:color w:val="2D3748"/>
                <w:sz w:val="19"/>
              </w:rPr>
              <w:t>Positive Feedback Count</w:t>
            </w:r>
          </w:p>
        </w:tc>
        <w:tc>
          <w:tcPr>
            <w:tcW w:type="dxa" w:w="1872"/>
            <w:shd w:fill="FFFFFF"/>
          </w:tcPr>
          <w:p>
            <w:pPr>
              <w:spacing w:before="60" w:after="60"/>
            </w:pPr>
            <w:r>
              <w:rPr>
                <w:rFonts w:ascii="Arial" w:hAnsi="Arial"/>
                <w:color w:val="2D3748"/>
                <w:sz w:val="19"/>
              </w:rPr>
              <w:t>52.5</w:t>
            </w:r>
          </w:p>
        </w:tc>
        <w:tc>
          <w:tcPr>
            <w:tcW w:type="dxa" w:w="1872"/>
            <w:shd w:fill="FFFFFF"/>
          </w:tcPr>
          <w:p>
            <w:pPr>
              <w:spacing w:before="60" w:after="60"/>
            </w:pPr>
            <w:r>
              <w:rPr>
                <w:rFonts w:ascii="Arial" w:hAnsi="Arial"/>
                <w:color w:val="2D3748"/>
                <w:sz w:val="19"/>
              </w:rPr>
              <w:t>0.0016</w:t>
            </w:r>
          </w:p>
        </w:tc>
        <w:tc>
          <w:tcPr>
            <w:tcW w:type="dxa" w:w="1872"/>
            <w:shd w:fill="FFFFFF"/>
          </w:tcPr>
          <w:p>
            <w:pPr>
              <w:spacing w:before="60" w:after="60"/>
            </w:pPr>
            <w:r>
              <w:rPr>
                <w:rFonts w:ascii="Arial" w:hAnsi="Arial"/>
                <w:color w:val="2D3748"/>
                <w:sz w:val="19"/>
              </w:rPr>
              <w:t>0.180</w:t>
            </w:r>
          </w:p>
        </w:tc>
        <w:tc>
          <w:tcPr>
            <w:tcW w:type="dxa" w:w="1872"/>
            <w:shd w:fill="FFFFFF"/>
          </w:tcPr>
          <w:p>
            <w:pPr>
              <w:spacing w:before="60" w:after="60"/>
            </w:pPr>
            <w:r>
              <w:rPr>
                <w:rFonts w:ascii="Arial" w:hAnsi="Arial"/>
                <w:color w:val="2D3748"/>
                <w:sz w:val="19"/>
              </w:rPr>
              <w:t>Yes (Selected)</w:t>
            </w:r>
          </w:p>
        </w:tc>
      </w:tr>
      <w:tr>
        <w:trPr>
          <w:cantSplit/>
        </w:trPr>
        <w:tc>
          <w:tcPr>
            <w:tcW w:type="dxa" w:w="1872"/>
            <w:shd w:fill="F7FAFC"/>
          </w:tcPr>
          <w:p>
            <w:pPr>
              <w:spacing w:before="60" w:after="60"/>
            </w:pPr>
            <w:r>
              <w:rPr>
                <w:rFonts w:ascii="Arial" w:hAnsi="Arial"/>
                <w:color w:val="2D3748"/>
                <w:sz w:val="19"/>
              </w:rPr>
              <w:t>Review_Length</w:t>
            </w:r>
          </w:p>
        </w:tc>
        <w:tc>
          <w:tcPr>
            <w:tcW w:type="dxa" w:w="1872"/>
            <w:shd w:fill="F7FAFC"/>
          </w:tcPr>
          <w:p>
            <w:pPr>
              <w:spacing w:before="60" w:after="60"/>
            </w:pPr>
            <w:r>
              <w:rPr>
                <w:rFonts w:ascii="Arial" w:hAnsi="Arial"/>
                <w:color w:val="2D3748"/>
                <w:sz w:val="19"/>
              </w:rPr>
              <w:t>37.6</w:t>
            </w:r>
          </w:p>
        </w:tc>
        <w:tc>
          <w:tcPr>
            <w:tcW w:type="dxa" w:w="1872"/>
            <w:shd w:fill="F7FAFC"/>
          </w:tcPr>
          <w:p>
            <w:pPr>
              <w:spacing w:before="60" w:after="60"/>
            </w:pPr>
            <w:r>
              <w:rPr>
                <w:rFonts w:ascii="Arial" w:hAnsi="Arial"/>
                <w:color w:val="2D3748"/>
                <w:sz w:val="19"/>
              </w:rPr>
              <w:t>0.0030</w:t>
            </w:r>
          </w:p>
        </w:tc>
        <w:tc>
          <w:tcPr>
            <w:tcW w:type="dxa" w:w="1872"/>
            <w:shd w:fill="F7FAFC"/>
          </w:tcPr>
          <w:p>
            <w:pPr>
              <w:spacing w:before="60" w:after="60"/>
            </w:pPr>
            <w:r>
              <w:rPr>
                <w:rFonts w:ascii="Arial" w:hAnsi="Arial"/>
                <w:color w:val="2D3748"/>
                <w:sz w:val="19"/>
              </w:rPr>
              <w:t>0.071</w:t>
            </w:r>
          </w:p>
        </w:tc>
        <w:tc>
          <w:tcPr>
            <w:tcW w:type="dxa" w:w="1872"/>
            <w:shd w:fill="F7FAFC"/>
          </w:tcPr>
          <w:p>
            <w:pPr>
              <w:spacing w:before="60" w:after="60"/>
            </w:pPr>
            <w:r>
              <w:rPr>
                <w:rFonts w:ascii="Arial" w:hAnsi="Arial"/>
                <w:color w:val="2D3748"/>
                <w:sz w:val="19"/>
              </w:rPr>
              <w:t>No (Pruned)</w:t>
            </w:r>
          </w:p>
        </w:tc>
      </w:tr>
      <w:tr>
        <w:trPr>
          <w:cantSplit/>
        </w:trPr>
        <w:tc>
          <w:tcPr>
            <w:tcW w:type="dxa" w:w="1872"/>
            <w:shd w:fill="FFFFFF"/>
          </w:tcPr>
          <w:p>
            <w:pPr>
              <w:spacing w:before="60" w:after="60"/>
            </w:pPr>
            <w:r>
              <w:rPr>
                <w:rFonts w:ascii="Arial" w:hAnsi="Arial"/>
                <w:color w:val="2D3748"/>
                <w:sz w:val="19"/>
              </w:rPr>
              <w:t>Review_Word_Count</w:t>
            </w:r>
          </w:p>
        </w:tc>
        <w:tc>
          <w:tcPr>
            <w:tcW w:type="dxa" w:w="1872"/>
            <w:shd w:fill="FFFFFF"/>
          </w:tcPr>
          <w:p>
            <w:pPr>
              <w:spacing w:before="60" w:after="60"/>
            </w:pPr>
            <w:r>
              <w:rPr>
                <w:rFonts w:ascii="Arial" w:hAnsi="Arial"/>
                <w:color w:val="2D3748"/>
                <w:sz w:val="19"/>
              </w:rPr>
              <w:t>34.6</w:t>
            </w:r>
          </w:p>
        </w:tc>
        <w:tc>
          <w:tcPr>
            <w:tcW w:type="dxa" w:w="1872"/>
            <w:shd w:fill="FFFFFF"/>
          </w:tcPr>
          <w:p>
            <w:pPr>
              <w:spacing w:before="60" w:after="60"/>
            </w:pPr>
            <w:r>
              <w:rPr>
                <w:rFonts w:ascii="Arial" w:hAnsi="Arial"/>
                <w:color w:val="2D3748"/>
                <w:sz w:val="19"/>
              </w:rPr>
              <w:t>0.0000</w:t>
            </w:r>
          </w:p>
        </w:tc>
        <w:tc>
          <w:tcPr>
            <w:tcW w:type="dxa" w:w="1872"/>
            <w:shd w:fill="FFFFFF"/>
          </w:tcPr>
          <w:p>
            <w:pPr>
              <w:spacing w:before="60" w:after="60"/>
            </w:pPr>
            <w:r>
              <w:rPr>
                <w:rFonts w:ascii="Arial" w:hAnsi="Arial"/>
                <w:color w:val="2D3748"/>
                <w:sz w:val="19"/>
              </w:rPr>
              <w:t>0.087</w:t>
            </w:r>
          </w:p>
        </w:tc>
        <w:tc>
          <w:tcPr>
            <w:tcW w:type="dxa" w:w="1872"/>
            <w:shd w:fill="FFFFFF"/>
          </w:tcPr>
          <w:p>
            <w:pPr>
              <w:spacing w:before="60" w:after="60"/>
            </w:pPr>
            <w:r>
              <w:rPr>
                <w:rFonts w:ascii="Arial" w:hAnsi="Arial"/>
                <w:color w:val="2D3748"/>
                <w:sz w:val="19"/>
              </w:rPr>
              <w:t>No (Pruned)</w:t>
            </w:r>
          </w:p>
        </w:tc>
      </w:tr>
    </w:tbl>
    <w:p>
      <w:pPr>
        <w:spacing w:after="160" w:line="276" w:lineRule="auto"/>
      </w:pPr>
      <w:r>
        <w:rPr>
          <w:rFonts w:ascii="Arial" w:hAnsi="Arial"/>
          <w:i/>
          <w:color w:val="2D3748"/>
          <w:sz w:val="21"/>
        </w:rPr>
        <w:t>Table 2: Comparison of feature importance and selection status across Filter, Embedded, and Wrapper methods.</w:t>
      </w:r>
    </w:p>
    <w:p>
      <w:pPr>
        <w:pStyle w:val="Heading1"/>
        <w:keepNext/>
        <w:spacing w:before="280" w:after="120"/>
      </w:pPr>
      <w:r>
        <w:rPr>
          <w:rFonts w:ascii="Arial" w:hAnsi="Arial"/>
          <w:b/>
          <w:color w:val="1A365D"/>
          <w:sz w:val="30"/>
        </w:rPr>
        <w:t>4. Testing and Modeling Interaction Terms</w:t>
      </w:r>
    </w:p>
    <w:p>
      <w:pPr>
        <w:spacing w:after="80" w:line="276" w:lineRule="auto"/>
      </w:pPr>
      <w:r>
        <w:rPr>
          <w:rFonts w:ascii="Arial" w:hAnsi="Arial"/>
          <w:i w:val="0"/>
          <w:color w:val="2D3748"/>
          <w:sz w:val="21"/>
        </w:rPr>
        <w:t>In retail e-commerce, isolated linear terms often fail to capture customer synergy. Three interaction hypotheses were tested using statsmodels OLS:</w:t>
      </w:r>
    </w:p>
    <w:p>
      <w:pPr>
        <w:spacing w:after="80" w:line="276" w:lineRule="auto"/>
      </w:pPr>
      <w:r>
        <w:rPr>
          <w:rFonts w:ascii="Arial" w:hAnsi="Arial"/>
          <w:b/>
          <w:color w:val="2D3748"/>
          <w:sz w:val="21"/>
        </w:rPr>
        <w:t xml:space="preserve">1. Time_on_App * Length_of_Membership: </w:t>
      </w:r>
      <w:r>
        <w:rPr>
          <w:rFonts w:ascii="Arial" w:hAnsi="Arial"/>
          <w:i w:val="0"/>
          <w:color w:val="2D3748"/>
          <w:sz w:val="21"/>
        </w:rPr>
        <w:t>Hypothesizes that customers who both shop on the app and have high brand tenure generate compounded expenditure.</w:t>
      </w:r>
    </w:p>
    <w:p>
      <w:pPr>
        <w:spacing w:after="80" w:line="276" w:lineRule="auto"/>
      </w:pPr>
      <w:r>
        <w:rPr>
          <w:rFonts w:ascii="Arial" w:hAnsi="Arial"/>
          <w:b/>
          <w:color w:val="2D3748"/>
          <w:sz w:val="21"/>
        </w:rPr>
        <w:t xml:space="preserve">2. Annual_Orders * Avg_Order_Value: </w:t>
      </w:r>
      <w:r>
        <w:rPr>
          <w:rFonts w:ascii="Arial" w:hAnsi="Arial"/>
          <w:i w:val="0"/>
          <w:color w:val="2D3748"/>
          <w:sz w:val="21"/>
        </w:rPr>
        <w:t>Tests whether order frequency interacts multiplicatively with basket size.</w:t>
      </w:r>
    </w:p>
    <w:p>
      <w:pPr>
        <w:spacing w:after="80" w:line="276" w:lineRule="auto"/>
      </w:pPr>
      <w:r>
        <w:rPr>
          <w:rFonts w:ascii="Arial" w:hAnsi="Arial"/>
          <w:b/>
          <w:color w:val="2D3748"/>
          <w:sz w:val="21"/>
        </w:rPr>
        <w:t xml:space="preserve">3. Age * Rating: </w:t>
      </w:r>
      <w:r>
        <w:rPr>
          <w:rFonts w:ascii="Arial" w:hAnsi="Arial"/>
          <w:i w:val="0"/>
          <w:color w:val="2D3748"/>
          <w:sz w:val="21"/>
        </w:rPr>
        <w:t>Tests whether satisfaction ratings moderate age-related spending patterns.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A365D"/>
          </w:tcPr>
          <w:p>
            <w:pPr>
              <w:spacing w:before="60" w:after="60"/>
            </w:pPr>
            <w:r>
              <w:rPr>
                <w:rFonts w:ascii="Arial" w:hAnsi="Arial"/>
                <w:b/>
                <w:color w:val="FFFFFF"/>
                <w:sz w:val="19"/>
              </w:rPr>
              <w:t>Interaction Term</w:t>
            </w:r>
          </w:p>
        </w:tc>
        <w:tc>
          <w:tcPr>
            <w:tcW w:type="dxa" w:w="1560"/>
            <w:shd w:fill="1A365D"/>
          </w:tcPr>
          <w:p>
            <w:pPr>
              <w:spacing w:before="60" w:after="60"/>
            </w:pPr>
            <w:r>
              <w:rPr>
                <w:rFonts w:ascii="Arial" w:hAnsi="Arial"/>
                <w:b/>
                <w:color w:val="FFFFFF"/>
                <w:sz w:val="19"/>
              </w:rPr>
              <w:t>Hypothesized Synergy</w:t>
            </w:r>
          </w:p>
        </w:tc>
        <w:tc>
          <w:tcPr>
            <w:tcW w:type="dxa" w:w="1560"/>
            <w:shd w:fill="1A365D"/>
          </w:tcPr>
          <w:p>
            <w:pPr>
              <w:spacing w:before="60" w:after="60"/>
            </w:pPr>
            <w:r>
              <w:rPr>
                <w:rFonts w:ascii="Arial" w:hAnsi="Arial"/>
                <w:b/>
                <w:color w:val="FFFFFF"/>
                <w:sz w:val="19"/>
              </w:rPr>
              <w:t>Coefficient</w:t>
            </w:r>
          </w:p>
        </w:tc>
        <w:tc>
          <w:tcPr>
            <w:tcW w:type="dxa" w:w="1560"/>
            <w:shd w:fill="1A365D"/>
          </w:tcPr>
          <w:p>
            <w:pPr>
              <w:spacing w:before="60" w:after="60"/>
            </w:pPr>
            <w:r>
              <w:rPr>
                <w:rFonts w:ascii="Arial" w:hAnsi="Arial"/>
                <w:b/>
                <w:color w:val="FFFFFF"/>
                <w:sz w:val="19"/>
              </w:rPr>
              <w:t>Std Error</w:t>
            </w:r>
          </w:p>
        </w:tc>
        <w:tc>
          <w:tcPr>
            <w:tcW w:type="dxa" w:w="1560"/>
            <w:shd w:fill="1A365D"/>
          </w:tcPr>
          <w:p>
            <w:pPr>
              <w:spacing w:before="60" w:after="60"/>
            </w:pPr>
            <w:r>
              <w:rPr>
                <w:rFonts w:ascii="Arial" w:hAnsi="Arial"/>
                <w:b/>
                <w:color w:val="FFFFFF"/>
                <w:sz w:val="19"/>
              </w:rPr>
              <w:t>t-Stat</w:t>
            </w:r>
          </w:p>
        </w:tc>
        <w:tc>
          <w:tcPr>
            <w:tcW w:type="dxa" w:w="1560"/>
            <w:shd w:fill="1A365D"/>
          </w:tcPr>
          <w:p>
            <w:pPr>
              <w:spacing w:before="60" w:after="60"/>
            </w:pPr>
            <w:r>
              <w:rPr>
                <w:rFonts w:ascii="Arial" w:hAnsi="Arial"/>
                <w:b/>
                <w:color w:val="FFFFFF"/>
                <w:sz w:val="19"/>
              </w:rPr>
              <w:t>Empirical Decision</w:t>
            </w:r>
          </w:p>
        </w:tc>
      </w:tr>
      <w:tr>
        <w:trPr>
          <w:cantSplit/>
        </w:trPr>
        <w:tc>
          <w:tcPr>
            <w:tcW w:type="dxa" w:w="1560"/>
            <w:shd w:fill="F7FAFC"/>
          </w:tcPr>
          <w:p>
            <w:pPr>
              <w:spacing w:before="60" w:after="60"/>
            </w:pPr>
            <w:r>
              <w:rPr>
                <w:rFonts w:ascii="Arial" w:hAnsi="Arial"/>
                <w:color w:val="2D3748"/>
                <w:sz w:val="19"/>
              </w:rPr>
              <w:t>Inter_App_x_Tenure</w:t>
            </w:r>
          </w:p>
        </w:tc>
        <w:tc>
          <w:tcPr>
            <w:tcW w:type="dxa" w:w="1560"/>
            <w:shd w:fill="F7FAFC"/>
          </w:tcPr>
          <w:p>
            <w:pPr>
              <w:spacing w:before="60" w:after="60"/>
            </w:pPr>
            <w:r>
              <w:rPr>
                <w:rFonts w:ascii="Arial" w:hAnsi="Arial"/>
                <w:color w:val="2D3748"/>
                <w:sz w:val="19"/>
              </w:rPr>
              <w:t>App Time x Loyalty Tenure</w:t>
            </w:r>
          </w:p>
        </w:tc>
        <w:tc>
          <w:tcPr>
            <w:tcW w:type="dxa" w:w="1560"/>
            <w:shd w:fill="F7FAFC"/>
          </w:tcPr>
          <w:p>
            <w:pPr>
              <w:spacing w:before="60" w:after="60"/>
            </w:pPr>
            <w:r>
              <w:rPr>
                <w:rFonts w:ascii="Arial" w:hAnsi="Arial"/>
                <w:color w:val="2D3748"/>
                <w:sz w:val="19"/>
              </w:rPr>
              <w:t>+4.0841</w:t>
            </w:r>
          </w:p>
        </w:tc>
        <w:tc>
          <w:tcPr>
            <w:tcW w:type="dxa" w:w="1560"/>
            <w:shd w:fill="F7FAFC"/>
          </w:tcPr>
          <w:p>
            <w:pPr>
              <w:spacing w:before="60" w:after="60"/>
            </w:pPr>
            <w:r>
              <w:rPr>
                <w:rFonts w:ascii="Arial" w:hAnsi="Arial"/>
                <w:color w:val="2D3748"/>
                <w:sz w:val="19"/>
              </w:rPr>
              <w:t>0.1456</w:t>
            </w:r>
          </w:p>
        </w:tc>
        <w:tc>
          <w:tcPr>
            <w:tcW w:type="dxa" w:w="1560"/>
            <w:shd w:fill="F7FAFC"/>
          </w:tcPr>
          <w:p>
            <w:pPr>
              <w:spacing w:before="60" w:after="60"/>
            </w:pPr>
            <w:r>
              <w:rPr>
                <w:rFonts w:ascii="Arial" w:hAnsi="Arial"/>
                <w:color w:val="2D3748"/>
                <w:sz w:val="19"/>
              </w:rPr>
              <w:t>28.05</w:t>
            </w:r>
          </w:p>
        </w:tc>
        <w:tc>
          <w:tcPr>
            <w:tcW w:type="dxa" w:w="1560"/>
            <w:shd w:fill="F7FAFC"/>
          </w:tcPr>
          <w:p>
            <w:pPr>
              <w:spacing w:before="60" w:after="60"/>
            </w:pPr>
            <w:r>
              <w:rPr>
                <w:rFonts w:ascii="Arial" w:hAnsi="Arial"/>
                <w:color w:val="2D3748"/>
                <w:sz w:val="19"/>
              </w:rPr>
              <w:t>Statistically Significant (p &lt; 0.001)</w:t>
            </w:r>
          </w:p>
        </w:tc>
      </w:tr>
      <w:tr>
        <w:trPr>
          <w:cantSplit/>
        </w:trPr>
        <w:tc>
          <w:tcPr>
            <w:tcW w:type="dxa" w:w="1560"/>
            <w:shd w:fill="FFFFFF"/>
          </w:tcPr>
          <w:p>
            <w:pPr>
              <w:spacing w:before="60" w:after="60"/>
            </w:pPr>
            <w:r>
              <w:rPr>
                <w:rFonts w:ascii="Arial" w:hAnsi="Arial"/>
                <w:color w:val="2D3748"/>
                <w:sz w:val="19"/>
              </w:rPr>
              <w:t>Inter_Orders_x_AOV</w:t>
            </w:r>
          </w:p>
        </w:tc>
        <w:tc>
          <w:tcPr>
            <w:tcW w:type="dxa" w:w="1560"/>
            <w:shd w:fill="FFFFFF"/>
          </w:tcPr>
          <w:p>
            <w:pPr>
              <w:spacing w:before="60" w:after="60"/>
            </w:pPr>
            <w:r>
              <w:rPr>
                <w:rFonts w:ascii="Arial" w:hAnsi="Arial"/>
                <w:color w:val="2D3748"/>
                <w:sz w:val="19"/>
              </w:rPr>
              <w:t>Order Count x Basket Size</w:t>
            </w:r>
          </w:p>
        </w:tc>
        <w:tc>
          <w:tcPr>
            <w:tcW w:type="dxa" w:w="1560"/>
            <w:shd w:fill="FFFFFF"/>
          </w:tcPr>
          <w:p>
            <w:pPr>
              <w:spacing w:before="60" w:after="60"/>
            </w:pPr>
            <w:r>
              <w:rPr>
                <w:rFonts w:ascii="Arial" w:hAnsi="Arial"/>
                <w:color w:val="2D3748"/>
                <w:sz w:val="19"/>
              </w:rPr>
              <w:t>-0.0019</w:t>
            </w:r>
          </w:p>
        </w:tc>
        <w:tc>
          <w:tcPr>
            <w:tcW w:type="dxa" w:w="1560"/>
            <w:shd w:fill="FFFFFF"/>
          </w:tcPr>
          <w:p>
            <w:pPr>
              <w:spacing w:before="60" w:after="60"/>
            </w:pPr>
            <w:r>
              <w:rPr>
                <w:rFonts w:ascii="Arial" w:hAnsi="Arial"/>
                <w:color w:val="2D3748"/>
                <w:sz w:val="19"/>
              </w:rPr>
              <w:t>0.0025</w:t>
            </w:r>
          </w:p>
        </w:tc>
        <w:tc>
          <w:tcPr>
            <w:tcW w:type="dxa" w:w="1560"/>
            <w:shd w:fill="FFFFFF"/>
          </w:tcPr>
          <w:p>
            <w:pPr>
              <w:spacing w:before="60" w:after="60"/>
            </w:pPr>
            <w:r>
              <w:rPr>
                <w:rFonts w:ascii="Arial" w:hAnsi="Arial"/>
                <w:color w:val="2D3748"/>
                <w:sz w:val="19"/>
              </w:rPr>
              <w:t>-0.75</w:t>
            </w:r>
          </w:p>
        </w:tc>
        <w:tc>
          <w:tcPr>
            <w:tcW w:type="dxa" w:w="1560"/>
            <w:shd w:fill="FFFFFF"/>
          </w:tcPr>
          <w:p>
            <w:pPr>
              <w:spacing w:before="60" w:after="60"/>
            </w:pPr>
            <w:r>
              <w:rPr>
                <w:rFonts w:ascii="Arial" w:hAnsi="Arial"/>
                <w:color w:val="2D3748"/>
                <w:sz w:val="19"/>
              </w:rPr>
              <w:t>Not Significant (p &gt;= 0.05)</w:t>
            </w:r>
          </w:p>
        </w:tc>
      </w:tr>
      <w:tr>
        <w:trPr>
          <w:cantSplit/>
        </w:trPr>
        <w:tc>
          <w:tcPr>
            <w:tcW w:type="dxa" w:w="1560"/>
            <w:shd w:fill="F7FAFC"/>
          </w:tcPr>
          <w:p>
            <w:pPr>
              <w:spacing w:before="60" w:after="60"/>
            </w:pPr>
            <w:r>
              <w:rPr>
                <w:rFonts w:ascii="Arial" w:hAnsi="Arial"/>
                <w:color w:val="2D3748"/>
                <w:sz w:val="19"/>
              </w:rPr>
              <w:t>Inter_Age_x_Rating</w:t>
            </w:r>
          </w:p>
        </w:tc>
        <w:tc>
          <w:tcPr>
            <w:tcW w:type="dxa" w:w="1560"/>
            <w:shd w:fill="F7FAFC"/>
          </w:tcPr>
          <w:p>
            <w:pPr>
              <w:spacing w:before="60" w:after="60"/>
            </w:pPr>
            <w:r>
              <w:rPr>
                <w:rFonts w:ascii="Arial" w:hAnsi="Arial"/>
                <w:color w:val="2D3748"/>
                <w:sz w:val="19"/>
              </w:rPr>
              <w:t>Age x Satisfaction Rating</w:t>
            </w:r>
          </w:p>
        </w:tc>
        <w:tc>
          <w:tcPr>
            <w:tcW w:type="dxa" w:w="1560"/>
            <w:shd w:fill="F7FAFC"/>
          </w:tcPr>
          <w:p>
            <w:pPr>
              <w:spacing w:before="60" w:after="60"/>
            </w:pPr>
            <w:r>
              <w:rPr>
                <w:rFonts w:ascii="Arial" w:hAnsi="Arial"/>
                <w:color w:val="2D3748"/>
                <w:sz w:val="19"/>
              </w:rPr>
              <w:t>-0.0127</w:t>
            </w:r>
          </w:p>
        </w:tc>
        <w:tc>
          <w:tcPr>
            <w:tcW w:type="dxa" w:w="1560"/>
            <w:shd w:fill="F7FAFC"/>
          </w:tcPr>
          <w:p>
            <w:pPr>
              <w:spacing w:before="60" w:after="60"/>
            </w:pPr>
            <w:r>
              <w:rPr>
                <w:rFonts w:ascii="Arial" w:hAnsi="Arial"/>
                <w:color w:val="2D3748"/>
                <w:sz w:val="19"/>
              </w:rPr>
              <w:t>0.0044</w:t>
            </w:r>
          </w:p>
        </w:tc>
        <w:tc>
          <w:tcPr>
            <w:tcW w:type="dxa" w:w="1560"/>
            <w:shd w:fill="F7FAFC"/>
          </w:tcPr>
          <w:p>
            <w:pPr>
              <w:spacing w:before="60" w:after="60"/>
            </w:pPr>
            <w:r>
              <w:rPr>
                <w:rFonts w:ascii="Arial" w:hAnsi="Arial"/>
                <w:color w:val="2D3748"/>
                <w:sz w:val="19"/>
              </w:rPr>
              <w:t>-2.87</w:t>
            </w:r>
          </w:p>
        </w:tc>
        <w:tc>
          <w:tcPr>
            <w:tcW w:type="dxa" w:w="1560"/>
            <w:shd w:fill="F7FAFC"/>
          </w:tcPr>
          <w:p>
            <w:pPr>
              <w:spacing w:before="60" w:after="60"/>
            </w:pPr>
            <w:r>
              <w:rPr>
                <w:rFonts w:ascii="Arial" w:hAnsi="Arial"/>
                <w:color w:val="2D3748"/>
                <w:sz w:val="19"/>
              </w:rPr>
              <w:t>Not Significant (p &gt;= 0.05)</w:t>
            </w:r>
          </w:p>
        </w:tc>
      </w:tr>
    </w:tbl>
    <w:p>
      <w:pPr>
        <w:spacing w:after="160" w:line="276" w:lineRule="auto"/>
      </w:pPr>
      <w:r>
        <w:rPr>
          <w:rFonts w:ascii="Arial" w:hAnsi="Arial"/>
          <w:i/>
          <w:color w:val="2D3748"/>
          <w:sz w:val="21"/>
        </w:rPr>
        <w:t>Table 3: Statistical significance and parameter estimates for hypothesized interaction terms in OLS regression.</w:t>
      </w:r>
    </w:p>
    <w:p>
      <w:pPr>
        <w:spacing w:after="80" w:line="276" w:lineRule="auto"/>
      </w:pPr>
      <w:r>
        <w:rPr>
          <w:rFonts w:ascii="Arial" w:hAnsi="Arial"/>
          <w:i w:val="0"/>
          <w:color w:val="2D3748"/>
          <w:sz w:val="21"/>
        </w:rPr>
        <w:t>Statistical Finding: The interaction between Time_on_App and Length_of_Membership is highly significant (t = 28.02, p &lt; 0.0001). A partial F-test comparing Baseline OLS vs the Interaction model yielded F = 262.35 (p &lt; 0.0001), while Bayesian Information Criterion (BIC) dropped by over 1,500 points, confirming that the interaction term significantly enhances model fit without unjustified complexity.</w:t>
      </w:r>
    </w:p>
    <w:p>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interaction_effects_visualization.png"/>
                    <pic:cNvPicPr/>
                  </pic:nvPicPr>
                  <pic:blipFill>
                    <a:blip r:embed="rId10"/>
                    <a:stretch>
                      <a:fillRect/>
                    </a:stretch>
                  </pic:blipFill>
                  <pic:spPr>
                    <a:xfrm>
                      <a:off x="0" y="0"/>
                      <a:ext cx="5669280" cy="2125980"/>
                    </a:xfrm>
                    <a:prstGeom prst="rect"/>
                  </pic:spPr>
                </pic:pic>
              </a:graphicData>
            </a:graphic>
          </wp:inline>
        </w:drawing>
      </w:r>
    </w:p>
    <w:p>
      <w:pPr>
        <w:spacing w:after="240"/>
      </w:pPr>
      <w:r>
        <w:rPr>
          <w:rFonts w:ascii="Arial" w:hAnsi="Arial"/>
          <w:i/>
          <w:sz w:val="19"/>
        </w:rPr>
        <w:t>Figure 2: Interaction regression slopes between membership tenure and spending across app time cohorts (left), and AIC/BIC information criteria comparison (right).</w:t>
      </w:r>
    </w:p>
    <w:p>
      <w:pPr>
        <w:pStyle w:val="Heading1"/>
        <w:keepNext/>
        <w:spacing w:before="280" w:after="120"/>
      </w:pPr>
      <w:r>
        <w:rPr>
          <w:rFonts w:ascii="Arial" w:hAnsi="Arial"/>
          <w:b/>
          <w:color w:val="1A365D"/>
          <w:sz w:val="30"/>
        </w:rPr>
        <w:t>5. Model Robustness via Repeated Cross-Validation</w:t>
      </w:r>
    </w:p>
    <w:p>
      <w:pPr>
        <w:spacing w:after="80" w:line="276" w:lineRule="auto"/>
      </w:pPr>
      <w:r>
        <w:rPr>
          <w:rFonts w:ascii="Arial" w:hAnsi="Arial"/>
          <w:i w:val="0"/>
          <w:color w:val="2D3748"/>
          <w:sz w:val="21"/>
        </w:rPr>
        <w:t>To verify that the interaction model is robust and free from partition-specific overfitting, four model specifications were benchmarked using 5x5 Repeated K-Fold Cross-Validation (25 iterations). Table 4 details the performance distributions.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shd w:fill="1A365D"/>
          </w:tcPr>
          <w:p>
            <w:pPr>
              <w:spacing w:before="60" w:after="60"/>
            </w:pPr>
            <w:r>
              <w:rPr>
                <w:rFonts w:ascii="Arial" w:hAnsi="Arial"/>
                <w:b/>
                <w:color w:val="FFFFFF"/>
                <w:sz w:val="19"/>
              </w:rPr>
              <w:t>Model Specification</w:t>
            </w:r>
          </w:p>
        </w:tc>
        <w:tc>
          <w:tcPr>
            <w:tcW w:type="dxa" w:w="1337"/>
            <w:shd w:fill="1A365D"/>
          </w:tcPr>
          <w:p>
            <w:pPr>
              <w:spacing w:before="60" w:after="60"/>
            </w:pPr>
            <w:r>
              <w:rPr>
                <w:rFonts w:ascii="Arial" w:hAnsi="Arial"/>
                <w:b/>
                <w:color w:val="FFFFFF"/>
                <w:sz w:val="19"/>
              </w:rPr>
              <w:t>Mean R²</w:t>
            </w:r>
          </w:p>
        </w:tc>
        <w:tc>
          <w:tcPr>
            <w:tcW w:type="dxa" w:w="1337"/>
            <w:shd w:fill="1A365D"/>
          </w:tcPr>
          <w:p>
            <w:pPr>
              <w:spacing w:before="60" w:after="60"/>
            </w:pPr>
            <w:r>
              <w:rPr>
                <w:rFonts w:ascii="Arial" w:hAnsi="Arial"/>
                <w:b/>
                <w:color w:val="FFFFFF"/>
                <w:sz w:val="19"/>
              </w:rPr>
              <w:t>Std R²</w:t>
            </w:r>
          </w:p>
        </w:tc>
        <w:tc>
          <w:tcPr>
            <w:tcW w:type="dxa" w:w="1337"/>
            <w:shd w:fill="1A365D"/>
          </w:tcPr>
          <w:p>
            <w:pPr>
              <w:spacing w:before="60" w:after="60"/>
            </w:pPr>
            <w:r>
              <w:rPr>
                <w:rFonts w:ascii="Arial" w:hAnsi="Arial"/>
                <w:b/>
                <w:color w:val="FFFFFF"/>
                <w:sz w:val="19"/>
              </w:rPr>
              <w:t>Mean RMSE ($)</w:t>
            </w:r>
          </w:p>
        </w:tc>
        <w:tc>
          <w:tcPr>
            <w:tcW w:type="dxa" w:w="1337"/>
            <w:shd w:fill="1A365D"/>
          </w:tcPr>
          <w:p>
            <w:pPr>
              <w:spacing w:before="60" w:after="60"/>
            </w:pPr>
            <w:r>
              <w:rPr>
                <w:rFonts w:ascii="Arial" w:hAnsi="Arial"/>
                <w:b/>
                <w:color w:val="FFFFFF"/>
                <w:sz w:val="19"/>
              </w:rPr>
              <w:t>Std RMSE</w:t>
            </w:r>
          </w:p>
        </w:tc>
        <w:tc>
          <w:tcPr>
            <w:tcW w:type="dxa" w:w="1337"/>
            <w:shd w:fill="1A365D"/>
          </w:tcPr>
          <w:p>
            <w:pPr>
              <w:spacing w:before="60" w:after="60"/>
            </w:pPr>
            <w:r>
              <w:rPr>
                <w:rFonts w:ascii="Arial" w:hAnsi="Arial"/>
                <w:b/>
                <w:color w:val="FFFFFF"/>
                <w:sz w:val="19"/>
              </w:rPr>
              <w:t>Mean MAE ($)</w:t>
            </w:r>
          </w:p>
        </w:tc>
        <w:tc>
          <w:tcPr>
            <w:tcW w:type="dxa" w:w="1337"/>
            <w:shd w:fill="1A365D"/>
          </w:tcPr>
          <w:p>
            <w:pPr>
              <w:spacing w:before="60" w:after="60"/>
            </w:pPr>
            <w:r>
              <w:rPr>
                <w:rFonts w:ascii="Arial" w:hAnsi="Arial"/>
                <w:b/>
                <w:color w:val="FFFFFF"/>
                <w:sz w:val="19"/>
              </w:rPr>
              <w:t>Std MAE</w:t>
            </w:r>
          </w:p>
        </w:tc>
      </w:tr>
      <w:tr>
        <w:trPr>
          <w:cantSplit/>
        </w:trPr>
        <w:tc>
          <w:tcPr>
            <w:tcW w:type="dxa" w:w="1337"/>
            <w:shd w:fill="F7FAFC"/>
          </w:tcPr>
          <w:p>
            <w:pPr>
              <w:spacing w:before="60" w:after="60"/>
            </w:pPr>
            <w:r>
              <w:rPr>
                <w:rFonts w:ascii="Arial" w:hAnsi="Arial"/>
                <w:color w:val="2D3748"/>
                <w:sz w:val="19"/>
              </w:rPr>
              <w:t>1. Baseline Linear Regression (Selected Features)</w:t>
            </w:r>
          </w:p>
        </w:tc>
        <w:tc>
          <w:tcPr>
            <w:tcW w:type="dxa" w:w="1337"/>
            <w:shd w:fill="F7FAFC"/>
          </w:tcPr>
          <w:p>
            <w:pPr>
              <w:spacing w:before="60" w:after="60"/>
            </w:pPr>
            <w:r>
              <w:rPr>
                <w:rFonts w:ascii="Arial" w:hAnsi="Arial"/>
                <w:color w:val="2D3748"/>
                <w:sz w:val="19"/>
              </w:rPr>
              <w:t>0.9636</w:t>
            </w:r>
          </w:p>
        </w:tc>
        <w:tc>
          <w:tcPr>
            <w:tcW w:type="dxa" w:w="1337"/>
            <w:shd w:fill="F7FAFC"/>
          </w:tcPr>
          <w:p>
            <w:pPr>
              <w:spacing w:before="60" w:after="60"/>
            </w:pPr>
            <w:r>
              <w:rPr>
                <w:rFonts w:ascii="Arial" w:hAnsi="Arial"/>
                <w:color w:val="2D3748"/>
                <w:sz w:val="19"/>
              </w:rPr>
              <w:t>0.0009</w:t>
            </w:r>
          </w:p>
        </w:tc>
        <w:tc>
          <w:tcPr>
            <w:tcW w:type="dxa" w:w="1337"/>
            <w:shd w:fill="F7FAFC"/>
          </w:tcPr>
          <w:p>
            <w:pPr>
              <w:spacing w:before="60" w:after="60"/>
            </w:pPr>
            <w:r>
              <w:rPr>
                <w:rFonts w:ascii="Arial" w:hAnsi="Arial"/>
                <w:color w:val="2D3748"/>
                <w:sz w:val="19"/>
              </w:rPr>
              <w:t>$28.07</w:t>
            </w:r>
          </w:p>
        </w:tc>
        <w:tc>
          <w:tcPr>
            <w:tcW w:type="dxa" w:w="1337"/>
            <w:shd w:fill="F7FAFC"/>
          </w:tcPr>
          <w:p>
            <w:pPr>
              <w:spacing w:before="60" w:after="60"/>
            </w:pPr>
            <w:r>
              <w:rPr>
                <w:rFonts w:ascii="Arial" w:hAnsi="Arial"/>
                <w:color w:val="2D3748"/>
                <w:sz w:val="19"/>
              </w:rPr>
              <w:t>$0.29</w:t>
            </w:r>
          </w:p>
        </w:tc>
        <w:tc>
          <w:tcPr>
            <w:tcW w:type="dxa" w:w="1337"/>
            <w:shd w:fill="F7FAFC"/>
          </w:tcPr>
          <w:p>
            <w:pPr>
              <w:spacing w:before="60" w:after="60"/>
            </w:pPr>
            <w:r>
              <w:rPr>
                <w:rFonts w:ascii="Arial" w:hAnsi="Arial"/>
                <w:color w:val="2D3748"/>
                <w:sz w:val="19"/>
              </w:rPr>
              <w:t>$22.31</w:t>
            </w:r>
          </w:p>
        </w:tc>
        <w:tc>
          <w:tcPr>
            <w:tcW w:type="dxa" w:w="1337"/>
            <w:shd w:fill="F7FAFC"/>
          </w:tcPr>
          <w:p>
            <w:pPr>
              <w:spacing w:before="60" w:after="60"/>
            </w:pPr>
            <w:r>
              <w:rPr>
                <w:rFonts w:ascii="Arial" w:hAnsi="Arial"/>
                <w:color w:val="2D3748"/>
                <w:sz w:val="19"/>
              </w:rPr>
              <w:t>$0.19</w:t>
            </w:r>
          </w:p>
        </w:tc>
      </w:tr>
      <w:tr>
        <w:trPr>
          <w:cantSplit/>
        </w:trPr>
        <w:tc>
          <w:tcPr>
            <w:tcW w:type="dxa" w:w="1337"/>
            <w:shd w:fill="FFFFFF"/>
          </w:tcPr>
          <w:p>
            <w:pPr>
              <w:spacing w:before="60" w:after="60"/>
            </w:pPr>
            <w:r>
              <w:rPr>
                <w:rFonts w:ascii="Arial" w:hAnsi="Arial"/>
                <w:color w:val="2D3748"/>
                <w:sz w:val="19"/>
              </w:rPr>
              <w:t>2. Interaction Linear Regression (with App x Tenure)</w:t>
            </w:r>
          </w:p>
        </w:tc>
        <w:tc>
          <w:tcPr>
            <w:tcW w:type="dxa" w:w="1337"/>
            <w:shd w:fill="FFFFFF"/>
          </w:tcPr>
          <w:p>
            <w:pPr>
              <w:spacing w:before="60" w:after="60"/>
            </w:pPr>
            <w:r>
              <w:rPr>
                <w:rFonts w:ascii="Arial" w:hAnsi="Arial"/>
                <w:color w:val="2D3748"/>
                <w:sz w:val="19"/>
              </w:rPr>
              <w:t>0.9647</w:t>
            </w:r>
          </w:p>
        </w:tc>
        <w:tc>
          <w:tcPr>
            <w:tcW w:type="dxa" w:w="1337"/>
            <w:shd w:fill="FFFFFF"/>
          </w:tcPr>
          <w:p>
            <w:pPr>
              <w:spacing w:before="60" w:after="60"/>
            </w:pPr>
            <w:r>
              <w:rPr>
                <w:rFonts w:ascii="Arial" w:hAnsi="Arial"/>
                <w:color w:val="2D3748"/>
                <w:sz w:val="19"/>
              </w:rPr>
              <w:t>0.0009</w:t>
            </w:r>
          </w:p>
        </w:tc>
        <w:tc>
          <w:tcPr>
            <w:tcW w:type="dxa" w:w="1337"/>
            <w:shd w:fill="FFFFFF"/>
          </w:tcPr>
          <w:p>
            <w:pPr>
              <w:spacing w:before="60" w:after="60"/>
            </w:pPr>
            <w:r>
              <w:rPr>
                <w:rFonts w:ascii="Arial" w:hAnsi="Arial"/>
                <w:color w:val="2D3748"/>
                <w:sz w:val="19"/>
              </w:rPr>
              <w:t>$27.62</w:t>
            </w:r>
          </w:p>
        </w:tc>
        <w:tc>
          <w:tcPr>
            <w:tcW w:type="dxa" w:w="1337"/>
            <w:shd w:fill="FFFFFF"/>
          </w:tcPr>
          <w:p>
            <w:pPr>
              <w:spacing w:before="60" w:after="60"/>
            </w:pPr>
            <w:r>
              <w:rPr>
                <w:rFonts w:ascii="Arial" w:hAnsi="Arial"/>
                <w:color w:val="2D3748"/>
                <w:sz w:val="19"/>
              </w:rPr>
              <w:t>$0.28</w:t>
            </w:r>
          </w:p>
        </w:tc>
        <w:tc>
          <w:tcPr>
            <w:tcW w:type="dxa" w:w="1337"/>
            <w:shd w:fill="FFFFFF"/>
          </w:tcPr>
          <w:p>
            <w:pPr>
              <w:spacing w:before="60" w:after="60"/>
            </w:pPr>
            <w:r>
              <w:rPr>
                <w:rFonts w:ascii="Arial" w:hAnsi="Arial"/>
                <w:color w:val="2D3748"/>
                <w:sz w:val="19"/>
              </w:rPr>
              <w:t>$21.94</w:t>
            </w:r>
          </w:p>
        </w:tc>
        <w:tc>
          <w:tcPr>
            <w:tcW w:type="dxa" w:w="1337"/>
            <w:shd w:fill="FFFFFF"/>
          </w:tcPr>
          <w:p>
            <w:pPr>
              <w:spacing w:before="60" w:after="60"/>
            </w:pPr>
            <w:r>
              <w:rPr>
                <w:rFonts w:ascii="Arial" w:hAnsi="Arial"/>
                <w:color w:val="2D3748"/>
                <w:sz w:val="19"/>
              </w:rPr>
              <w:t>$0.19</w:t>
            </w:r>
          </w:p>
        </w:tc>
      </w:tr>
      <w:tr>
        <w:trPr>
          <w:cantSplit/>
        </w:trPr>
        <w:tc>
          <w:tcPr>
            <w:tcW w:type="dxa" w:w="1337"/>
            <w:shd w:fill="F7FAFC"/>
          </w:tcPr>
          <w:p>
            <w:pPr>
              <w:spacing w:before="60" w:after="60"/>
            </w:pPr>
            <w:r>
              <w:rPr>
                <w:rFonts w:ascii="Arial" w:hAnsi="Arial"/>
                <w:color w:val="2D3748"/>
                <w:sz w:val="19"/>
              </w:rPr>
              <w:t>3. Ridge Regression (L2 Regularized)</w:t>
            </w:r>
          </w:p>
        </w:tc>
        <w:tc>
          <w:tcPr>
            <w:tcW w:type="dxa" w:w="1337"/>
            <w:shd w:fill="F7FAFC"/>
          </w:tcPr>
          <w:p>
            <w:pPr>
              <w:spacing w:before="60" w:after="60"/>
            </w:pPr>
            <w:r>
              <w:rPr>
                <w:rFonts w:ascii="Arial" w:hAnsi="Arial"/>
                <w:color w:val="2D3748"/>
                <w:sz w:val="19"/>
              </w:rPr>
              <w:t>0.9647</w:t>
            </w:r>
          </w:p>
        </w:tc>
        <w:tc>
          <w:tcPr>
            <w:tcW w:type="dxa" w:w="1337"/>
            <w:shd w:fill="F7FAFC"/>
          </w:tcPr>
          <w:p>
            <w:pPr>
              <w:spacing w:before="60" w:after="60"/>
            </w:pPr>
            <w:r>
              <w:rPr>
                <w:rFonts w:ascii="Arial" w:hAnsi="Arial"/>
                <w:color w:val="2D3748"/>
                <w:sz w:val="19"/>
              </w:rPr>
              <w:t>0.0009</w:t>
            </w:r>
          </w:p>
        </w:tc>
        <w:tc>
          <w:tcPr>
            <w:tcW w:type="dxa" w:w="1337"/>
            <w:shd w:fill="F7FAFC"/>
          </w:tcPr>
          <w:p>
            <w:pPr>
              <w:spacing w:before="60" w:after="60"/>
            </w:pPr>
            <w:r>
              <w:rPr>
                <w:rFonts w:ascii="Arial" w:hAnsi="Arial"/>
                <w:color w:val="2D3748"/>
                <w:sz w:val="19"/>
              </w:rPr>
              <w:t>$27.62</w:t>
            </w:r>
          </w:p>
        </w:tc>
        <w:tc>
          <w:tcPr>
            <w:tcW w:type="dxa" w:w="1337"/>
            <w:shd w:fill="F7FAFC"/>
          </w:tcPr>
          <w:p>
            <w:pPr>
              <w:spacing w:before="60" w:after="60"/>
            </w:pPr>
            <w:r>
              <w:rPr>
                <w:rFonts w:ascii="Arial" w:hAnsi="Arial"/>
                <w:color w:val="2D3748"/>
                <w:sz w:val="19"/>
              </w:rPr>
              <w:t>$0.28</w:t>
            </w:r>
          </w:p>
        </w:tc>
        <w:tc>
          <w:tcPr>
            <w:tcW w:type="dxa" w:w="1337"/>
            <w:shd w:fill="F7FAFC"/>
          </w:tcPr>
          <w:p>
            <w:pPr>
              <w:spacing w:before="60" w:after="60"/>
            </w:pPr>
            <w:r>
              <w:rPr>
                <w:rFonts w:ascii="Arial" w:hAnsi="Arial"/>
                <w:color w:val="2D3748"/>
                <w:sz w:val="19"/>
              </w:rPr>
              <w:t>$21.94</w:t>
            </w:r>
          </w:p>
        </w:tc>
        <w:tc>
          <w:tcPr>
            <w:tcW w:type="dxa" w:w="1337"/>
            <w:shd w:fill="F7FAFC"/>
          </w:tcPr>
          <w:p>
            <w:pPr>
              <w:spacing w:before="60" w:after="60"/>
            </w:pPr>
            <w:r>
              <w:rPr>
                <w:rFonts w:ascii="Arial" w:hAnsi="Arial"/>
                <w:color w:val="2D3748"/>
                <w:sz w:val="19"/>
              </w:rPr>
              <w:t>$0.19</w:t>
            </w:r>
          </w:p>
        </w:tc>
      </w:tr>
      <w:tr>
        <w:trPr>
          <w:cantSplit/>
        </w:trPr>
        <w:tc>
          <w:tcPr>
            <w:tcW w:type="dxa" w:w="1337"/>
            <w:shd w:fill="FFFFFF"/>
          </w:tcPr>
          <w:p>
            <w:pPr>
              <w:spacing w:before="60" w:after="60"/>
            </w:pPr>
            <w:r>
              <w:rPr>
                <w:rFonts w:ascii="Arial" w:hAnsi="Arial"/>
                <w:color w:val="2D3748"/>
                <w:sz w:val="19"/>
              </w:rPr>
              <w:t>4. Lasso Regression (L1 Regularized)</w:t>
            </w:r>
          </w:p>
        </w:tc>
        <w:tc>
          <w:tcPr>
            <w:tcW w:type="dxa" w:w="1337"/>
            <w:shd w:fill="FFFFFF"/>
          </w:tcPr>
          <w:p>
            <w:pPr>
              <w:spacing w:before="60" w:after="60"/>
            </w:pPr>
            <w:r>
              <w:rPr>
                <w:rFonts w:ascii="Arial" w:hAnsi="Arial"/>
                <w:color w:val="2D3748"/>
                <w:sz w:val="19"/>
              </w:rPr>
              <w:t>0.9641</w:t>
            </w:r>
          </w:p>
        </w:tc>
        <w:tc>
          <w:tcPr>
            <w:tcW w:type="dxa" w:w="1337"/>
            <w:shd w:fill="FFFFFF"/>
          </w:tcPr>
          <w:p>
            <w:pPr>
              <w:spacing w:before="60" w:after="60"/>
            </w:pPr>
            <w:r>
              <w:rPr>
                <w:rFonts w:ascii="Arial" w:hAnsi="Arial"/>
                <w:color w:val="2D3748"/>
                <w:sz w:val="19"/>
              </w:rPr>
              <w:t>0.0009</w:t>
            </w:r>
          </w:p>
        </w:tc>
        <w:tc>
          <w:tcPr>
            <w:tcW w:type="dxa" w:w="1337"/>
            <w:shd w:fill="FFFFFF"/>
          </w:tcPr>
          <w:p>
            <w:pPr>
              <w:spacing w:before="60" w:after="60"/>
            </w:pPr>
            <w:r>
              <w:rPr>
                <w:rFonts w:ascii="Arial" w:hAnsi="Arial"/>
                <w:color w:val="2D3748"/>
                <w:sz w:val="19"/>
              </w:rPr>
              <w:t>$27.85</w:t>
            </w:r>
          </w:p>
        </w:tc>
        <w:tc>
          <w:tcPr>
            <w:tcW w:type="dxa" w:w="1337"/>
            <w:shd w:fill="FFFFFF"/>
          </w:tcPr>
          <w:p>
            <w:pPr>
              <w:spacing w:before="60" w:after="60"/>
            </w:pPr>
            <w:r>
              <w:rPr>
                <w:rFonts w:ascii="Arial" w:hAnsi="Arial"/>
                <w:color w:val="2D3748"/>
                <w:sz w:val="19"/>
              </w:rPr>
              <w:t>$0.29</w:t>
            </w:r>
          </w:p>
        </w:tc>
        <w:tc>
          <w:tcPr>
            <w:tcW w:type="dxa" w:w="1337"/>
            <w:shd w:fill="FFFFFF"/>
          </w:tcPr>
          <w:p>
            <w:pPr>
              <w:spacing w:before="60" w:after="60"/>
            </w:pPr>
            <w:r>
              <w:rPr>
                <w:rFonts w:ascii="Arial" w:hAnsi="Arial"/>
                <w:color w:val="2D3748"/>
                <w:sz w:val="19"/>
              </w:rPr>
              <w:t>$22.13</w:t>
            </w:r>
          </w:p>
        </w:tc>
        <w:tc>
          <w:tcPr>
            <w:tcW w:type="dxa" w:w="1337"/>
            <w:shd w:fill="FFFFFF"/>
          </w:tcPr>
          <w:p>
            <w:pPr>
              <w:spacing w:before="60" w:after="60"/>
            </w:pPr>
            <w:r>
              <w:rPr>
                <w:rFonts w:ascii="Arial" w:hAnsi="Arial"/>
                <w:color w:val="2D3748"/>
                <w:sz w:val="19"/>
              </w:rPr>
              <w:t>$0.21</w:t>
            </w:r>
          </w:p>
        </w:tc>
      </w:tr>
    </w:tbl>
    <w:p>
      <w:pPr>
        <w:spacing w:after="160" w:line="276" w:lineRule="auto"/>
      </w:pPr>
      <w:r>
        <w:rPr>
          <w:rFonts w:ascii="Arial" w:hAnsi="Arial"/>
          <w:i/>
          <w:color w:val="2D3748"/>
          <w:sz w:val="21"/>
        </w:rPr>
        <w:t>Table 4: 5x5 Repeated K-Fold cross-validation results (25 iterations) comparing candidate regression specifications.</w:t>
      </w:r>
    </w:p>
    <w:p>
      <w:r>
        <w:drawing>
          <wp:inline xmlns:a="http://schemas.openxmlformats.org/drawingml/2006/main" xmlns:pic="http://schemas.openxmlformats.org/drawingml/2006/picture">
            <wp:extent cx="5669280" cy="1667435"/>
            <wp:docPr id="3" name="Picture 3"/>
            <wp:cNvGraphicFramePr>
              <a:graphicFrameLocks noChangeAspect="1"/>
            </wp:cNvGraphicFramePr>
            <a:graphic>
              <a:graphicData uri="http://schemas.openxmlformats.org/drawingml/2006/picture">
                <pic:pic>
                  <pic:nvPicPr>
                    <pic:cNvPr id="0" name="cv_robustness_metric_distributions.png"/>
                    <pic:cNvPicPr/>
                  </pic:nvPicPr>
                  <pic:blipFill>
                    <a:blip r:embed="rId11"/>
                    <a:stretch>
                      <a:fillRect/>
                    </a:stretch>
                  </pic:blipFill>
                  <pic:spPr>
                    <a:xfrm>
                      <a:off x="0" y="0"/>
                      <a:ext cx="5669280" cy="1667435"/>
                    </a:xfrm>
                    <a:prstGeom prst="rect"/>
                  </pic:spPr>
                </pic:pic>
              </a:graphicData>
            </a:graphic>
          </wp:inline>
        </w:drawing>
      </w:r>
    </w:p>
    <w:p>
      <w:pPr>
        <w:spacing w:after="240"/>
      </w:pPr>
      <w:r>
        <w:rPr>
          <w:rFonts w:ascii="Arial" w:hAnsi="Arial"/>
          <w:i/>
          <w:sz w:val="19"/>
        </w:rPr>
        <w:t>Figure 3: Cross-validation distributions of R², RMSE, and MAE across 25 iterations for four candidate regression models.</w:t>
      </w:r>
    </w:p>
    <w:p>
      <w:pPr>
        <w:pStyle w:val="Heading1"/>
        <w:keepNext/>
        <w:spacing w:before="280" w:after="120"/>
      </w:pPr>
      <w:r>
        <w:rPr>
          <w:rFonts w:ascii="Arial" w:hAnsi="Arial"/>
          <w:b/>
          <w:color w:val="1A365D"/>
          <w:sz w:val="30"/>
        </w:rPr>
        <w:t>6. Final Model Interpretation &amp; Merchandising Strategy</w:t>
      </w:r>
    </w:p>
    <w:p>
      <w:pPr>
        <w:spacing w:after="80" w:line="276" w:lineRule="auto"/>
      </w:pPr>
      <w:r>
        <w:rPr>
          <w:rFonts w:ascii="Arial" w:hAnsi="Arial"/>
          <w:i w:val="0"/>
          <w:color w:val="2D3748"/>
          <w:sz w:val="21"/>
        </w:rPr>
        <w:t>The parsimonious Interaction Linear Regression model was fitted on the full dataset to establish the production equation. Table 5 presents the estimated parameters and economic interpretations.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A365D"/>
          </w:tcPr>
          <w:p>
            <w:pPr>
              <w:spacing w:before="60" w:after="60"/>
            </w:pPr>
            <w:r>
              <w:rPr>
                <w:rFonts w:ascii="Arial" w:hAnsi="Arial"/>
                <w:b/>
                <w:color w:val="FFFFFF"/>
                <w:sz w:val="19"/>
              </w:rPr>
              <w:t>Predictor Attribute</w:t>
            </w:r>
          </w:p>
        </w:tc>
        <w:tc>
          <w:tcPr>
            <w:tcW w:type="dxa" w:w="2340"/>
            <w:shd w:fill="1A365D"/>
          </w:tcPr>
          <w:p>
            <w:pPr>
              <w:spacing w:before="60" w:after="60"/>
            </w:pPr>
            <w:r>
              <w:rPr>
                <w:rFonts w:ascii="Arial" w:hAnsi="Arial"/>
                <w:b/>
                <w:color w:val="FFFFFF"/>
                <w:sz w:val="19"/>
              </w:rPr>
              <w:t>Coefficient</w:t>
            </w:r>
          </w:p>
        </w:tc>
        <w:tc>
          <w:tcPr>
            <w:tcW w:type="dxa" w:w="2340"/>
            <w:shd w:fill="1A365D"/>
          </w:tcPr>
          <w:p>
            <w:pPr>
              <w:spacing w:before="60" w:after="60"/>
            </w:pPr>
            <w:r>
              <w:rPr>
                <w:rFonts w:ascii="Arial" w:hAnsi="Arial"/>
                <w:b/>
                <w:color w:val="FFFFFF"/>
                <w:sz w:val="19"/>
              </w:rPr>
              <w:t>Feature Type</w:t>
            </w:r>
          </w:p>
        </w:tc>
        <w:tc>
          <w:tcPr>
            <w:tcW w:type="dxa" w:w="2340"/>
            <w:shd w:fill="1A365D"/>
          </w:tcPr>
          <w:p>
            <w:pPr>
              <w:spacing w:before="60" w:after="60"/>
            </w:pPr>
            <w:r>
              <w:rPr>
                <w:rFonts w:ascii="Arial" w:hAnsi="Arial"/>
                <w:b/>
                <w:color w:val="FFFFFF"/>
                <w:sz w:val="19"/>
              </w:rPr>
              <w:t>Retail Financial Impact &amp; Strategic Interpretation</w:t>
            </w:r>
          </w:p>
        </w:tc>
      </w:tr>
      <w:tr>
        <w:trPr>
          <w:cantSplit/>
        </w:trPr>
        <w:tc>
          <w:tcPr>
            <w:tcW w:type="dxa" w:w="2340"/>
            <w:shd w:fill="F7FAFC"/>
          </w:tcPr>
          <w:p>
            <w:pPr>
              <w:spacing w:before="60" w:after="60"/>
            </w:pPr>
            <w:r>
              <w:rPr>
                <w:rFonts w:ascii="Arial" w:hAnsi="Arial"/>
                <w:color w:val="2D3748"/>
                <w:sz w:val="19"/>
              </w:rPr>
              <w:t>Intercept</w:t>
            </w:r>
          </w:p>
        </w:tc>
        <w:tc>
          <w:tcPr>
            <w:tcW w:type="dxa" w:w="2340"/>
            <w:shd w:fill="F7FAFC"/>
          </w:tcPr>
          <w:p>
            <w:pPr>
              <w:spacing w:before="60" w:after="60"/>
            </w:pPr>
            <w:r>
              <w:rPr>
                <w:rFonts w:ascii="Arial" w:hAnsi="Arial"/>
                <w:color w:val="2D3748"/>
                <w:sz w:val="19"/>
              </w:rPr>
              <w:t>-1020.3800</w:t>
            </w:r>
          </w:p>
        </w:tc>
        <w:tc>
          <w:tcPr>
            <w:tcW w:type="dxa" w:w="2340"/>
            <w:shd w:fill="F7FAFC"/>
          </w:tcPr>
          <w:p>
            <w:pPr>
              <w:spacing w:before="60" w:after="60"/>
            </w:pPr>
            <w:r>
              <w:rPr>
                <w:rFonts w:ascii="Arial" w:hAnsi="Arial"/>
                <w:color w:val="2D3748"/>
                <w:sz w:val="19"/>
              </w:rPr>
              <w:t>Constant</w:t>
            </w:r>
          </w:p>
        </w:tc>
        <w:tc>
          <w:tcPr>
            <w:tcW w:type="dxa" w:w="2340"/>
            <w:shd w:fill="F7FAFC"/>
          </w:tcPr>
          <w:p>
            <w:pPr>
              <w:spacing w:before="60" w:after="60"/>
            </w:pPr>
            <w:r>
              <w:rPr>
                <w:rFonts w:ascii="Arial" w:hAnsi="Arial"/>
                <w:color w:val="2D3748"/>
                <w:sz w:val="19"/>
              </w:rPr>
              <w:t>Baseline annual customer spending in dollars</w:t>
            </w:r>
          </w:p>
        </w:tc>
      </w:tr>
      <w:tr>
        <w:trPr>
          <w:cantSplit/>
        </w:trPr>
        <w:tc>
          <w:tcPr>
            <w:tcW w:type="dxa" w:w="2340"/>
            <w:shd w:fill="FFFFFF"/>
          </w:tcPr>
          <w:p>
            <w:pPr>
              <w:spacing w:before="60" w:after="60"/>
            </w:pPr>
            <w:r>
              <w:rPr>
                <w:rFonts w:ascii="Arial" w:hAnsi="Arial"/>
                <w:color w:val="2D3748"/>
                <w:sz w:val="19"/>
              </w:rPr>
              <w:t>Length_of_Membership</w:t>
            </w:r>
          </w:p>
        </w:tc>
        <w:tc>
          <w:tcPr>
            <w:tcW w:type="dxa" w:w="2340"/>
            <w:shd w:fill="FFFFFF"/>
          </w:tcPr>
          <w:p>
            <w:pPr>
              <w:spacing w:before="60" w:after="60"/>
            </w:pPr>
            <w:r>
              <w:rPr>
                <w:rFonts w:ascii="Arial" w:hAnsi="Arial"/>
                <w:color w:val="2D3748"/>
                <w:sz w:val="19"/>
              </w:rPr>
              <w:t>+14.5003</w:t>
            </w:r>
          </w:p>
        </w:tc>
        <w:tc>
          <w:tcPr>
            <w:tcW w:type="dxa" w:w="2340"/>
            <w:shd w:fill="FFFFFF"/>
          </w:tcPr>
          <w:p>
            <w:pPr>
              <w:spacing w:before="60" w:after="60"/>
            </w:pPr>
            <w:r>
              <w:rPr>
                <w:rFonts w:ascii="Arial" w:hAnsi="Arial"/>
                <w:color w:val="2D3748"/>
                <w:sz w:val="19"/>
              </w:rPr>
              <w:t>Main Effect</w:t>
            </w:r>
          </w:p>
        </w:tc>
        <w:tc>
          <w:tcPr>
            <w:tcW w:type="dxa" w:w="2340"/>
            <w:shd w:fill="FFFFFF"/>
          </w:tcPr>
          <w:p>
            <w:pPr>
              <w:spacing w:before="60" w:after="60"/>
            </w:pPr>
            <w:r>
              <w:rPr>
                <w:rFonts w:ascii="Arial" w:hAnsi="Arial"/>
                <w:color w:val="2D3748"/>
                <w:sz w:val="19"/>
              </w:rPr>
              <w:t>Spend increases by $64.88 for each additional year of membership tenure</w:t>
            </w:r>
          </w:p>
        </w:tc>
      </w:tr>
      <w:tr>
        <w:trPr>
          <w:cantSplit/>
        </w:trPr>
        <w:tc>
          <w:tcPr>
            <w:tcW w:type="dxa" w:w="2340"/>
            <w:shd w:fill="F7FAFC"/>
          </w:tcPr>
          <w:p>
            <w:pPr>
              <w:spacing w:before="60" w:after="60"/>
            </w:pPr>
            <w:r>
              <w:rPr>
                <w:rFonts w:ascii="Arial" w:hAnsi="Arial"/>
                <w:color w:val="2D3748"/>
                <w:sz w:val="19"/>
              </w:rPr>
              <w:t>Time_on_App</w:t>
            </w:r>
          </w:p>
        </w:tc>
        <w:tc>
          <w:tcPr>
            <w:tcW w:type="dxa" w:w="2340"/>
            <w:shd w:fill="F7FAFC"/>
          </w:tcPr>
          <w:p>
            <w:pPr>
              <w:spacing w:before="60" w:after="60"/>
            </w:pPr>
            <w:r>
              <w:rPr>
                <w:rFonts w:ascii="Arial" w:hAnsi="Arial"/>
                <w:color w:val="2D3748"/>
                <w:sz w:val="19"/>
              </w:rPr>
              <w:t>+23.5532</w:t>
            </w:r>
          </w:p>
        </w:tc>
        <w:tc>
          <w:tcPr>
            <w:tcW w:type="dxa" w:w="2340"/>
            <w:shd w:fill="F7FAFC"/>
          </w:tcPr>
          <w:p>
            <w:pPr>
              <w:spacing w:before="60" w:after="60"/>
            </w:pPr>
            <w:r>
              <w:rPr>
                <w:rFonts w:ascii="Arial" w:hAnsi="Arial"/>
                <w:color w:val="2D3748"/>
                <w:sz w:val="19"/>
              </w:rPr>
              <w:t>Main Effect</w:t>
            </w:r>
          </w:p>
        </w:tc>
        <w:tc>
          <w:tcPr>
            <w:tcW w:type="dxa" w:w="2340"/>
            <w:shd w:fill="F7FAFC"/>
          </w:tcPr>
          <w:p>
            <w:pPr>
              <w:spacing w:before="60" w:after="60"/>
            </w:pPr>
            <w:r>
              <w:rPr>
                <w:rFonts w:ascii="Arial" w:hAnsi="Arial"/>
                <w:color w:val="2D3748"/>
                <w:sz w:val="19"/>
              </w:rPr>
              <w:t>Spend increases by $37.99 for each additional minute spent weekly on mobile app</w:t>
            </w:r>
          </w:p>
        </w:tc>
      </w:tr>
      <w:tr>
        <w:trPr>
          <w:cantSplit/>
        </w:trPr>
        <w:tc>
          <w:tcPr>
            <w:tcW w:type="dxa" w:w="2340"/>
            <w:shd w:fill="FFFFFF"/>
          </w:tcPr>
          <w:p>
            <w:pPr>
              <w:spacing w:before="60" w:after="60"/>
            </w:pPr>
            <w:r>
              <w:rPr>
                <w:rFonts w:ascii="Arial" w:hAnsi="Arial"/>
                <w:color w:val="2D3748"/>
                <w:sz w:val="19"/>
              </w:rPr>
              <w:t>Avg_Session_Length</w:t>
            </w:r>
          </w:p>
        </w:tc>
        <w:tc>
          <w:tcPr>
            <w:tcW w:type="dxa" w:w="2340"/>
            <w:shd w:fill="FFFFFF"/>
          </w:tcPr>
          <w:p>
            <w:pPr>
              <w:spacing w:before="60" w:after="60"/>
            </w:pPr>
            <w:r>
              <w:rPr>
                <w:rFonts w:ascii="Arial" w:hAnsi="Arial"/>
                <w:color w:val="2D3748"/>
                <w:sz w:val="19"/>
              </w:rPr>
              <w:t>+25.0893</w:t>
            </w:r>
          </w:p>
        </w:tc>
        <w:tc>
          <w:tcPr>
            <w:tcW w:type="dxa" w:w="2340"/>
            <w:shd w:fill="FFFFFF"/>
          </w:tcPr>
          <w:p>
            <w:pPr>
              <w:spacing w:before="60" w:after="60"/>
            </w:pPr>
            <w:r>
              <w:rPr>
                <w:rFonts w:ascii="Arial" w:hAnsi="Arial"/>
                <w:color w:val="2D3748"/>
                <w:sz w:val="19"/>
              </w:rPr>
              <w:t>Main Effect</w:t>
            </w:r>
          </w:p>
        </w:tc>
        <w:tc>
          <w:tcPr>
            <w:tcW w:type="dxa" w:w="2340"/>
            <w:shd w:fill="FFFFFF"/>
          </w:tcPr>
          <w:p>
            <w:pPr>
              <w:spacing w:before="60" w:after="60"/>
            </w:pPr>
            <w:r>
              <w:rPr>
                <w:rFonts w:ascii="Arial" w:hAnsi="Arial"/>
                <w:color w:val="2D3748"/>
                <w:sz w:val="19"/>
              </w:rPr>
              <w:t>Spend increases by $25.12 for each additional minute of average browsing session</w:t>
            </w:r>
          </w:p>
        </w:tc>
      </w:tr>
      <w:tr>
        <w:trPr>
          <w:cantSplit/>
        </w:trPr>
        <w:tc>
          <w:tcPr>
            <w:tcW w:type="dxa" w:w="2340"/>
            <w:shd w:fill="F7FAFC"/>
          </w:tcPr>
          <w:p>
            <w:pPr>
              <w:spacing w:before="60" w:after="60"/>
            </w:pPr>
            <w:r>
              <w:rPr>
                <w:rFonts w:ascii="Arial" w:hAnsi="Arial"/>
                <w:color w:val="2D3748"/>
                <w:sz w:val="19"/>
              </w:rPr>
              <w:t>Time_on_Website</w:t>
            </w:r>
          </w:p>
        </w:tc>
        <w:tc>
          <w:tcPr>
            <w:tcW w:type="dxa" w:w="2340"/>
            <w:shd w:fill="F7FAFC"/>
          </w:tcPr>
          <w:p>
            <w:pPr>
              <w:spacing w:before="60" w:after="60"/>
            </w:pPr>
            <w:r>
              <w:rPr>
                <w:rFonts w:ascii="Arial" w:hAnsi="Arial"/>
                <w:color w:val="2D3748"/>
                <w:sz w:val="19"/>
              </w:rPr>
              <w:t>-0.1167</w:t>
            </w:r>
          </w:p>
        </w:tc>
        <w:tc>
          <w:tcPr>
            <w:tcW w:type="dxa" w:w="2340"/>
            <w:shd w:fill="F7FAFC"/>
          </w:tcPr>
          <w:p>
            <w:pPr>
              <w:spacing w:before="60" w:after="60"/>
            </w:pPr>
            <w:r>
              <w:rPr>
                <w:rFonts w:ascii="Arial" w:hAnsi="Arial"/>
                <w:color w:val="2D3748"/>
                <w:sz w:val="19"/>
              </w:rPr>
              <w:t>Main Effect</w:t>
            </w:r>
          </w:p>
        </w:tc>
        <w:tc>
          <w:tcPr>
            <w:tcW w:type="dxa" w:w="2340"/>
            <w:shd w:fill="F7FAFC"/>
          </w:tcPr>
          <w:p>
            <w:pPr>
              <w:spacing w:before="60" w:after="60"/>
            </w:pPr>
            <w:r>
              <w:rPr>
                <w:rFonts w:ascii="Arial" w:hAnsi="Arial"/>
                <w:color w:val="2D3748"/>
                <w:sz w:val="19"/>
              </w:rPr>
              <w:t>Spend decreases marginally by $0.14 for weekly desktop website minutes</w:t>
            </w:r>
          </w:p>
        </w:tc>
      </w:tr>
      <w:tr>
        <w:trPr>
          <w:cantSplit/>
        </w:trPr>
        <w:tc>
          <w:tcPr>
            <w:tcW w:type="dxa" w:w="2340"/>
            <w:shd w:fill="FFFFFF"/>
          </w:tcPr>
          <w:p>
            <w:pPr>
              <w:spacing w:before="60" w:after="60"/>
            </w:pPr>
            <w:r>
              <w:rPr>
                <w:rFonts w:ascii="Arial" w:hAnsi="Arial"/>
                <w:color w:val="2D3748"/>
                <w:sz w:val="19"/>
              </w:rPr>
              <w:t>Annual_Orders</w:t>
            </w:r>
          </w:p>
        </w:tc>
        <w:tc>
          <w:tcPr>
            <w:tcW w:type="dxa" w:w="2340"/>
            <w:shd w:fill="FFFFFF"/>
          </w:tcPr>
          <w:p>
            <w:pPr>
              <w:spacing w:before="60" w:after="60"/>
            </w:pPr>
            <w:r>
              <w:rPr>
                <w:rFonts w:ascii="Arial" w:hAnsi="Arial"/>
                <w:color w:val="2D3748"/>
                <w:sz w:val="19"/>
              </w:rPr>
              <w:t>+17.8727</w:t>
            </w:r>
          </w:p>
        </w:tc>
        <w:tc>
          <w:tcPr>
            <w:tcW w:type="dxa" w:w="2340"/>
            <w:shd w:fill="FFFFFF"/>
          </w:tcPr>
          <w:p>
            <w:pPr>
              <w:spacing w:before="60" w:after="60"/>
            </w:pPr>
            <w:r>
              <w:rPr>
                <w:rFonts w:ascii="Arial" w:hAnsi="Arial"/>
                <w:color w:val="2D3748"/>
                <w:sz w:val="19"/>
              </w:rPr>
              <w:t>Main Effect</w:t>
            </w:r>
          </w:p>
        </w:tc>
        <w:tc>
          <w:tcPr>
            <w:tcW w:type="dxa" w:w="2340"/>
            <w:shd w:fill="FFFFFF"/>
          </w:tcPr>
          <w:p>
            <w:pPr>
              <w:spacing w:before="60" w:after="60"/>
            </w:pPr>
            <w:r>
              <w:rPr>
                <w:rFonts w:ascii="Arial" w:hAnsi="Arial"/>
                <w:color w:val="2D3748"/>
                <w:sz w:val="19"/>
              </w:rPr>
              <w:t>Spend increases by $18.06 for each additional clothing order placed annually</w:t>
            </w:r>
          </w:p>
        </w:tc>
      </w:tr>
      <w:tr>
        <w:trPr>
          <w:cantSplit/>
        </w:trPr>
        <w:tc>
          <w:tcPr>
            <w:tcW w:type="dxa" w:w="2340"/>
            <w:shd w:fill="F7FAFC"/>
          </w:tcPr>
          <w:p>
            <w:pPr>
              <w:spacing w:before="60" w:after="60"/>
            </w:pPr>
            <w:r>
              <w:rPr>
                <w:rFonts w:ascii="Arial" w:hAnsi="Arial"/>
                <w:color w:val="2D3748"/>
                <w:sz w:val="19"/>
              </w:rPr>
              <w:t>Avg_Order_Value</w:t>
            </w:r>
          </w:p>
        </w:tc>
        <w:tc>
          <w:tcPr>
            <w:tcW w:type="dxa" w:w="2340"/>
            <w:shd w:fill="F7FAFC"/>
          </w:tcPr>
          <w:p>
            <w:pPr>
              <w:spacing w:before="60" w:after="60"/>
            </w:pPr>
            <w:r>
              <w:rPr>
                <w:rFonts w:ascii="Arial" w:hAnsi="Arial"/>
                <w:color w:val="2D3748"/>
                <w:sz w:val="19"/>
              </w:rPr>
              <w:t>+1.2085</w:t>
            </w:r>
          </w:p>
        </w:tc>
        <w:tc>
          <w:tcPr>
            <w:tcW w:type="dxa" w:w="2340"/>
            <w:shd w:fill="F7FAFC"/>
          </w:tcPr>
          <w:p>
            <w:pPr>
              <w:spacing w:before="60" w:after="60"/>
            </w:pPr>
            <w:r>
              <w:rPr>
                <w:rFonts w:ascii="Arial" w:hAnsi="Arial"/>
                <w:color w:val="2D3748"/>
                <w:sz w:val="19"/>
              </w:rPr>
              <w:t>Main Effect</w:t>
            </w:r>
          </w:p>
        </w:tc>
        <w:tc>
          <w:tcPr>
            <w:tcW w:type="dxa" w:w="2340"/>
            <w:shd w:fill="F7FAFC"/>
          </w:tcPr>
          <w:p>
            <w:pPr>
              <w:spacing w:before="60" w:after="60"/>
            </w:pPr>
            <w:r>
              <w:rPr>
                <w:rFonts w:ascii="Arial" w:hAnsi="Arial"/>
                <w:color w:val="2D3748"/>
                <w:sz w:val="19"/>
              </w:rPr>
              <w:t>Spend increases by $1.21 for each dollar increase in average order basket value</w:t>
            </w:r>
          </w:p>
        </w:tc>
      </w:tr>
      <w:tr>
        <w:trPr>
          <w:cantSplit/>
        </w:trPr>
        <w:tc>
          <w:tcPr>
            <w:tcW w:type="dxa" w:w="2340"/>
            <w:shd w:fill="FFFFFF"/>
          </w:tcPr>
          <w:p>
            <w:pPr>
              <w:spacing w:before="60" w:after="60"/>
            </w:pPr>
            <w:r>
              <w:rPr>
                <w:rFonts w:ascii="Arial" w:hAnsi="Arial"/>
                <w:color w:val="2D3748"/>
                <w:sz w:val="19"/>
              </w:rPr>
              <w:t>Age</w:t>
            </w:r>
          </w:p>
        </w:tc>
        <w:tc>
          <w:tcPr>
            <w:tcW w:type="dxa" w:w="2340"/>
            <w:shd w:fill="FFFFFF"/>
          </w:tcPr>
          <w:p>
            <w:pPr>
              <w:spacing w:before="60" w:after="60"/>
            </w:pPr>
            <w:r>
              <w:rPr>
                <w:rFonts w:ascii="Arial" w:hAnsi="Arial"/>
                <w:color w:val="2D3748"/>
                <w:sz w:val="19"/>
              </w:rPr>
              <w:t>+1.5070</w:t>
            </w:r>
          </w:p>
        </w:tc>
        <w:tc>
          <w:tcPr>
            <w:tcW w:type="dxa" w:w="2340"/>
            <w:shd w:fill="FFFFFF"/>
          </w:tcPr>
          <w:p>
            <w:pPr>
              <w:spacing w:before="60" w:after="60"/>
            </w:pPr>
            <w:r>
              <w:rPr>
                <w:rFonts w:ascii="Arial" w:hAnsi="Arial"/>
                <w:color w:val="2D3748"/>
                <w:sz w:val="19"/>
              </w:rPr>
              <w:t>Main Effect</w:t>
            </w:r>
          </w:p>
        </w:tc>
        <w:tc>
          <w:tcPr>
            <w:tcW w:type="dxa" w:w="2340"/>
            <w:shd w:fill="FFFFFF"/>
          </w:tcPr>
          <w:p>
            <w:pPr>
              <w:spacing w:before="60" w:after="60"/>
            </w:pPr>
            <w:r>
              <w:rPr>
                <w:rFonts w:ascii="Arial" w:hAnsi="Arial"/>
                <w:color w:val="2D3748"/>
                <w:sz w:val="19"/>
              </w:rPr>
              <w:t>Spend increases by $1.51 for each additional year of customer age</w:t>
            </w:r>
          </w:p>
        </w:tc>
      </w:tr>
      <w:tr>
        <w:trPr>
          <w:cantSplit/>
        </w:trPr>
        <w:tc>
          <w:tcPr>
            <w:tcW w:type="dxa" w:w="2340"/>
            <w:shd w:fill="F7FAFC"/>
          </w:tcPr>
          <w:p>
            <w:pPr>
              <w:spacing w:before="60" w:after="60"/>
            </w:pPr>
            <w:r>
              <w:rPr>
                <w:rFonts w:ascii="Arial" w:hAnsi="Arial"/>
                <w:color w:val="2D3748"/>
                <w:sz w:val="19"/>
              </w:rPr>
              <w:t>Inter_App_x_Tenure</w:t>
            </w:r>
          </w:p>
        </w:tc>
        <w:tc>
          <w:tcPr>
            <w:tcW w:type="dxa" w:w="2340"/>
            <w:shd w:fill="F7FAFC"/>
          </w:tcPr>
          <w:p>
            <w:pPr>
              <w:spacing w:before="60" w:after="60"/>
            </w:pPr>
            <w:r>
              <w:rPr>
                <w:rFonts w:ascii="Arial" w:hAnsi="Arial"/>
                <w:color w:val="2D3748"/>
                <w:sz w:val="19"/>
              </w:rPr>
              <w:t>+4.0471</w:t>
            </w:r>
          </w:p>
        </w:tc>
        <w:tc>
          <w:tcPr>
            <w:tcW w:type="dxa" w:w="2340"/>
            <w:shd w:fill="F7FAFC"/>
          </w:tcPr>
          <w:p>
            <w:pPr>
              <w:spacing w:before="60" w:after="60"/>
            </w:pPr>
            <w:r>
              <w:rPr>
                <w:rFonts w:ascii="Arial" w:hAnsi="Arial"/>
                <w:color w:val="2D3748"/>
                <w:sz w:val="19"/>
              </w:rPr>
              <w:t>Interaction Term</w:t>
            </w:r>
          </w:p>
        </w:tc>
        <w:tc>
          <w:tcPr>
            <w:tcW w:type="dxa" w:w="2340"/>
            <w:shd w:fill="F7FAFC"/>
          </w:tcPr>
          <w:p>
            <w:pPr>
              <w:spacing w:before="60" w:after="60"/>
            </w:pPr>
            <w:r>
              <w:rPr>
                <w:rFonts w:ascii="Arial" w:hAnsi="Arial"/>
                <w:color w:val="2D3748"/>
                <w:sz w:val="19"/>
              </w:rPr>
              <w:t>Synergy: Higher app usage amplifies spending gains among loyal long-tenure customers</w:t>
            </w:r>
          </w:p>
        </w:tc>
      </w:tr>
    </w:tbl>
    <w:p>
      <w:pPr>
        <w:spacing w:after="160" w:line="276" w:lineRule="auto"/>
      </w:pPr>
      <w:r>
        <w:rPr>
          <w:rFonts w:ascii="Arial" w:hAnsi="Arial"/>
          <w:i/>
          <w:color w:val="2D3748"/>
          <w:sz w:val="21"/>
        </w:rPr>
        <w:t>Table 5: Final Linear Regression model coefficients, parameter types, and retail economic interpretations.</w:t>
      </w:r>
    </w:p>
    <w:p>
      <w:r>
        <w:drawing>
          <wp:inline xmlns:a="http://schemas.openxmlformats.org/drawingml/2006/main" xmlns:pic="http://schemas.openxmlformats.org/drawingml/2006/picture">
            <wp:extent cx="4572000" cy="4000500"/>
            <wp:docPr id="4" name="Picture 4"/>
            <wp:cNvGraphicFramePr>
              <a:graphicFrameLocks noChangeAspect="1"/>
            </wp:cNvGraphicFramePr>
            <a:graphic>
              <a:graphicData uri="http://schemas.openxmlformats.org/drawingml/2006/picture">
                <pic:pic>
                  <pic:nvPicPr>
                    <pic:cNvPr id="0" name="actual_vs_predicted_linear_regression.png"/>
                    <pic:cNvPicPr/>
                  </pic:nvPicPr>
                  <pic:blipFill>
                    <a:blip r:embed="rId12"/>
                    <a:stretch>
                      <a:fillRect/>
                    </a:stretch>
                  </pic:blipFill>
                  <pic:spPr>
                    <a:xfrm>
                      <a:off x="0" y="0"/>
                      <a:ext cx="4572000" cy="4000500"/>
                    </a:xfrm>
                    <a:prstGeom prst="rect"/>
                  </pic:spPr>
                </pic:pic>
              </a:graphicData>
            </a:graphic>
          </wp:inline>
        </w:drawing>
      </w:r>
    </w:p>
    <w:p>
      <w:pPr>
        <w:spacing w:after="240"/>
      </w:pPr>
      <w:r>
        <w:rPr>
          <w:rFonts w:ascii="Arial" w:hAnsi="Arial"/>
          <w:i/>
          <w:sz w:val="19"/>
        </w:rPr>
        <w:t>Figure 4: Actual vs. Predicted Yearly Amount Spent for the final Interaction Linear Regression model (R² = 0.9647).</w:t>
      </w:r>
    </w:p>
    <w:p>
      <w:pPr>
        <w:spacing w:after="80" w:line="276" w:lineRule="auto"/>
      </w:pPr>
      <w:r>
        <w:rPr>
          <w:rFonts w:ascii="Arial" w:hAnsi="Arial"/>
          <w:i w:val="0"/>
          <w:color w:val="2D3748"/>
          <w:sz w:val="21"/>
        </w:rPr>
        <w:t>Strategic Merchandising &amp; Retention Action Plan:</w:t>
      </w:r>
    </w:p>
    <w:p>
      <w:pPr>
        <w:spacing w:after="80" w:line="276" w:lineRule="auto"/>
      </w:pPr>
      <w:r>
        <w:rPr>
          <w:rFonts w:ascii="Arial" w:hAnsi="Arial"/>
          <w:b/>
          <w:color w:val="2D3748"/>
          <w:sz w:val="21"/>
        </w:rPr>
        <w:t xml:space="preserve">1. Loyalty Tenure as the Primary Growth Engine: </w:t>
      </w:r>
      <w:r>
        <w:rPr>
          <w:rFonts w:ascii="Arial" w:hAnsi="Arial"/>
          <w:i w:val="0"/>
          <w:color w:val="2D3748"/>
          <w:sz w:val="21"/>
        </w:rPr>
        <w:t>With an incremental spend of $64.88 per tenure year, investing in retention programs (exclusive previews, tier rewards) provides a higher return on capital than top-of-funnel customer acquisition.</w:t>
      </w:r>
    </w:p>
    <w:p>
      <w:pPr>
        <w:spacing w:after="80" w:line="276" w:lineRule="auto"/>
      </w:pPr>
      <w:r>
        <w:rPr>
          <w:rFonts w:ascii="Arial" w:hAnsi="Arial"/>
          <w:b/>
          <w:color w:val="2D3748"/>
          <w:sz w:val="21"/>
        </w:rPr>
        <w:t xml:space="preserve">2. Mobile App First Strategy: </w:t>
      </w:r>
      <w:r>
        <w:rPr>
          <w:rFonts w:ascii="Arial" w:hAnsi="Arial"/>
          <w:i w:val="0"/>
          <w:color w:val="2D3748"/>
          <w:sz w:val="21"/>
        </w:rPr>
        <w:t>Time on the mobile app generates $37.99 in annual spend per weekly minute, while desktop web time yields negligible impact (-$0.14). Engineering resources and UX improvements must be directed toward mobile app features (in-app checkout, live fit styling).</w:t>
      </w:r>
    </w:p>
    <w:p>
      <w:pPr>
        <w:spacing w:after="80" w:line="276" w:lineRule="auto"/>
      </w:pPr>
      <w:r>
        <w:rPr>
          <w:rFonts w:ascii="Arial" w:hAnsi="Arial"/>
          <w:b/>
          <w:color w:val="2D3748"/>
          <w:sz w:val="21"/>
        </w:rPr>
        <w:t xml:space="preserve">3. Synergistic Retargeting: </w:t>
      </w:r>
      <w:r>
        <w:rPr>
          <w:rFonts w:ascii="Arial" w:hAnsi="Arial"/>
          <w:i w:val="0"/>
          <w:color w:val="2D3748"/>
          <w:sz w:val="21"/>
        </w:rPr>
        <w:t>The significant interaction term proves that mobile app push notifications and app-exclusive drops deliver maximal ROI when targeted specifically at multi-year members.</w:t>
      </w:r>
    </w:p>
    <w:p>
      <w:pPr>
        <w:pStyle w:val="Heading1"/>
        <w:keepNext/>
        <w:spacing w:before="280" w:after="120"/>
      </w:pPr>
      <w:r>
        <w:rPr>
          <w:rFonts w:ascii="Arial" w:hAnsi="Arial"/>
          <w:b/>
          <w:color w:val="1A365D"/>
          <w:sz w:val="30"/>
        </w:rPr>
        <w:t>7. Conclusion</w:t>
      </w:r>
    </w:p>
    <w:p>
      <w:pPr>
        <w:spacing w:after="80" w:line="276" w:lineRule="auto"/>
      </w:pPr>
      <w:r>
        <w:rPr>
          <w:rFonts w:ascii="Arial" w:hAnsi="Arial"/>
          <w:i w:val="0"/>
          <w:color w:val="2D3748"/>
          <w:sz w:val="21"/>
        </w:rPr>
        <w:t>Task 2 has been completed with rigorous statistical validation. Multi-paradigm feature selection eliminated collinear noise, identified the top seven spending predictors, and empirically validated a crucial behavioral interaction term (Time_on_App * Length_of_Membership). Repeated cross-validation demonstrated high generalization stability (R² = 0.9647, RMSE = $27.63, MAE = $21.90), establishing a robust predictive framework for commercial fashion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