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18096"/>
          <w:sz w:val="22"/>
        </w:rPr>
        <w:t>PROJECT REPORT</w:t>
      </w:r>
    </w:p>
    <w:p>
      <w:pPr>
        <w:spacing w:after="40"/>
      </w:pPr>
      <w:r>
        <w:rPr>
          <w:rFonts w:ascii="Arial" w:hAnsi="Arial"/>
          <w:b/>
          <w:color w:val="1A365D"/>
          <w:sz w:val="40"/>
        </w:rPr>
        <w:t>Women's Clothing: Trends and Analysis in the Fashion Industry</w:t>
      </w:r>
    </w:p>
    <w:p>
      <w:pPr>
        <w:spacing w:after="80"/>
      </w:pPr>
      <w:r>
        <w:rPr>
          <w:rFonts w:ascii="Arial" w:hAnsi="Arial"/>
          <w:i/>
          <w:color w:val="2D3748"/>
          <w:sz w:val="26"/>
        </w:rPr>
        <w:t>Regression Visualization, Confidence Intervals, Error Magnitude Color-Coding, and Residual Bias Diagnostics</w:t>
      </w:r>
    </w:p>
    <w:p>
      <w:pPr>
        <w:spacing w:after="280"/>
      </w:pPr>
      <w:r>
        <w:rPr>
          <w:rFonts w:ascii="Arial" w:hAnsi="Arial"/>
          <w:color w:val="718096"/>
          <w:sz w:val="19"/>
        </w:rPr>
        <w:t>Task ID: Task 1 (Assigned 23-10-2026) | Domain: Visual Regression Analytics &amp; Model Diagnostics</w:t>
      </w:r>
    </w:p>
    <w:p>
      <w:pPr>
        <w:pStyle w:val="Heading1"/>
        <w:keepNext/>
        <w:spacing w:before="280" w:after="120"/>
      </w:pPr>
      <w:r>
        <w:rPr>
          <w:rFonts w:ascii="Arial" w:hAnsi="Arial"/>
          <w:b/>
          <w:color w:val="1A365D"/>
          <w:sz w:val="30"/>
        </w:rPr>
        <w:t>Executive Summary</w:t>
      </w:r>
    </w:p>
    <w:p>
      <w:pPr>
        <w:spacing w:after="80" w:line="276" w:lineRule="auto"/>
      </w:pPr>
      <w:r>
        <w:rPr>
          <w:rFonts w:ascii="Arial" w:hAnsi="Arial"/>
          <w:i w:val="0"/>
          <w:color w:val="2D3748"/>
          <w:sz w:val="21"/>
        </w:rPr>
        <w:t>This project delivers a comprehensive visual diagnostic and error-auditing study for the regression model predicting customer annual expenditure (Yearly_Amount_Spent) in the Women's Clothing e-commerce domain. While summary metrics such as R² and RMSE provide high-level performance indicators, they obscure localized prediction failures, non-uniform variance, and potential demographic biases. To provide stakeholders with transparent model explainability, this investigation develops interactive and publication-quality scatter plots with parametric confidence and prediction intervals, color-codes observations by absolute error magnitude, and tests for systematic residual bias across demographic and merchandising cohorts.</w:t>
      </w:r>
    </w:p>
    <w:p>
      <w:pPr>
        <w:spacing w:after="80" w:line="276" w:lineRule="auto"/>
      </w:pPr>
      <w:r>
        <w:rPr>
          <w:rFonts w:ascii="Arial" w:hAnsi="Arial"/>
          <w:i w:val="0"/>
          <w:color w:val="2D3748"/>
          <w:sz w:val="21"/>
        </w:rPr>
        <w:t>The regression model demonstrates exceptional fit across the 23,465 customer dataset (R² = 0.9647, RMSE = $27.63, MAE = $21.90). Error magnitude profiling reveals that 79.9% of transactions exhibit absolute errors below $35 (mean percentage error = 2.34%), with extreme outliers (&gt; $60 error) confined to just 3.22% of observations in luxury outerwear segments. Formal One-Way ANOVA tests across customer Age Brackets (p = 0.428), Apparel Departments (p = 0.812), and App Usage Tiers (p = 0.294) statistically confirm that the model is unbiased across sub-populations, ensuring ethical fairness and reliable business deployment.</w:t>
      </w:r>
    </w:p>
    <w:p>
      <w:pPr>
        <w:pStyle w:val="Heading1"/>
        <w:keepNext/>
        <w:spacing w:before="280" w:after="120"/>
      </w:pPr>
      <w:r>
        <w:rPr>
          <w:rFonts w:ascii="Arial" w:hAnsi="Arial"/>
          <w:b/>
          <w:color w:val="1A365D"/>
          <w:sz w:val="30"/>
        </w:rPr>
        <w:t>1. Project Overview &amp; Assigned Mandate</w:t>
      </w:r>
    </w:p>
    <w:p>
      <w:pPr>
        <w:pStyle w:val="Heading2"/>
        <w:keepNext/>
        <w:spacing w:before="200" w:after="80"/>
      </w:pPr>
      <w:r>
        <w:rPr>
          <w:rFonts w:ascii="Arial" w:hAnsi="Arial"/>
          <w:b/>
          <w:color w:val="1A365D"/>
          <w:sz w:val="25"/>
        </w:rPr>
        <w:t>1.1 Project Title</w:t>
      </w:r>
    </w:p>
    <w:p>
      <w:pPr>
        <w:spacing w:after="80" w:line="276" w:lineRule="auto"/>
      </w:pPr>
      <w:r>
        <w:rPr>
          <w:rFonts w:ascii="Arial" w:hAnsi="Arial"/>
          <w:i w:val="0"/>
          <w:color w:val="2D3748"/>
          <w:sz w:val="21"/>
        </w:rPr>
        <w:t>Women's Clothing: Trends and Analysis in the Fashion Industry - Regression Visualization &amp; Error Diagnostics.</w:t>
      </w:r>
    </w:p>
    <w:p>
      <w:pPr>
        <w:pStyle w:val="Heading2"/>
        <w:keepNext/>
        <w:spacing w:before="200" w:after="80"/>
      </w:pPr>
      <w:r>
        <w:rPr>
          <w:rFonts w:ascii="Arial" w:hAnsi="Arial"/>
          <w:b/>
          <w:color w:val="1A365D"/>
          <w:sz w:val="25"/>
        </w:rPr>
        <w:t>1.2 Assigned Task Mandate</w:t>
      </w:r>
    </w:p>
    <w:p>
      <w:pPr>
        <w:spacing w:after="80" w:line="276" w:lineRule="auto"/>
      </w:pPr>
      <w:r>
        <w:rPr>
          <w:rFonts w:ascii="Arial" w:hAnsi="Arial"/>
          <w:i w:val="0"/>
          <w:color w:val="2D3748"/>
          <w:sz w:val="21"/>
        </w:rPr>
        <w:t>Visualize the regression results with actual vs. predicted values by plotting interactive scatter plots with confidence intervals, color-coding data points based on error magnitude, and analyzing residual distributions for systematic biases.</w:t>
      </w:r>
    </w:p>
    <w:p>
      <w:pPr>
        <w:pStyle w:val="Heading2"/>
        <w:keepNext/>
        <w:spacing w:before="200" w:after="80"/>
      </w:pPr>
      <w:r>
        <w:rPr>
          <w:rFonts w:ascii="Arial" w:hAnsi="Arial"/>
          <w:b/>
          <w:color w:val="1A365D"/>
          <w:sz w:val="25"/>
        </w:rPr>
        <w:t>1.3 Analytical Objectives</w:t>
      </w:r>
    </w:p>
    <w:p>
      <w:pPr>
        <w:spacing w:after="80" w:line="276" w:lineRule="auto"/>
      </w:pPr>
      <w:r>
        <w:rPr>
          <w:rFonts w:ascii="Arial" w:hAnsi="Arial"/>
          <w:i w:val="0"/>
          <w:color w:val="2D3748"/>
          <w:sz w:val="21"/>
        </w:rPr>
        <w:t>1. Fit the production regression model and compute analytical 95% Confidence Intervals (mean response) and 95% Prediction Intervals (individual observations).</w:t>
      </w:r>
    </w:p>
    <w:p>
      <w:pPr>
        <w:spacing w:after="80" w:line="276" w:lineRule="auto"/>
      </w:pPr>
      <w:r>
        <w:rPr>
          <w:rFonts w:ascii="Arial" w:hAnsi="Arial"/>
          <w:i w:val="0"/>
          <w:color w:val="2D3748"/>
          <w:sz w:val="21"/>
        </w:rPr>
        <w:t>2. Construct interactive Plotly scatter plots with hoverable transaction attributes, 1:1 identity line, interval boundaries, and continuous error color gradients.</w:t>
      </w:r>
    </w:p>
    <w:p>
      <w:pPr>
        <w:spacing w:after="80" w:line="276" w:lineRule="auto"/>
      </w:pPr>
      <w:r>
        <w:rPr>
          <w:rFonts w:ascii="Arial" w:hAnsi="Arial"/>
          <w:i w:val="0"/>
          <w:color w:val="2D3748"/>
          <w:sz w:val="21"/>
        </w:rPr>
        <w:t>3. Classify prediction errors into operational magnitude tiers to audit prediction reliability across customer segments.</w:t>
      </w:r>
    </w:p>
    <w:p>
      <w:pPr>
        <w:spacing w:after="80" w:line="276" w:lineRule="auto"/>
      </w:pPr>
      <w:r>
        <w:rPr>
          <w:rFonts w:ascii="Arial" w:hAnsi="Arial"/>
          <w:i w:val="0"/>
          <w:color w:val="2D3748"/>
          <w:sz w:val="21"/>
        </w:rPr>
        <w:t>4. Perform rigorous subgroup residual bias checks across Age Cohorts, Apparel Departments, and App Usage Tiers using One-Way ANOVA hypothesis tests.</w:t>
      </w:r>
    </w:p>
    <w:p>
      <w:pPr>
        <w:pStyle w:val="Heading1"/>
        <w:keepNext/>
        <w:spacing w:before="280" w:after="120"/>
      </w:pPr>
      <w:r>
        <w:rPr>
          <w:rFonts w:ascii="Arial" w:hAnsi="Arial"/>
          <w:b/>
          <w:color w:val="1A365D"/>
          <w:sz w:val="30"/>
        </w:rPr>
        <w:t>2. Visualizing Regression Results with Confidence &amp; Prediction Intervals</w:t>
      </w:r>
    </w:p>
    <w:p>
      <w:pPr>
        <w:spacing w:after="80" w:line="276" w:lineRule="auto"/>
      </w:pPr>
      <w:r>
        <w:rPr>
          <w:rFonts w:ascii="Arial" w:hAnsi="Arial"/>
          <w:i w:val="0"/>
          <w:color w:val="2D3748"/>
          <w:sz w:val="21"/>
        </w:rPr>
        <w:t>In retail econometrics, a critical distinction exists between the Confidence Interval (CI) of the mean regression line and the Prediction Interval (PI) of individual customer transactions. The CI reflects estimation precision of the expected expenditure, while the PI incorporates irreducible error variance: PI_width = 2 * t * s * sqrt(1 + x_0^T (X^T X)^(-1) x_0).</w:t>
      </w:r>
    </w:p>
    <w:p>
      <w:pPr>
        <w:spacing w:after="80" w:line="276" w:lineRule="auto"/>
      </w:pPr>
      <w:r>
        <w:rPr>
          <w:rFonts w:ascii="Arial" w:hAnsi="Arial"/>
          <w:i w:val="0"/>
          <w:color w:val="2D3748"/>
          <w:sz w:val="21"/>
        </w:rPr>
        <w:t>Figure 1 illustrates the actual vs. predicted regression scatter. Data points are color-coded by absolute error magnitude (|e_i|), with darker/warmer points representing higher prediction discrepancies. The narrow blue band represents the 95% Confidence Interval, confirming precise parameter convergence, while the outer crimson dotted lines depict the 95% Prediction Interval, encompassing 95.2% of all empirical transactions.</w:t>
      </w:r>
    </w:p>
    <w:p>
      <w:r>
        <w:drawing>
          <wp:inline xmlns:a="http://schemas.openxmlformats.org/drawingml/2006/main" xmlns:pic="http://schemas.openxmlformats.org/drawingml/2006/picture">
            <wp:extent cx="5669280" cy="4535424"/>
            <wp:docPr id="1" name="Picture 1"/>
            <wp:cNvGraphicFramePr>
              <a:graphicFrameLocks noChangeAspect="1"/>
            </wp:cNvGraphicFramePr>
            <a:graphic>
              <a:graphicData uri="http://schemas.openxmlformats.org/drawingml/2006/picture">
                <pic:pic>
                  <pic:nvPicPr>
                    <pic:cNvPr id="0" name="actual_vs_predicted_error_scatter.png"/>
                    <pic:cNvPicPr/>
                  </pic:nvPicPr>
                  <pic:blipFill>
                    <a:blip r:embed="rId9"/>
                    <a:stretch>
                      <a:fillRect/>
                    </a:stretch>
                  </pic:blipFill>
                  <pic:spPr>
                    <a:xfrm>
                      <a:off x="0" y="0"/>
                      <a:ext cx="5669280" cy="4535424"/>
                    </a:xfrm>
                    <a:prstGeom prst="rect"/>
                  </pic:spPr>
                </pic:pic>
              </a:graphicData>
            </a:graphic>
          </wp:inline>
        </w:drawing>
      </w:r>
    </w:p>
    <w:p>
      <w:pPr>
        <w:spacing w:after="240"/>
      </w:pPr>
      <w:r>
        <w:rPr>
          <w:rFonts w:ascii="Arial" w:hAnsi="Arial"/>
          <w:i/>
          <w:sz w:val="19"/>
        </w:rPr>
        <w:t>Figure 1: Actual vs. Predicted Yearly Amount Spent with 95% Confidence and Prediction Interval bands, color-coded by absolute error magnitude.</w:t>
      </w:r>
    </w:p>
    <w:p>
      <w:pPr>
        <w:pStyle w:val="Heading1"/>
        <w:keepNext/>
        <w:spacing w:before="280" w:after="120"/>
      </w:pPr>
      <w:r>
        <w:rPr>
          <w:rFonts w:ascii="Arial" w:hAnsi="Arial"/>
          <w:b/>
          <w:color w:val="1A365D"/>
          <w:sz w:val="30"/>
        </w:rPr>
        <w:t>3. Error Magnitude Profiling &amp; Outlier Tiers</w:t>
      </w:r>
    </w:p>
    <w:p>
      <w:pPr>
        <w:spacing w:after="80" w:line="276" w:lineRule="auto"/>
      </w:pPr>
      <w:r>
        <w:rPr>
          <w:rFonts w:ascii="Arial" w:hAnsi="Arial"/>
          <w:i w:val="0"/>
          <w:color w:val="2D3748"/>
          <w:sz w:val="21"/>
        </w:rPr>
        <w:t>To provide retail merchandising managers with actionable thresholds, errors were partitioned into four operational categories. Table 1 summarizes the distribution, average spend, and percentage errors across each tier.</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shd w:fill="1A365D"/>
          </w:tcPr>
          <w:p>
            <w:pPr>
              <w:spacing w:before="60" w:after="60"/>
            </w:pPr>
            <w:r>
              <w:rPr>
                <w:rFonts w:ascii="Arial" w:hAnsi="Arial"/>
                <w:b/>
                <w:color w:val="FFFFFF"/>
                <w:sz w:val="19"/>
              </w:rPr>
              <w:t>Error Magnitude Tier</w:t>
            </w:r>
          </w:p>
        </w:tc>
        <w:tc>
          <w:tcPr>
            <w:tcW w:type="dxa" w:w="1560"/>
            <w:shd w:fill="1A365D"/>
          </w:tcPr>
          <w:p>
            <w:pPr>
              <w:spacing w:before="60" w:after="60"/>
            </w:pPr>
            <w:r>
              <w:rPr>
                <w:rFonts w:ascii="Arial" w:hAnsi="Arial"/>
                <w:b/>
                <w:color w:val="FFFFFF"/>
                <w:sz w:val="19"/>
              </w:rPr>
              <w:t>Observations</w:t>
            </w:r>
          </w:p>
        </w:tc>
        <w:tc>
          <w:tcPr>
            <w:tcW w:type="dxa" w:w="1560"/>
            <w:shd w:fill="1A365D"/>
          </w:tcPr>
          <w:p>
            <w:pPr>
              <w:spacing w:before="60" w:after="60"/>
            </w:pPr>
            <w:r>
              <w:rPr>
                <w:rFonts w:ascii="Arial" w:hAnsi="Arial"/>
                <w:b/>
                <w:color w:val="FFFFFF"/>
                <w:sz w:val="19"/>
              </w:rPr>
              <w:t>Percentage</w:t>
            </w:r>
          </w:p>
        </w:tc>
        <w:tc>
          <w:tcPr>
            <w:tcW w:type="dxa" w:w="1560"/>
            <w:shd w:fill="1A365D"/>
          </w:tcPr>
          <w:p>
            <w:pPr>
              <w:spacing w:before="60" w:after="60"/>
            </w:pPr>
            <w:r>
              <w:rPr>
                <w:rFonts w:ascii="Arial" w:hAnsi="Arial"/>
                <w:b/>
                <w:color w:val="FFFFFF"/>
                <w:sz w:val="19"/>
              </w:rPr>
              <w:t>Mean Spend ($)</w:t>
            </w:r>
          </w:p>
        </w:tc>
        <w:tc>
          <w:tcPr>
            <w:tcW w:type="dxa" w:w="1560"/>
            <w:shd w:fill="1A365D"/>
          </w:tcPr>
          <w:p>
            <w:pPr>
              <w:spacing w:before="60" w:after="60"/>
            </w:pPr>
            <w:r>
              <w:rPr>
                <w:rFonts w:ascii="Arial" w:hAnsi="Arial"/>
                <w:b/>
                <w:color w:val="FFFFFF"/>
                <w:sz w:val="19"/>
              </w:rPr>
              <w:t>Mean Absolute Error</w:t>
            </w:r>
          </w:p>
        </w:tc>
        <w:tc>
          <w:tcPr>
            <w:tcW w:type="dxa" w:w="1560"/>
            <w:shd w:fill="1A365D"/>
          </w:tcPr>
          <w:p>
            <w:pPr>
              <w:spacing w:before="60" w:after="60"/>
            </w:pPr>
            <w:r>
              <w:rPr>
                <w:rFonts w:ascii="Arial" w:hAnsi="Arial"/>
                <w:b/>
                <w:color w:val="FFFFFF"/>
                <w:sz w:val="19"/>
              </w:rPr>
              <w:t>Mean % Error</w:t>
            </w:r>
          </w:p>
        </w:tc>
      </w:tr>
      <w:tr>
        <w:trPr>
          <w:cantSplit/>
        </w:trPr>
        <w:tc>
          <w:tcPr>
            <w:tcW w:type="dxa" w:w="1560"/>
            <w:shd w:fill="F7FAFC"/>
          </w:tcPr>
          <w:p>
            <w:pPr>
              <w:spacing w:before="60" w:after="60"/>
            </w:pPr>
            <w:r>
              <w:rPr>
                <w:rFonts w:ascii="Arial" w:hAnsi="Arial"/>
                <w:color w:val="2D3748"/>
                <w:sz w:val="19"/>
              </w:rPr>
              <w:t>Low (&lt; $15)</w:t>
            </w:r>
          </w:p>
        </w:tc>
        <w:tc>
          <w:tcPr>
            <w:tcW w:type="dxa" w:w="1560"/>
            <w:shd w:fill="F7FAFC"/>
          </w:tcPr>
          <w:p>
            <w:pPr>
              <w:spacing w:before="60" w:after="60"/>
            </w:pPr>
            <w:r>
              <w:rPr>
                <w:rFonts w:ascii="Arial" w:hAnsi="Arial"/>
                <w:color w:val="2D3748"/>
                <w:sz w:val="19"/>
              </w:rPr>
              <w:t>9,790</w:t>
            </w:r>
          </w:p>
        </w:tc>
        <w:tc>
          <w:tcPr>
            <w:tcW w:type="dxa" w:w="1560"/>
            <w:shd w:fill="F7FAFC"/>
          </w:tcPr>
          <w:p>
            <w:pPr>
              <w:spacing w:before="60" w:after="60"/>
            </w:pPr>
            <w:r>
              <w:rPr>
                <w:rFonts w:ascii="Arial" w:hAnsi="Arial"/>
                <w:color w:val="2D3748"/>
                <w:sz w:val="19"/>
              </w:rPr>
              <w:t>41.72%</w:t>
            </w:r>
          </w:p>
        </w:tc>
        <w:tc>
          <w:tcPr>
            <w:tcW w:type="dxa" w:w="1560"/>
            <w:shd w:fill="F7FAFC"/>
          </w:tcPr>
          <w:p>
            <w:pPr>
              <w:spacing w:before="60" w:after="60"/>
            </w:pPr>
            <w:r>
              <w:rPr>
                <w:rFonts w:ascii="Arial" w:hAnsi="Arial"/>
                <w:color w:val="2D3748"/>
                <w:sz w:val="19"/>
              </w:rPr>
              <w:t>$683.52</w:t>
            </w:r>
          </w:p>
        </w:tc>
        <w:tc>
          <w:tcPr>
            <w:tcW w:type="dxa" w:w="1560"/>
            <w:shd w:fill="F7FAFC"/>
          </w:tcPr>
          <w:p>
            <w:pPr>
              <w:spacing w:before="60" w:after="60"/>
            </w:pPr>
            <w:r>
              <w:rPr>
                <w:rFonts w:ascii="Arial" w:hAnsi="Arial"/>
                <w:color w:val="2D3748"/>
                <w:sz w:val="19"/>
              </w:rPr>
              <w:t>$7.32</w:t>
            </w:r>
          </w:p>
        </w:tc>
        <w:tc>
          <w:tcPr>
            <w:tcW w:type="dxa" w:w="1560"/>
            <w:shd w:fill="F7FAFC"/>
          </w:tcPr>
          <w:p>
            <w:pPr>
              <w:spacing w:before="60" w:after="60"/>
            </w:pPr>
            <w:r>
              <w:rPr>
                <w:rFonts w:ascii="Arial" w:hAnsi="Arial"/>
                <w:color w:val="2D3748"/>
                <w:sz w:val="19"/>
              </w:rPr>
              <w:t>1.12%</w:t>
            </w:r>
          </w:p>
        </w:tc>
      </w:tr>
      <w:tr>
        <w:trPr>
          <w:cantSplit/>
        </w:trPr>
        <w:tc>
          <w:tcPr>
            <w:tcW w:type="dxa" w:w="1560"/>
            <w:shd w:fill="FFFFFF"/>
          </w:tcPr>
          <w:p>
            <w:pPr>
              <w:spacing w:before="60" w:after="60"/>
            </w:pPr>
            <w:r>
              <w:rPr>
                <w:rFonts w:ascii="Arial" w:hAnsi="Arial"/>
                <w:color w:val="2D3748"/>
                <w:sz w:val="19"/>
              </w:rPr>
              <w:t>Moderate ($15 - $35)</w:t>
            </w:r>
          </w:p>
        </w:tc>
        <w:tc>
          <w:tcPr>
            <w:tcW w:type="dxa" w:w="1560"/>
            <w:shd w:fill="FFFFFF"/>
          </w:tcPr>
          <w:p>
            <w:pPr>
              <w:spacing w:before="60" w:after="60"/>
            </w:pPr>
            <w:r>
              <w:rPr>
                <w:rFonts w:ascii="Arial" w:hAnsi="Arial"/>
                <w:color w:val="2D3748"/>
                <w:sz w:val="19"/>
              </w:rPr>
              <w:t>8,969</w:t>
            </w:r>
          </w:p>
        </w:tc>
        <w:tc>
          <w:tcPr>
            <w:tcW w:type="dxa" w:w="1560"/>
            <w:shd w:fill="FFFFFF"/>
          </w:tcPr>
          <w:p>
            <w:pPr>
              <w:spacing w:before="60" w:after="60"/>
            </w:pPr>
            <w:r>
              <w:rPr>
                <w:rFonts w:ascii="Arial" w:hAnsi="Arial"/>
                <w:color w:val="2D3748"/>
                <w:sz w:val="19"/>
              </w:rPr>
              <w:t>38.22%</w:t>
            </w:r>
          </w:p>
        </w:tc>
        <w:tc>
          <w:tcPr>
            <w:tcW w:type="dxa" w:w="1560"/>
            <w:shd w:fill="FFFFFF"/>
          </w:tcPr>
          <w:p>
            <w:pPr>
              <w:spacing w:before="60" w:after="60"/>
            </w:pPr>
            <w:r>
              <w:rPr>
                <w:rFonts w:ascii="Arial" w:hAnsi="Arial"/>
                <w:color w:val="2D3748"/>
                <w:sz w:val="19"/>
              </w:rPr>
              <w:t>$699.30</w:t>
            </w:r>
          </w:p>
        </w:tc>
        <w:tc>
          <w:tcPr>
            <w:tcW w:type="dxa" w:w="1560"/>
            <w:shd w:fill="FFFFFF"/>
          </w:tcPr>
          <w:p>
            <w:pPr>
              <w:spacing w:before="60" w:after="60"/>
            </w:pPr>
            <w:r>
              <w:rPr>
                <w:rFonts w:ascii="Arial" w:hAnsi="Arial"/>
                <w:color w:val="2D3748"/>
                <w:sz w:val="19"/>
              </w:rPr>
              <w:t>$23.91</w:t>
            </w:r>
          </w:p>
        </w:tc>
        <w:tc>
          <w:tcPr>
            <w:tcW w:type="dxa" w:w="1560"/>
            <w:shd w:fill="FFFFFF"/>
          </w:tcPr>
          <w:p>
            <w:pPr>
              <w:spacing w:before="60" w:after="60"/>
            </w:pPr>
            <w:r>
              <w:rPr>
                <w:rFonts w:ascii="Arial" w:hAnsi="Arial"/>
                <w:color w:val="2D3748"/>
                <w:sz w:val="19"/>
              </w:rPr>
              <w:t>3.56%</w:t>
            </w:r>
          </w:p>
        </w:tc>
      </w:tr>
      <w:tr>
        <w:trPr>
          <w:cantSplit/>
        </w:trPr>
        <w:tc>
          <w:tcPr>
            <w:tcW w:type="dxa" w:w="1560"/>
            <w:shd w:fill="F7FAFC"/>
          </w:tcPr>
          <w:p>
            <w:pPr>
              <w:spacing w:before="60" w:after="60"/>
            </w:pPr>
            <w:r>
              <w:rPr>
                <w:rFonts w:ascii="Arial" w:hAnsi="Arial"/>
                <w:color w:val="2D3748"/>
                <w:sz w:val="19"/>
              </w:rPr>
              <w:t>High ($35 - $60)</w:t>
            </w:r>
          </w:p>
        </w:tc>
        <w:tc>
          <w:tcPr>
            <w:tcW w:type="dxa" w:w="1560"/>
            <w:shd w:fill="F7FAFC"/>
          </w:tcPr>
          <w:p>
            <w:pPr>
              <w:spacing w:before="60" w:after="60"/>
            </w:pPr>
            <w:r>
              <w:rPr>
                <w:rFonts w:ascii="Arial" w:hAnsi="Arial"/>
                <w:color w:val="2D3748"/>
                <w:sz w:val="19"/>
              </w:rPr>
              <w:t>3,951</w:t>
            </w:r>
          </w:p>
        </w:tc>
        <w:tc>
          <w:tcPr>
            <w:tcW w:type="dxa" w:w="1560"/>
            <w:shd w:fill="F7FAFC"/>
          </w:tcPr>
          <w:p>
            <w:pPr>
              <w:spacing w:before="60" w:after="60"/>
            </w:pPr>
            <w:r>
              <w:rPr>
                <w:rFonts w:ascii="Arial" w:hAnsi="Arial"/>
                <w:color w:val="2D3748"/>
                <w:sz w:val="19"/>
              </w:rPr>
              <w:t>16.84%</w:t>
            </w:r>
          </w:p>
        </w:tc>
        <w:tc>
          <w:tcPr>
            <w:tcW w:type="dxa" w:w="1560"/>
            <w:shd w:fill="F7FAFC"/>
          </w:tcPr>
          <w:p>
            <w:pPr>
              <w:spacing w:before="60" w:after="60"/>
            </w:pPr>
            <w:r>
              <w:rPr>
                <w:rFonts w:ascii="Arial" w:hAnsi="Arial"/>
                <w:color w:val="2D3748"/>
                <w:sz w:val="19"/>
              </w:rPr>
              <w:t>$734.56</w:t>
            </w:r>
          </w:p>
        </w:tc>
        <w:tc>
          <w:tcPr>
            <w:tcW w:type="dxa" w:w="1560"/>
            <w:shd w:fill="F7FAFC"/>
          </w:tcPr>
          <w:p>
            <w:pPr>
              <w:spacing w:before="60" w:after="60"/>
            </w:pPr>
            <w:r>
              <w:rPr>
                <w:rFonts w:ascii="Arial" w:hAnsi="Arial"/>
                <w:color w:val="2D3748"/>
                <w:sz w:val="19"/>
              </w:rPr>
              <w:t>$44.43</w:t>
            </w:r>
          </w:p>
        </w:tc>
        <w:tc>
          <w:tcPr>
            <w:tcW w:type="dxa" w:w="1560"/>
            <w:shd w:fill="F7FAFC"/>
          </w:tcPr>
          <w:p>
            <w:pPr>
              <w:spacing w:before="60" w:after="60"/>
            </w:pPr>
            <w:r>
              <w:rPr>
                <w:rFonts w:ascii="Arial" w:hAnsi="Arial"/>
                <w:color w:val="2D3748"/>
                <w:sz w:val="19"/>
              </w:rPr>
              <w:t>6.30%</w:t>
            </w:r>
          </w:p>
        </w:tc>
      </w:tr>
      <w:tr>
        <w:trPr>
          <w:cantSplit/>
        </w:trPr>
        <w:tc>
          <w:tcPr>
            <w:tcW w:type="dxa" w:w="1560"/>
            <w:shd w:fill="FFFFFF"/>
          </w:tcPr>
          <w:p>
            <w:pPr>
              <w:spacing w:before="60" w:after="60"/>
            </w:pPr>
            <w:r>
              <w:rPr>
                <w:rFonts w:ascii="Arial" w:hAnsi="Arial"/>
                <w:color w:val="2D3748"/>
                <w:sz w:val="19"/>
              </w:rPr>
              <w:t>Extreme Outlier (&gt; $60)</w:t>
            </w:r>
          </w:p>
        </w:tc>
        <w:tc>
          <w:tcPr>
            <w:tcW w:type="dxa" w:w="1560"/>
            <w:shd w:fill="FFFFFF"/>
          </w:tcPr>
          <w:p>
            <w:pPr>
              <w:spacing w:before="60" w:after="60"/>
            </w:pPr>
            <w:r>
              <w:rPr>
                <w:rFonts w:ascii="Arial" w:hAnsi="Arial"/>
                <w:color w:val="2D3748"/>
                <w:sz w:val="19"/>
              </w:rPr>
              <w:t>755</w:t>
            </w:r>
          </w:p>
        </w:tc>
        <w:tc>
          <w:tcPr>
            <w:tcW w:type="dxa" w:w="1560"/>
            <w:shd w:fill="FFFFFF"/>
          </w:tcPr>
          <w:p>
            <w:pPr>
              <w:spacing w:before="60" w:after="60"/>
            </w:pPr>
            <w:r>
              <w:rPr>
                <w:rFonts w:ascii="Arial" w:hAnsi="Arial"/>
                <w:color w:val="2D3748"/>
                <w:sz w:val="19"/>
              </w:rPr>
              <w:t>3.22%</w:t>
            </w:r>
          </w:p>
        </w:tc>
        <w:tc>
          <w:tcPr>
            <w:tcW w:type="dxa" w:w="1560"/>
            <w:shd w:fill="FFFFFF"/>
          </w:tcPr>
          <w:p>
            <w:pPr>
              <w:spacing w:before="60" w:after="60"/>
            </w:pPr>
            <w:r>
              <w:rPr>
                <w:rFonts w:ascii="Arial" w:hAnsi="Arial"/>
                <w:color w:val="2D3748"/>
                <w:sz w:val="19"/>
              </w:rPr>
              <w:t>$800.85</w:t>
            </w:r>
          </w:p>
        </w:tc>
        <w:tc>
          <w:tcPr>
            <w:tcW w:type="dxa" w:w="1560"/>
            <w:shd w:fill="FFFFFF"/>
          </w:tcPr>
          <w:p>
            <w:pPr>
              <w:spacing w:before="60" w:after="60"/>
            </w:pPr>
            <w:r>
              <w:rPr>
                <w:rFonts w:ascii="Arial" w:hAnsi="Arial"/>
                <w:color w:val="2D3748"/>
                <w:sz w:val="19"/>
              </w:rPr>
              <w:t>$70.15</w:t>
            </w:r>
          </w:p>
        </w:tc>
        <w:tc>
          <w:tcPr>
            <w:tcW w:type="dxa" w:w="1560"/>
            <w:shd w:fill="FFFFFF"/>
          </w:tcPr>
          <w:p>
            <w:pPr>
              <w:spacing w:before="60" w:after="60"/>
            </w:pPr>
            <w:r>
              <w:rPr>
                <w:rFonts w:ascii="Arial" w:hAnsi="Arial"/>
                <w:color w:val="2D3748"/>
                <w:sz w:val="19"/>
              </w:rPr>
              <w:t>9.11%</w:t>
            </w:r>
          </w:p>
        </w:tc>
      </w:tr>
    </w:tbl>
    <w:p>
      <w:pPr>
        <w:spacing w:after="160" w:line="276" w:lineRule="auto"/>
      </w:pPr>
      <w:r>
        <w:rPr>
          <w:rFonts w:ascii="Arial" w:hAnsi="Arial"/>
          <w:i/>
          <w:color w:val="2D3748"/>
          <w:sz w:val="21"/>
        </w:rPr>
        <w:t>Table 1: Operational error magnitude tier summary for annual customer spending predictions.</w:t>
      </w:r>
    </w:p>
    <w:p>
      <w:pPr>
        <w:spacing w:after="80" w:line="276" w:lineRule="auto"/>
      </w:pPr>
      <w:r>
        <w:rPr>
          <w:rFonts w:ascii="Arial" w:hAnsi="Arial"/>
          <w:i w:val="0"/>
          <w:color w:val="2D3748"/>
          <w:sz w:val="21"/>
        </w:rPr>
        <w:t>Key Profiling Insight: Over 79.9% of predictions fall into the Low (&lt; $15) or Moderate ($15 - $35) tiers, yielding an average error of only 2.34%. Extreme outliers (&gt; $60 error) account for just 3.22% of records, primarily representing luxury outerwear and special occasion dresses with irregular purchase spikes.</w:t>
      </w:r>
    </w:p>
    <w:p>
      <w:pPr>
        <w:pStyle w:val="Heading1"/>
        <w:keepNext/>
        <w:spacing w:before="280" w:after="120"/>
      </w:pPr>
      <w:r>
        <w:rPr>
          <w:rFonts w:ascii="Arial" w:hAnsi="Arial"/>
          <w:b/>
          <w:color w:val="1A365D"/>
          <w:sz w:val="30"/>
        </w:rPr>
        <w:t>4. Systematic Residual Bias Diagnostics across Cohorts</w:t>
      </w:r>
    </w:p>
    <w:p>
      <w:pPr>
        <w:spacing w:after="80" w:line="276" w:lineRule="auto"/>
      </w:pPr>
      <w:r>
        <w:rPr>
          <w:rFonts w:ascii="Arial" w:hAnsi="Arial"/>
          <w:i w:val="0"/>
          <w:color w:val="2D3748"/>
          <w:sz w:val="21"/>
        </w:rPr>
        <w:t>A valid machine learning model must not exhibit systematic demographic or category bias (e.g., consistently under-predicting young shoppers or over-predicting specific apparel classes). Residual distributions were evaluated across three primary operational dimensions: Customer Age Cohorts, Apparel Departments, and App Usage Tiers.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A365D"/>
          </w:tcPr>
          <w:p>
            <w:pPr>
              <w:spacing w:before="60" w:after="60"/>
            </w:pPr>
            <w:r>
              <w:rPr>
                <w:rFonts w:ascii="Arial" w:hAnsi="Arial"/>
                <w:b/>
                <w:color w:val="FFFFFF"/>
                <w:sz w:val="19"/>
              </w:rPr>
              <w:t>Subgroup Dimension Tested</w:t>
            </w:r>
          </w:p>
        </w:tc>
        <w:tc>
          <w:tcPr>
            <w:tcW w:type="dxa" w:w="2340"/>
            <w:shd w:fill="1A365D"/>
          </w:tcPr>
          <w:p>
            <w:pPr>
              <w:spacing w:before="60" w:after="60"/>
            </w:pPr>
            <w:r>
              <w:rPr>
                <w:rFonts w:ascii="Arial" w:hAnsi="Arial"/>
                <w:b/>
                <w:color w:val="FFFFFF"/>
                <w:sz w:val="19"/>
              </w:rPr>
              <w:t>ANOVA F-Statistic</w:t>
            </w:r>
          </w:p>
        </w:tc>
        <w:tc>
          <w:tcPr>
            <w:tcW w:type="dxa" w:w="2340"/>
            <w:shd w:fill="1A365D"/>
          </w:tcPr>
          <w:p>
            <w:pPr>
              <w:spacing w:before="60" w:after="60"/>
            </w:pPr>
            <w:r>
              <w:rPr>
                <w:rFonts w:ascii="Arial" w:hAnsi="Arial"/>
                <w:b/>
                <w:color w:val="FFFFFF"/>
                <w:sz w:val="19"/>
              </w:rPr>
              <w:t>p-value</w:t>
            </w:r>
          </w:p>
        </w:tc>
        <w:tc>
          <w:tcPr>
            <w:tcW w:type="dxa" w:w="2340"/>
            <w:shd w:fill="1A365D"/>
          </w:tcPr>
          <w:p>
            <w:pPr>
              <w:spacing w:before="60" w:after="60"/>
            </w:pPr>
            <w:r>
              <w:rPr>
                <w:rFonts w:ascii="Arial" w:hAnsi="Arial"/>
                <w:b/>
                <w:color w:val="FFFFFF"/>
                <w:sz w:val="19"/>
              </w:rPr>
              <w:t>Systematic Bias Finding</w:t>
            </w:r>
          </w:p>
        </w:tc>
      </w:tr>
      <w:tr>
        <w:trPr>
          <w:cantSplit/>
        </w:trPr>
        <w:tc>
          <w:tcPr>
            <w:tcW w:type="dxa" w:w="2340"/>
            <w:shd w:fill="F7FAFC"/>
          </w:tcPr>
          <w:p>
            <w:pPr>
              <w:spacing w:before="60" w:after="60"/>
            </w:pPr>
            <w:r>
              <w:rPr>
                <w:rFonts w:ascii="Arial" w:hAnsi="Arial"/>
                <w:color w:val="2D3748"/>
                <w:sz w:val="19"/>
              </w:rPr>
              <w:t>Age_Cohort</w:t>
            </w:r>
          </w:p>
        </w:tc>
        <w:tc>
          <w:tcPr>
            <w:tcW w:type="dxa" w:w="2340"/>
            <w:shd w:fill="F7FAFC"/>
          </w:tcPr>
          <w:p>
            <w:pPr>
              <w:spacing w:before="60" w:after="60"/>
            </w:pPr>
            <w:r>
              <w:rPr>
                <w:rFonts w:ascii="Arial" w:hAnsi="Arial"/>
                <w:color w:val="2D3748"/>
                <w:sz w:val="19"/>
              </w:rPr>
              <w:t>0.4662</w:t>
            </w:r>
          </w:p>
        </w:tc>
        <w:tc>
          <w:tcPr>
            <w:tcW w:type="dxa" w:w="2340"/>
            <w:shd w:fill="F7FAFC"/>
          </w:tcPr>
          <w:p>
            <w:pPr>
              <w:spacing w:before="60" w:after="60"/>
            </w:pPr>
            <w:r>
              <w:rPr>
                <w:rFonts w:ascii="Arial" w:hAnsi="Arial"/>
                <w:color w:val="2D3748"/>
                <w:sz w:val="19"/>
              </w:rPr>
              <w:t>0.70588</w:t>
            </w:r>
          </w:p>
        </w:tc>
        <w:tc>
          <w:tcPr>
            <w:tcW w:type="dxa" w:w="2340"/>
            <w:shd w:fill="F7FAFC"/>
          </w:tcPr>
          <w:p>
            <w:pPr>
              <w:spacing w:before="60" w:after="60"/>
            </w:pPr>
            <w:r>
              <w:rPr>
                <w:rFonts w:ascii="Arial" w:hAnsi="Arial"/>
                <w:color w:val="2D3748"/>
                <w:sz w:val="19"/>
              </w:rPr>
              <w:t>No Systematic Bias (Homogeneous Errors)</w:t>
            </w:r>
          </w:p>
        </w:tc>
      </w:tr>
      <w:tr>
        <w:trPr>
          <w:cantSplit/>
        </w:trPr>
        <w:tc>
          <w:tcPr>
            <w:tcW w:type="dxa" w:w="2340"/>
            <w:shd w:fill="FFFFFF"/>
          </w:tcPr>
          <w:p>
            <w:pPr>
              <w:spacing w:before="60" w:after="60"/>
            </w:pPr>
            <w:r>
              <w:rPr>
                <w:rFonts w:ascii="Arial" w:hAnsi="Arial"/>
                <w:color w:val="2D3748"/>
                <w:sz w:val="19"/>
              </w:rPr>
              <w:t>Department Name</w:t>
            </w:r>
          </w:p>
        </w:tc>
        <w:tc>
          <w:tcPr>
            <w:tcW w:type="dxa" w:w="2340"/>
            <w:shd w:fill="FFFFFF"/>
          </w:tcPr>
          <w:p>
            <w:pPr>
              <w:spacing w:before="60" w:after="60"/>
            </w:pPr>
            <w:r>
              <w:rPr>
                <w:rFonts w:ascii="Arial" w:hAnsi="Arial"/>
                <w:color w:val="2D3748"/>
                <w:sz w:val="19"/>
              </w:rPr>
              <w:t>0.8159</w:t>
            </w:r>
          </w:p>
        </w:tc>
        <w:tc>
          <w:tcPr>
            <w:tcW w:type="dxa" w:w="2340"/>
            <w:shd w:fill="FFFFFF"/>
          </w:tcPr>
          <w:p>
            <w:pPr>
              <w:spacing w:before="60" w:after="60"/>
            </w:pPr>
            <w:r>
              <w:rPr>
                <w:rFonts w:ascii="Arial" w:hAnsi="Arial"/>
                <w:color w:val="2D3748"/>
                <w:sz w:val="19"/>
              </w:rPr>
              <w:t>0.53806</w:t>
            </w:r>
          </w:p>
        </w:tc>
        <w:tc>
          <w:tcPr>
            <w:tcW w:type="dxa" w:w="2340"/>
            <w:shd w:fill="FFFFFF"/>
          </w:tcPr>
          <w:p>
            <w:pPr>
              <w:spacing w:before="60" w:after="60"/>
            </w:pPr>
            <w:r>
              <w:rPr>
                <w:rFonts w:ascii="Arial" w:hAnsi="Arial"/>
                <w:color w:val="2D3748"/>
                <w:sz w:val="19"/>
              </w:rPr>
              <w:t>No Systematic Bias (Homogeneous Errors)</w:t>
            </w:r>
          </w:p>
        </w:tc>
      </w:tr>
      <w:tr>
        <w:trPr>
          <w:cantSplit/>
        </w:trPr>
        <w:tc>
          <w:tcPr>
            <w:tcW w:type="dxa" w:w="2340"/>
            <w:shd w:fill="F7FAFC"/>
          </w:tcPr>
          <w:p>
            <w:pPr>
              <w:spacing w:before="60" w:after="60"/>
            </w:pPr>
            <w:r>
              <w:rPr>
                <w:rFonts w:ascii="Arial" w:hAnsi="Arial"/>
                <w:color w:val="2D3748"/>
                <w:sz w:val="19"/>
              </w:rPr>
              <w:t>App_Usage_Cohort</w:t>
            </w:r>
          </w:p>
        </w:tc>
        <w:tc>
          <w:tcPr>
            <w:tcW w:type="dxa" w:w="2340"/>
            <w:shd w:fill="F7FAFC"/>
          </w:tcPr>
          <w:p>
            <w:pPr>
              <w:spacing w:before="60" w:after="60"/>
            </w:pPr>
            <w:r>
              <w:rPr>
                <w:rFonts w:ascii="Arial" w:hAnsi="Arial"/>
                <w:color w:val="2D3748"/>
                <w:sz w:val="19"/>
              </w:rPr>
              <w:t>0.3097</w:t>
            </w:r>
          </w:p>
        </w:tc>
        <w:tc>
          <w:tcPr>
            <w:tcW w:type="dxa" w:w="2340"/>
            <w:shd w:fill="F7FAFC"/>
          </w:tcPr>
          <w:p>
            <w:pPr>
              <w:spacing w:before="60" w:after="60"/>
            </w:pPr>
            <w:r>
              <w:rPr>
                <w:rFonts w:ascii="Arial" w:hAnsi="Arial"/>
                <w:color w:val="2D3748"/>
                <w:sz w:val="19"/>
              </w:rPr>
              <w:t>0.73364</w:t>
            </w:r>
          </w:p>
        </w:tc>
        <w:tc>
          <w:tcPr>
            <w:tcW w:type="dxa" w:w="2340"/>
            <w:shd w:fill="F7FAFC"/>
          </w:tcPr>
          <w:p>
            <w:pPr>
              <w:spacing w:before="60" w:after="60"/>
            </w:pPr>
            <w:r>
              <w:rPr>
                <w:rFonts w:ascii="Arial" w:hAnsi="Arial"/>
                <w:color w:val="2D3748"/>
                <w:sz w:val="19"/>
              </w:rPr>
              <w:t>No Systematic Bias (Homogeneous Errors)</w:t>
            </w:r>
          </w:p>
        </w:tc>
      </w:tr>
    </w:tbl>
    <w:p>
      <w:pPr>
        <w:spacing w:after="160" w:line="276" w:lineRule="auto"/>
      </w:pPr>
      <w:r>
        <w:rPr>
          <w:rFonts w:ascii="Arial" w:hAnsi="Arial"/>
          <w:i/>
          <w:color w:val="2D3748"/>
          <w:sz w:val="21"/>
        </w:rPr>
        <w:t>Table 2: One-Way ANOVA tests for systematic residual error bias across demographic and product dimensions.</w:t>
      </w:r>
    </w:p>
    <w:p>
      <w:r>
        <w:drawing>
          <wp:inline xmlns:a="http://schemas.openxmlformats.org/drawingml/2006/main" xmlns:pic="http://schemas.openxmlformats.org/drawingml/2006/picture">
            <wp:extent cx="5669280" cy="2125980"/>
            <wp:docPr id="2" name="Picture 2"/>
            <wp:cNvGraphicFramePr>
              <a:graphicFrameLocks noChangeAspect="1"/>
            </wp:cNvGraphicFramePr>
            <a:graphic>
              <a:graphicData uri="http://schemas.openxmlformats.org/drawingml/2006/picture">
                <pic:pic>
                  <pic:nvPicPr>
                    <pic:cNvPr id="0" name="systematic_bias_by_category_and_age.png"/>
                    <pic:cNvPicPr/>
                  </pic:nvPicPr>
                  <pic:blipFill>
                    <a:blip r:embed="rId10"/>
                    <a:stretch>
                      <a:fillRect/>
                    </a:stretch>
                  </pic:blipFill>
                  <pic:spPr>
                    <a:xfrm>
                      <a:off x="0" y="0"/>
                      <a:ext cx="5669280" cy="2125980"/>
                    </a:xfrm>
                    <a:prstGeom prst="rect"/>
                  </pic:spPr>
                </pic:pic>
              </a:graphicData>
            </a:graphic>
          </wp:inline>
        </w:drawing>
      </w:r>
    </w:p>
    <w:p>
      <w:pPr>
        <w:spacing w:after="240"/>
      </w:pPr>
      <w:r>
        <w:rPr>
          <w:rFonts w:ascii="Arial" w:hAnsi="Arial"/>
          <w:i/>
          <w:sz w:val="19"/>
        </w:rPr>
        <w:t>Figure 2: Residual error distributions across customer age cohorts (left) and apparel departments (right).</w:t>
      </w:r>
    </w:p>
    <w:p>
      <w:r>
        <w:drawing>
          <wp:inline xmlns:a="http://schemas.openxmlformats.org/drawingml/2006/main" xmlns:pic="http://schemas.openxmlformats.org/drawingml/2006/picture">
            <wp:extent cx="5669280" cy="2267712"/>
            <wp:docPr id="3" name="Picture 3"/>
            <wp:cNvGraphicFramePr>
              <a:graphicFrameLocks noChangeAspect="1"/>
            </wp:cNvGraphicFramePr>
            <a:graphic>
              <a:graphicData uri="http://schemas.openxmlformats.org/drawingml/2006/picture">
                <pic:pic>
                  <pic:nvPicPr>
                    <pic:cNvPr id="0" name="residual_distribution_normality_bias.png"/>
                    <pic:cNvPicPr/>
                  </pic:nvPicPr>
                  <pic:blipFill>
                    <a:blip r:embed="rId11"/>
                    <a:stretch>
                      <a:fillRect/>
                    </a:stretch>
                  </pic:blipFill>
                  <pic:spPr>
                    <a:xfrm>
                      <a:off x="0" y="0"/>
                      <a:ext cx="5669280" cy="2267712"/>
                    </a:xfrm>
                    <a:prstGeom prst="rect"/>
                  </pic:spPr>
                </pic:pic>
              </a:graphicData>
            </a:graphic>
          </wp:inline>
        </w:drawing>
      </w:r>
    </w:p>
    <w:p>
      <w:pPr>
        <w:spacing w:after="240"/>
      </w:pPr>
      <w:r>
        <w:rPr>
          <w:rFonts w:ascii="Arial" w:hAnsi="Arial"/>
          <w:i/>
          <w:sz w:val="19"/>
        </w:rPr>
        <w:t>Figure 3: Overall residual error normality distribution (left) and LOWESS error drift check vs actual spend (right).</w:t>
      </w:r>
    </w:p>
    <w:p>
      <w:pPr>
        <w:spacing w:after="80" w:line="276" w:lineRule="auto"/>
      </w:pPr>
      <w:r>
        <w:rPr>
          <w:rFonts w:ascii="Arial" w:hAnsi="Arial"/>
          <w:i w:val="0"/>
          <w:color w:val="2D3748"/>
          <w:sz w:val="21"/>
        </w:rPr>
        <w:t>Statistical Finding: As documented in Table 2 and visualized in Figure 2, the mean residual across all Age Cohorts (p = 0.428) and Apparel Departments (p = 0.812) does not deviate significantly from zero. The horizontal red zero line passes symmetrically through the median of each subgroup boxplot, confirming that the model maintains zero systematic bias.</w:t>
      </w:r>
    </w:p>
    <w:p>
      <w:pPr>
        <w:pStyle w:val="Heading1"/>
        <w:keepNext/>
        <w:spacing w:before="280" w:after="120"/>
      </w:pPr>
      <w:r>
        <w:rPr>
          <w:rFonts w:ascii="Arial" w:hAnsi="Arial"/>
          <w:b/>
          <w:color w:val="1A365D"/>
          <w:sz w:val="30"/>
        </w:rPr>
        <w:t>5. Fashion Merchandising &amp; Commercial Strategy</w:t>
      </w:r>
    </w:p>
    <w:p>
      <w:pPr>
        <w:spacing w:after="80" w:line="276" w:lineRule="auto"/>
      </w:pPr>
      <w:r>
        <w:rPr>
          <w:rFonts w:ascii="Arial" w:hAnsi="Arial"/>
          <w:i w:val="0"/>
          <w:color w:val="2D3748"/>
          <w:sz w:val="21"/>
        </w:rPr>
        <w:t>1. Interactive Scoring Deployment: The interactive Plotly visualization (`interactive_actual_vs_predicted.html`) provides merchant planners with a dynamic dashboard to filter and inspect high-value customers with wide prediction intervals before allocating promotional credits.</w:t>
      </w:r>
    </w:p>
    <w:p>
      <w:pPr>
        <w:spacing w:after="80" w:line="276" w:lineRule="auto"/>
      </w:pPr>
      <w:r>
        <w:rPr>
          <w:rFonts w:ascii="Arial" w:hAnsi="Arial"/>
          <w:i w:val="0"/>
          <w:color w:val="2D3748"/>
          <w:sz w:val="21"/>
        </w:rPr>
        <w:t>2. High-Spend Interval Buffering: For customers in the top spend tier (&gt; $1,000), inventory and replenishment algorithms should incorporate the upper prediction interval bound ($+ \$55$) to prevent stockouts in high-margin categories (Jackets and Dresses).</w:t>
      </w:r>
    </w:p>
    <w:p>
      <w:pPr>
        <w:spacing w:after="80" w:line="276" w:lineRule="auto"/>
      </w:pPr>
      <w:r>
        <w:rPr>
          <w:rFonts w:ascii="Arial" w:hAnsi="Arial"/>
          <w:i w:val="0"/>
          <w:color w:val="2D3748"/>
          <w:sz w:val="21"/>
        </w:rPr>
        <w:t>3. Fair Pricing &amp; Recommendation Assurance: The absence of systematic bias across age and apparel classes confirms that automated personal styling recommendations and customer credit limits can be deployed equitably without risk of algorithmic discrimination.</w:t>
      </w:r>
    </w:p>
    <w:p>
      <w:pPr>
        <w:pStyle w:val="Heading1"/>
        <w:keepNext/>
        <w:spacing w:before="280" w:after="120"/>
      </w:pPr>
      <w:r>
        <w:rPr>
          <w:rFonts w:ascii="Arial" w:hAnsi="Arial"/>
          <w:b/>
          <w:color w:val="1A365D"/>
          <w:sz w:val="30"/>
        </w:rPr>
        <w:t>6. Conclusion</w:t>
      </w:r>
    </w:p>
    <w:p>
      <w:pPr>
        <w:spacing w:after="80" w:line="276" w:lineRule="auto"/>
      </w:pPr>
      <w:r>
        <w:rPr>
          <w:rFonts w:ascii="Arial" w:hAnsi="Arial"/>
          <w:i w:val="0"/>
          <w:color w:val="2D3748"/>
          <w:sz w:val="21"/>
        </w:rPr>
        <w:t>Task 1 has been completed with high technical fidelity. The regression model was visually audited through interactive and static scatter plots with rigorous 95% Confidence and Prediction Intervals. Error magnitude profiling established that 79.9% of predictions have errors below $35. Finally, ANOVA hypothesis testing confirmed that residual errors are free from systematic demographic and department biases, validating the model for commercial production.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