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365D"/>
          <w:sz w:val="44"/>
        </w:rPr>
        <w:t>Women's Clothing: Trends and Analysis in the Fashion Industry</w:t>
        <w:br/>
      </w:r>
      <w:r>
        <w:rPr>
          <w:rFonts w:ascii="Arial" w:hAnsi="Arial"/>
          <w:color w:val="4A5568"/>
          <w:sz w:val="26"/>
        </w:rPr>
        <w:t>Task 1: Comparative Modeling (Random Forest vs. Logistic Regression), Hyperparameter Optimization, and SHAP Explainability</w:t>
        <w:br/>
      </w:r>
      <w:r>
        <w:rPr>
          <w:rFonts w:ascii="Arial" w:hAnsi="Arial"/>
          <w:i/>
          <w:color w:val="718096"/>
          <w:sz w:val="20"/>
        </w:rPr>
        <w:t>Date: 26-10-2026 | Track: E-Commerce Predictive Classification &amp; Explainable AI</w:t>
        <w:br/>
      </w:r>
    </w:p>
    <w:p>
      <w:pPr>
        <w:spacing w:before="320" w:after="120"/>
      </w:pPr>
      <w:r>
        <w:rPr>
          <w:rFonts w:ascii="Arial" w:hAnsi="Arial"/>
          <w:b/>
          <w:color w:val="1A365D"/>
          <w:sz w:val="30"/>
        </w:rPr>
        <w:t>1. Executive Summary</w:t>
      </w:r>
    </w:p>
    <w:p>
      <w:pPr>
        <w:spacing w:line="276" w:lineRule="auto" w:after="120"/>
      </w:pPr>
      <w:r>
        <w:rPr>
          <w:rFonts w:ascii="Arial" w:hAnsi="Arial"/>
          <w:color w:val="2D3748"/>
          <w:sz w:val="21"/>
        </w:rPr>
        <w:t>This technical report presents a comprehensive comparative evaluation between a non-linear ensemble (Random Forest Classifier) and an interpretable linear baseline (Logistic Regression) to predict consumer recommendation decisions ('Recommended IND') in the women's apparel e-commerce domain. Operating over a curated dataset of 23,486 customer transactions featuring multi-faceted text sentiment, lexical features, and merchandise metadata, both models were tuned via RandomizedSearchCV with 5-fold Stratified Cross-Validation. Global and local model behaviors were rigorously dissected using permutation importance, standardized log-odds, and TreeSHAP cooperative game theory.</w:t>
      </w:r>
    </w:p>
    <w:p>
      <w:pPr>
        <w:spacing w:before="320" w:after="120"/>
      </w:pPr>
      <w:r>
        <w:rPr>
          <w:rFonts w:ascii="Arial" w:hAnsi="Arial"/>
          <w:b/>
          <w:color w:val="1A365D"/>
          <w:sz w:val="30"/>
        </w:rPr>
        <w:t>2. Mathematical Formulations &amp; Tuning Methodology</w:t>
      </w:r>
    </w:p>
    <w:p>
      <w:pPr>
        <w:spacing w:line="276" w:lineRule="auto" w:after="120"/>
      </w:pPr>
      <w:r>
        <w:rPr>
          <w:rFonts w:ascii="Arial" w:hAnsi="Arial"/>
          <w:color w:val="2D3748"/>
          <w:sz w:val="21"/>
        </w:rPr>
        <w:t>A key challenge in customer recommendation modeling is class imbalance: 82.2% of customer reviews represent positive recommendations, while 17.8% represent negative non-recommendations. Default unweighted models often optimize overall accuracy at the expense of minority class recall. To counter this, hyperparameter distributions in RandomizedSearchCV explicitly explored class-weight rebalancing schemes ('balanced' and 'balanced_subsample') alongside structural tree depth and regularization penalties.</w:t>
      </w:r>
    </w:p>
    <w:p>
      <w:pPr>
        <w:spacing w:before="320" w:after="120"/>
      </w:pPr>
      <w:r>
        <w:rPr>
          <w:rFonts w:ascii="Arial" w:hAnsi="Arial"/>
          <w:b/>
          <w:color w:val="1A365D"/>
          <w:sz w:val="30"/>
        </w:rPr>
        <w:t>3. Model Performance Comparison Benchmark</w:t>
      </w:r>
    </w:p>
    <w:p>
      <w:pPr>
        <w:spacing w:line="276" w:lineRule="auto" w:after="120"/>
      </w:pPr>
      <w:r>
        <w:rPr>
          <w:rFonts w:ascii="Arial" w:hAnsi="Arial"/>
          <w:color w:val="2D3748"/>
          <w:sz w:val="21"/>
        </w:rPr>
        <w:t>Table 1 outlines the comparative diagnostic metrics evaluated on the held-out test set (4,698 customer reviews), spanning accuracy, minority-class recall, macro-averaged F1, discrimination (ROC-AUC, PR-AUC), and chance-adjusted agreement (Cohen's Kappa and Matthews Correlation Coefficient).</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A365D"/>
            <w:tcMar>
              <w:top w:w="120" w:type="dxa"/>
              <w:bottom w:w="120" w:type="dxa"/>
              <w:left w:w="100" w:type="dxa"/>
              <w:right w:w="100" w:type="dxa"/>
            </w:tcMar>
          </w:tcPr>
          <w:p>
            <w:pPr>
              <w:jc w:val="center"/>
            </w:pPr>
            <w:r>
              <w:rPr>
                <w:rFonts w:ascii="Arial" w:hAnsi="Arial"/>
                <w:b/>
                <w:color w:val="FFFFFF"/>
                <w:sz w:val="18"/>
              </w:rPr>
              <w:t>Model</w:t>
            </w:r>
          </w:p>
        </w:tc>
        <w:tc>
          <w:tcPr>
            <w:tcW w:type="dxa" w:w="936"/>
            <w:shd w:fill="1A365D"/>
            <w:tcMar>
              <w:top w:w="120" w:type="dxa"/>
              <w:bottom w:w="120" w:type="dxa"/>
              <w:left w:w="100" w:type="dxa"/>
              <w:right w:w="100" w:type="dxa"/>
            </w:tcMar>
          </w:tcPr>
          <w:p>
            <w:pPr>
              <w:jc w:val="center"/>
            </w:pPr>
            <w:r>
              <w:rPr>
                <w:rFonts w:ascii="Arial" w:hAnsi="Arial"/>
                <w:b/>
                <w:color w:val="FFFFFF"/>
                <w:sz w:val="18"/>
              </w:rPr>
              <w:t>Accuracy</w:t>
            </w:r>
          </w:p>
        </w:tc>
        <w:tc>
          <w:tcPr>
            <w:tcW w:type="dxa" w:w="936"/>
            <w:shd w:fill="1A365D"/>
            <w:tcMar>
              <w:top w:w="120" w:type="dxa"/>
              <w:bottom w:w="120" w:type="dxa"/>
              <w:left w:w="100" w:type="dxa"/>
              <w:right w:w="100" w:type="dxa"/>
            </w:tcMar>
          </w:tcPr>
          <w:p>
            <w:pPr>
              <w:jc w:val="center"/>
            </w:pPr>
            <w:r>
              <w:rPr>
                <w:rFonts w:ascii="Arial" w:hAnsi="Arial"/>
                <w:b/>
                <w:color w:val="FFFFFF"/>
                <w:sz w:val="18"/>
              </w:rPr>
              <w:t>Recall Class0 (Dissatisfied)</w:t>
            </w:r>
          </w:p>
        </w:tc>
        <w:tc>
          <w:tcPr>
            <w:tcW w:type="dxa" w:w="936"/>
            <w:shd w:fill="1A365D"/>
            <w:tcMar>
              <w:top w:w="120" w:type="dxa"/>
              <w:bottom w:w="120" w:type="dxa"/>
              <w:left w:w="100" w:type="dxa"/>
              <w:right w:w="100" w:type="dxa"/>
            </w:tcMar>
          </w:tcPr>
          <w:p>
            <w:pPr>
              <w:jc w:val="center"/>
            </w:pPr>
            <w:r>
              <w:rPr>
                <w:rFonts w:ascii="Arial" w:hAnsi="Arial"/>
                <w:b/>
                <w:color w:val="FFFFFF"/>
                <w:sz w:val="18"/>
              </w:rPr>
              <w:t>Precision Class0</w:t>
            </w:r>
          </w:p>
        </w:tc>
        <w:tc>
          <w:tcPr>
            <w:tcW w:type="dxa" w:w="936"/>
            <w:shd w:fill="1A365D"/>
            <w:tcMar>
              <w:top w:w="120" w:type="dxa"/>
              <w:bottom w:w="120" w:type="dxa"/>
              <w:left w:w="100" w:type="dxa"/>
              <w:right w:w="100" w:type="dxa"/>
            </w:tcMar>
          </w:tcPr>
          <w:p>
            <w:pPr>
              <w:jc w:val="center"/>
            </w:pPr>
            <w:r>
              <w:rPr>
                <w:rFonts w:ascii="Arial" w:hAnsi="Arial"/>
                <w:b/>
                <w:color w:val="FFFFFF"/>
                <w:sz w:val="18"/>
              </w:rPr>
              <w:t>Recall Class1 (Recommended)</w:t>
            </w:r>
          </w:p>
        </w:tc>
        <w:tc>
          <w:tcPr>
            <w:tcW w:type="dxa" w:w="936"/>
            <w:shd w:fill="1A365D"/>
            <w:tcMar>
              <w:top w:w="120" w:type="dxa"/>
              <w:bottom w:w="120" w:type="dxa"/>
              <w:left w:w="100" w:type="dxa"/>
              <w:right w:w="100" w:type="dxa"/>
            </w:tcMar>
          </w:tcPr>
          <w:p>
            <w:pPr>
              <w:jc w:val="center"/>
            </w:pPr>
            <w:r>
              <w:rPr>
                <w:rFonts w:ascii="Arial" w:hAnsi="Arial"/>
                <w:b/>
                <w:color w:val="FFFFFF"/>
                <w:sz w:val="18"/>
              </w:rPr>
              <w:t>Macro F1</w:t>
            </w:r>
          </w:p>
        </w:tc>
        <w:tc>
          <w:tcPr>
            <w:tcW w:type="dxa" w:w="936"/>
            <w:shd w:fill="1A365D"/>
            <w:tcMar>
              <w:top w:w="120" w:type="dxa"/>
              <w:bottom w:w="120" w:type="dxa"/>
              <w:left w:w="100" w:type="dxa"/>
              <w:right w:w="100" w:type="dxa"/>
            </w:tcMar>
          </w:tcPr>
          <w:p>
            <w:pPr>
              <w:jc w:val="center"/>
            </w:pPr>
            <w:r>
              <w:rPr>
                <w:rFonts w:ascii="Arial" w:hAnsi="Arial"/>
                <w:b/>
                <w:color w:val="FFFFFF"/>
                <w:sz w:val="18"/>
              </w:rPr>
              <w:t>ROC AUC</w:t>
            </w:r>
          </w:p>
        </w:tc>
        <w:tc>
          <w:tcPr>
            <w:tcW w:type="dxa" w:w="936"/>
            <w:shd w:fill="1A365D"/>
            <w:tcMar>
              <w:top w:w="120" w:type="dxa"/>
              <w:bottom w:w="120" w:type="dxa"/>
              <w:left w:w="100" w:type="dxa"/>
              <w:right w:w="100" w:type="dxa"/>
            </w:tcMar>
          </w:tcPr>
          <w:p>
            <w:pPr>
              <w:jc w:val="center"/>
            </w:pPr>
            <w:r>
              <w:rPr>
                <w:rFonts w:ascii="Arial" w:hAnsi="Arial"/>
                <w:b/>
                <w:color w:val="FFFFFF"/>
                <w:sz w:val="18"/>
              </w:rPr>
              <w:t>PR AUC</w:t>
            </w:r>
          </w:p>
        </w:tc>
        <w:tc>
          <w:tcPr>
            <w:tcW w:type="dxa" w:w="936"/>
            <w:shd w:fill="1A365D"/>
            <w:tcMar>
              <w:top w:w="120" w:type="dxa"/>
              <w:bottom w:w="120" w:type="dxa"/>
              <w:left w:w="100" w:type="dxa"/>
              <w:right w:w="100" w:type="dxa"/>
            </w:tcMar>
          </w:tcPr>
          <w:p>
            <w:pPr>
              <w:jc w:val="center"/>
            </w:pPr>
            <w:r>
              <w:rPr>
                <w:rFonts w:ascii="Arial" w:hAnsi="Arial"/>
                <w:b/>
                <w:color w:val="FFFFFF"/>
                <w:sz w:val="18"/>
              </w:rPr>
              <w:t>Cohen Kappa</w:t>
            </w:r>
          </w:p>
        </w:tc>
        <w:tc>
          <w:tcPr>
            <w:tcW w:type="dxa" w:w="936"/>
            <w:shd w:fill="1A365D"/>
            <w:tcMar>
              <w:top w:w="120" w:type="dxa"/>
              <w:bottom w:w="120" w:type="dxa"/>
              <w:left w:w="100" w:type="dxa"/>
              <w:right w:w="100" w:type="dxa"/>
            </w:tcMar>
          </w:tcPr>
          <w:p>
            <w:pPr>
              <w:jc w:val="center"/>
            </w:pPr>
            <w:r>
              <w:rPr>
                <w:rFonts w:ascii="Arial" w:hAnsi="Arial"/>
                <w:b/>
                <w:color w:val="FFFFFF"/>
                <w:sz w:val="18"/>
              </w:rPr>
              <w:t>MCC</w:t>
            </w:r>
          </w:p>
        </w:tc>
      </w:tr>
      <w:tr>
        <w:tc>
          <w:tcPr>
            <w:tcW w:type="dxa" w:w="936"/>
            <w:shd w:fill="FFFFFF"/>
            <w:tcMar>
              <w:top w:w="80" w:type="dxa"/>
              <w:bottom w:w="80" w:type="dxa"/>
              <w:left w:w="100" w:type="dxa"/>
              <w:right w:w="100" w:type="dxa"/>
            </w:tcMar>
          </w:tcPr>
          <w:p>
            <w:pPr>
              <w:jc w:val="left"/>
            </w:pPr>
            <w:r>
              <w:rPr>
                <w:rFonts w:ascii="Arial" w:hAnsi="Arial"/>
                <w:color w:val="2D3748"/>
                <w:sz w:val="17"/>
              </w:rPr>
              <w:t>Baseline Random Forest</w:t>
            </w:r>
          </w:p>
        </w:tc>
        <w:tc>
          <w:tcPr>
            <w:tcW w:type="dxa" w:w="936"/>
            <w:shd w:fill="FFFFFF"/>
            <w:tcMar>
              <w:top w:w="80" w:type="dxa"/>
              <w:bottom w:w="80" w:type="dxa"/>
              <w:left w:w="100" w:type="dxa"/>
              <w:right w:w="100" w:type="dxa"/>
            </w:tcMar>
          </w:tcPr>
          <w:p>
            <w:pPr>
              <w:jc w:val="center"/>
            </w:pPr>
            <w:r>
              <w:rPr>
                <w:rFonts w:ascii="Arial" w:hAnsi="Arial"/>
                <w:color w:val="2D3748"/>
                <w:sz w:val="17"/>
              </w:rPr>
              <w:t>0.9395</w:t>
            </w:r>
          </w:p>
        </w:tc>
        <w:tc>
          <w:tcPr>
            <w:tcW w:type="dxa" w:w="936"/>
            <w:shd w:fill="FFFFFF"/>
            <w:tcMar>
              <w:top w:w="80" w:type="dxa"/>
              <w:bottom w:w="80" w:type="dxa"/>
              <w:left w:w="100" w:type="dxa"/>
              <w:right w:w="100" w:type="dxa"/>
            </w:tcMar>
          </w:tcPr>
          <w:p>
            <w:pPr>
              <w:jc w:val="center"/>
            </w:pPr>
            <w:r>
              <w:rPr>
                <w:rFonts w:ascii="Arial" w:hAnsi="Arial"/>
                <w:color w:val="2D3748"/>
                <w:sz w:val="17"/>
              </w:rPr>
              <w:t>0.8419</w:t>
            </w:r>
          </w:p>
        </w:tc>
        <w:tc>
          <w:tcPr>
            <w:tcW w:type="dxa" w:w="936"/>
            <w:shd w:fill="FFFFFF"/>
            <w:tcMar>
              <w:top w:w="80" w:type="dxa"/>
              <w:bottom w:w="80" w:type="dxa"/>
              <w:left w:w="100" w:type="dxa"/>
              <w:right w:w="100" w:type="dxa"/>
            </w:tcMar>
          </w:tcPr>
          <w:p>
            <w:pPr>
              <w:jc w:val="center"/>
            </w:pPr>
            <w:r>
              <w:rPr>
                <w:rFonts w:ascii="Arial" w:hAnsi="Arial"/>
                <w:color w:val="2D3748"/>
                <w:sz w:val="17"/>
              </w:rPr>
              <w:t>0.8222</w:t>
            </w:r>
          </w:p>
        </w:tc>
        <w:tc>
          <w:tcPr>
            <w:tcW w:type="dxa" w:w="936"/>
            <w:shd w:fill="FFFFFF"/>
            <w:tcMar>
              <w:top w:w="80" w:type="dxa"/>
              <w:bottom w:w="80" w:type="dxa"/>
              <w:left w:w="100" w:type="dxa"/>
              <w:right w:w="100" w:type="dxa"/>
            </w:tcMar>
          </w:tcPr>
          <w:p>
            <w:pPr>
              <w:jc w:val="center"/>
            </w:pPr>
            <w:r>
              <w:rPr>
                <w:rFonts w:ascii="Arial" w:hAnsi="Arial"/>
                <w:color w:val="2D3748"/>
                <w:sz w:val="17"/>
              </w:rPr>
              <w:t>0.9607</w:t>
            </w:r>
          </w:p>
        </w:tc>
        <w:tc>
          <w:tcPr>
            <w:tcW w:type="dxa" w:w="936"/>
            <w:shd w:fill="FFFFFF"/>
            <w:tcMar>
              <w:top w:w="80" w:type="dxa"/>
              <w:bottom w:w="80" w:type="dxa"/>
              <w:left w:w="100" w:type="dxa"/>
              <w:right w:w="100" w:type="dxa"/>
            </w:tcMar>
          </w:tcPr>
          <w:p>
            <w:pPr>
              <w:jc w:val="center"/>
            </w:pPr>
            <w:r>
              <w:rPr>
                <w:rFonts w:ascii="Arial" w:hAnsi="Arial"/>
                <w:color w:val="2D3748"/>
                <w:sz w:val="17"/>
              </w:rPr>
              <w:t>0.8975</w:t>
            </w:r>
          </w:p>
        </w:tc>
        <w:tc>
          <w:tcPr>
            <w:tcW w:type="dxa" w:w="936"/>
            <w:shd w:fill="FFFFFF"/>
            <w:tcMar>
              <w:top w:w="80" w:type="dxa"/>
              <w:bottom w:w="80" w:type="dxa"/>
              <w:left w:w="100" w:type="dxa"/>
              <w:right w:w="100" w:type="dxa"/>
            </w:tcMar>
          </w:tcPr>
          <w:p>
            <w:pPr>
              <w:jc w:val="center"/>
            </w:pPr>
            <w:r>
              <w:rPr>
                <w:rFonts w:ascii="Arial" w:hAnsi="Arial"/>
                <w:color w:val="2D3748"/>
                <w:sz w:val="17"/>
              </w:rPr>
              <w:t>0.9687</w:t>
            </w:r>
          </w:p>
        </w:tc>
        <w:tc>
          <w:tcPr>
            <w:tcW w:type="dxa" w:w="936"/>
            <w:shd w:fill="FFFFFF"/>
            <w:tcMar>
              <w:top w:w="80" w:type="dxa"/>
              <w:bottom w:w="80" w:type="dxa"/>
              <w:left w:w="100" w:type="dxa"/>
              <w:right w:w="100" w:type="dxa"/>
            </w:tcMar>
          </w:tcPr>
          <w:p>
            <w:pPr>
              <w:jc w:val="center"/>
            </w:pPr>
            <w:r>
              <w:rPr>
                <w:rFonts w:ascii="Arial" w:hAnsi="Arial"/>
                <w:color w:val="2D3748"/>
                <w:sz w:val="17"/>
              </w:rPr>
              <w:t>0.9903</w:t>
            </w:r>
          </w:p>
        </w:tc>
        <w:tc>
          <w:tcPr>
            <w:tcW w:type="dxa" w:w="936"/>
            <w:shd w:fill="FFFFFF"/>
            <w:tcMar>
              <w:top w:w="80" w:type="dxa"/>
              <w:bottom w:w="80" w:type="dxa"/>
              <w:left w:w="100" w:type="dxa"/>
              <w:right w:w="100" w:type="dxa"/>
            </w:tcMar>
          </w:tcPr>
          <w:p>
            <w:pPr>
              <w:jc w:val="center"/>
            </w:pPr>
            <w:r>
              <w:rPr>
                <w:rFonts w:ascii="Arial" w:hAnsi="Arial"/>
                <w:color w:val="2D3748"/>
                <w:sz w:val="17"/>
              </w:rPr>
              <w:t>0.7951</w:t>
            </w:r>
          </w:p>
        </w:tc>
        <w:tc>
          <w:tcPr>
            <w:tcW w:type="dxa" w:w="936"/>
            <w:shd w:fill="FFFFFF"/>
            <w:tcMar>
              <w:top w:w="80" w:type="dxa"/>
              <w:bottom w:w="80" w:type="dxa"/>
              <w:left w:w="100" w:type="dxa"/>
              <w:right w:w="100" w:type="dxa"/>
            </w:tcMar>
          </w:tcPr>
          <w:p>
            <w:pPr>
              <w:jc w:val="center"/>
            </w:pPr>
            <w:r>
              <w:rPr>
                <w:rFonts w:ascii="Arial" w:hAnsi="Arial"/>
                <w:color w:val="2D3748"/>
                <w:sz w:val="17"/>
              </w:rPr>
              <w:t>0.7952</w:t>
            </w:r>
          </w:p>
        </w:tc>
      </w:tr>
      <w:tr>
        <w:tc>
          <w:tcPr>
            <w:tcW w:type="dxa" w:w="936"/>
            <w:shd w:fill="F7FAFC"/>
            <w:tcMar>
              <w:top w:w="80" w:type="dxa"/>
              <w:bottom w:w="80" w:type="dxa"/>
              <w:left w:w="100" w:type="dxa"/>
              <w:right w:w="100" w:type="dxa"/>
            </w:tcMar>
          </w:tcPr>
          <w:p>
            <w:pPr>
              <w:jc w:val="left"/>
            </w:pPr>
            <w:r>
              <w:rPr>
                <w:rFonts w:ascii="Arial" w:hAnsi="Arial"/>
                <w:color w:val="2D3748"/>
                <w:sz w:val="17"/>
              </w:rPr>
              <w:t>Tuned Random Forest</w:t>
            </w:r>
          </w:p>
        </w:tc>
        <w:tc>
          <w:tcPr>
            <w:tcW w:type="dxa" w:w="936"/>
            <w:shd w:fill="F7FAFC"/>
            <w:tcMar>
              <w:top w:w="80" w:type="dxa"/>
              <w:bottom w:w="80" w:type="dxa"/>
              <w:left w:w="100" w:type="dxa"/>
              <w:right w:w="100" w:type="dxa"/>
            </w:tcMar>
          </w:tcPr>
          <w:p>
            <w:pPr>
              <w:jc w:val="center"/>
            </w:pPr>
            <w:r>
              <w:rPr>
                <w:rFonts w:ascii="Arial" w:hAnsi="Arial"/>
                <w:color w:val="2D3748"/>
                <w:sz w:val="17"/>
              </w:rPr>
              <w:t>0.9413</w:t>
            </w:r>
          </w:p>
        </w:tc>
        <w:tc>
          <w:tcPr>
            <w:tcW w:type="dxa" w:w="936"/>
            <w:shd w:fill="F7FAFC"/>
            <w:tcMar>
              <w:top w:w="80" w:type="dxa"/>
              <w:bottom w:w="80" w:type="dxa"/>
              <w:left w:w="100" w:type="dxa"/>
              <w:right w:w="100" w:type="dxa"/>
            </w:tcMar>
          </w:tcPr>
          <w:p>
            <w:pPr>
              <w:jc w:val="center"/>
            </w:pPr>
            <w:r>
              <w:rPr>
                <w:rFonts w:ascii="Arial" w:hAnsi="Arial"/>
                <w:color w:val="2D3748"/>
                <w:sz w:val="17"/>
              </w:rPr>
              <w:t>0.8503</w:t>
            </w:r>
          </w:p>
        </w:tc>
        <w:tc>
          <w:tcPr>
            <w:tcW w:type="dxa" w:w="936"/>
            <w:shd w:fill="F7FAFC"/>
            <w:tcMar>
              <w:top w:w="80" w:type="dxa"/>
              <w:bottom w:w="80" w:type="dxa"/>
              <w:left w:w="100" w:type="dxa"/>
              <w:right w:w="100" w:type="dxa"/>
            </w:tcMar>
          </w:tcPr>
          <w:p>
            <w:pPr>
              <w:jc w:val="center"/>
            </w:pPr>
            <w:r>
              <w:rPr>
                <w:rFonts w:ascii="Arial" w:hAnsi="Arial"/>
                <w:color w:val="2D3748"/>
                <w:sz w:val="17"/>
              </w:rPr>
              <w:t>0.8246</w:t>
            </w:r>
          </w:p>
        </w:tc>
        <w:tc>
          <w:tcPr>
            <w:tcW w:type="dxa" w:w="936"/>
            <w:shd w:fill="F7FAFC"/>
            <w:tcMar>
              <w:top w:w="80" w:type="dxa"/>
              <w:bottom w:w="80" w:type="dxa"/>
              <w:left w:w="100" w:type="dxa"/>
              <w:right w:w="100" w:type="dxa"/>
            </w:tcMar>
          </w:tcPr>
          <w:p>
            <w:pPr>
              <w:jc w:val="center"/>
            </w:pPr>
            <w:r>
              <w:rPr>
                <w:rFonts w:ascii="Arial" w:hAnsi="Arial"/>
                <w:color w:val="2D3748"/>
                <w:sz w:val="17"/>
              </w:rPr>
              <w:t>0.9609</w:t>
            </w:r>
          </w:p>
        </w:tc>
        <w:tc>
          <w:tcPr>
            <w:tcW w:type="dxa" w:w="936"/>
            <w:shd w:fill="F7FAFC"/>
            <w:tcMar>
              <w:top w:w="80" w:type="dxa"/>
              <w:bottom w:w="80" w:type="dxa"/>
              <w:left w:w="100" w:type="dxa"/>
              <w:right w:w="100" w:type="dxa"/>
            </w:tcMar>
          </w:tcPr>
          <w:p>
            <w:pPr>
              <w:jc w:val="center"/>
            </w:pPr>
            <w:r>
              <w:rPr>
                <w:rFonts w:ascii="Arial" w:hAnsi="Arial"/>
                <w:color w:val="2D3748"/>
                <w:sz w:val="17"/>
              </w:rPr>
              <w:t>0.9007</w:t>
            </w:r>
          </w:p>
        </w:tc>
        <w:tc>
          <w:tcPr>
            <w:tcW w:type="dxa" w:w="936"/>
            <w:shd w:fill="F7FAFC"/>
            <w:tcMar>
              <w:top w:w="80" w:type="dxa"/>
              <w:bottom w:w="80" w:type="dxa"/>
              <w:left w:w="100" w:type="dxa"/>
              <w:right w:w="100" w:type="dxa"/>
            </w:tcMar>
          </w:tcPr>
          <w:p>
            <w:pPr>
              <w:jc w:val="center"/>
            </w:pPr>
            <w:r>
              <w:rPr>
                <w:rFonts w:ascii="Arial" w:hAnsi="Arial"/>
                <w:color w:val="2D3748"/>
                <w:sz w:val="17"/>
              </w:rPr>
              <w:t>0.9753</w:t>
            </w:r>
          </w:p>
        </w:tc>
        <w:tc>
          <w:tcPr>
            <w:tcW w:type="dxa" w:w="936"/>
            <w:shd w:fill="F7FAFC"/>
            <w:tcMar>
              <w:top w:w="80" w:type="dxa"/>
              <w:bottom w:w="80" w:type="dxa"/>
              <w:left w:w="100" w:type="dxa"/>
              <w:right w:w="100" w:type="dxa"/>
            </w:tcMar>
          </w:tcPr>
          <w:p>
            <w:pPr>
              <w:jc w:val="center"/>
            </w:pPr>
            <w:r>
              <w:rPr>
                <w:rFonts w:ascii="Arial" w:hAnsi="Arial"/>
                <w:color w:val="2D3748"/>
                <w:sz w:val="17"/>
              </w:rPr>
              <w:t>0.9939</w:t>
            </w:r>
          </w:p>
        </w:tc>
        <w:tc>
          <w:tcPr>
            <w:tcW w:type="dxa" w:w="936"/>
            <w:shd w:fill="F7FAFC"/>
            <w:tcMar>
              <w:top w:w="80" w:type="dxa"/>
              <w:bottom w:w="80" w:type="dxa"/>
              <w:left w:w="100" w:type="dxa"/>
              <w:right w:w="100" w:type="dxa"/>
            </w:tcMar>
          </w:tcPr>
          <w:p>
            <w:pPr>
              <w:jc w:val="center"/>
            </w:pPr>
            <w:r>
              <w:rPr>
                <w:rFonts w:ascii="Arial" w:hAnsi="Arial"/>
                <w:color w:val="2D3748"/>
                <w:sz w:val="17"/>
              </w:rPr>
              <w:t>0.8014</w:t>
            </w:r>
          </w:p>
        </w:tc>
        <w:tc>
          <w:tcPr>
            <w:tcW w:type="dxa" w:w="936"/>
            <w:shd w:fill="F7FAFC"/>
            <w:tcMar>
              <w:top w:w="80" w:type="dxa"/>
              <w:bottom w:w="80" w:type="dxa"/>
              <w:left w:w="100" w:type="dxa"/>
              <w:right w:w="100" w:type="dxa"/>
            </w:tcMar>
          </w:tcPr>
          <w:p>
            <w:pPr>
              <w:jc w:val="center"/>
            </w:pPr>
            <w:r>
              <w:rPr>
                <w:rFonts w:ascii="Arial" w:hAnsi="Arial"/>
                <w:color w:val="2D3748"/>
                <w:sz w:val="17"/>
              </w:rPr>
              <w:t>0.8016</w:t>
            </w:r>
          </w:p>
        </w:tc>
      </w:tr>
      <w:tr>
        <w:tc>
          <w:tcPr>
            <w:tcW w:type="dxa" w:w="936"/>
            <w:shd w:fill="FFFFFF"/>
            <w:tcMar>
              <w:top w:w="80" w:type="dxa"/>
              <w:bottom w:w="80" w:type="dxa"/>
              <w:left w:w="100" w:type="dxa"/>
              <w:right w:w="100" w:type="dxa"/>
            </w:tcMar>
          </w:tcPr>
          <w:p>
            <w:pPr>
              <w:jc w:val="left"/>
            </w:pPr>
            <w:r>
              <w:rPr>
                <w:rFonts w:ascii="Arial" w:hAnsi="Arial"/>
                <w:color w:val="2D3748"/>
                <w:sz w:val="17"/>
              </w:rPr>
              <w:t>Baseline Logistic Regression</w:t>
            </w:r>
          </w:p>
        </w:tc>
        <w:tc>
          <w:tcPr>
            <w:tcW w:type="dxa" w:w="936"/>
            <w:shd w:fill="FFFFFF"/>
            <w:tcMar>
              <w:top w:w="80" w:type="dxa"/>
              <w:bottom w:w="80" w:type="dxa"/>
              <w:left w:w="100" w:type="dxa"/>
              <w:right w:w="100" w:type="dxa"/>
            </w:tcMar>
          </w:tcPr>
          <w:p>
            <w:pPr>
              <w:jc w:val="center"/>
            </w:pPr>
            <w:r>
              <w:rPr>
                <w:rFonts w:ascii="Arial" w:hAnsi="Arial"/>
                <w:color w:val="2D3748"/>
                <w:sz w:val="17"/>
              </w:rPr>
              <w:t>0.943</w:t>
            </w:r>
          </w:p>
        </w:tc>
        <w:tc>
          <w:tcPr>
            <w:tcW w:type="dxa" w:w="936"/>
            <w:shd w:fill="FFFFFF"/>
            <w:tcMar>
              <w:top w:w="80" w:type="dxa"/>
              <w:bottom w:w="80" w:type="dxa"/>
              <w:left w:w="100" w:type="dxa"/>
              <w:right w:w="100" w:type="dxa"/>
            </w:tcMar>
          </w:tcPr>
          <w:p>
            <w:pPr>
              <w:jc w:val="center"/>
            </w:pPr>
            <w:r>
              <w:rPr>
                <w:rFonts w:ascii="Arial" w:hAnsi="Arial"/>
                <w:color w:val="2D3748"/>
                <w:sz w:val="17"/>
              </w:rPr>
              <w:t>0.8228</w:t>
            </w:r>
          </w:p>
        </w:tc>
        <w:tc>
          <w:tcPr>
            <w:tcW w:type="dxa" w:w="936"/>
            <w:shd w:fill="FFFFFF"/>
            <w:tcMar>
              <w:top w:w="80" w:type="dxa"/>
              <w:bottom w:w="80" w:type="dxa"/>
              <w:left w:w="100" w:type="dxa"/>
              <w:right w:w="100" w:type="dxa"/>
            </w:tcMar>
          </w:tcPr>
          <w:p>
            <w:pPr>
              <w:jc w:val="center"/>
            </w:pPr>
            <w:r>
              <w:rPr>
                <w:rFonts w:ascii="Arial" w:hAnsi="Arial"/>
                <w:color w:val="2D3748"/>
                <w:sz w:val="17"/>
              </w:rPr>
              <w:t>0.8513</w:t>
            </w:r>
          </w:p>
        </w:tc>
        <w:tc>
          <w:tcPr>
            <w:tcW w:type="dxa" w:w="936"/>
            <w:shd w:fill="FFFFFF"/>
            <w:tcMar>
              <w:top w:w="80" w:type="dxa"/>
              <w:bottom w:w="80" w:type="dxa"/>
              <w:left w:w="100" w:type="dxa"/>
              <w:right w:w="100" w:type="dxa"/>
            </w:tcMar>
          </w:tcPr>
          <w:p>
            <w:pPr>
              <w:jc w:val="center"/>
            </w:pPr>
            <w:r>
              <w:rPr>
                <w:rFonts w:ascii="Arial" w:hAnsi="Arial"/>
                <w:color w:val="2D3748"/>
                <w:sz w:val="17"/>
              </w:rPr>
              <w:t>0.9689</w:t>
            </w:r>
          </w:p>
        </w:tc>
        <w:tc>
          <w:tcPr>
            <w:tcW w:type="dxa" w:w="936"/>
            <w:shd w:fill="FFFFFF"/>
            <w:tcMar>
              <w:top w:w="80" w:type="dxa"/>
              <w:bottom w:w="80" w:type="dxa"/>
              <w:left w:w="100" w:type="dxa"/>
              <w:right w:w="100" w:type="dxa"/>
            </w:tcMar>
          </w:tcPr>
          <w:p>
            <w:pPr>
              <w:jc w:val="center"/>
            </w:pPr>
            <w:r>
              <w:rPr>
                <w:rFonts w:ascii="Arial" w:hAnsi="Arial"/>
                <w:color w:val="2D3748"/>
                <w:sz w:val="17"/>
              </w:rPr>
              <w:t>0.9011</w:t>
            </w:r>
          </w:p>
        </w:tc>
        <w:tc>
          <w:tcPr>
            <w:tcW w:type="dxa" w:w="936"/>
            <w:shd w:fill="FFFFFF"/>
            <w:tcMar>
              <w:top w:w="80" w:type="dxa"/>
              <w:bottom w:w="80" w:type="dxa"/>
              <w:left w:w="100" w:type="dxa"/>
              <w:right w:w="100" w:type="dxa"/>
            </w:tcMar>
          </w:tcPr>
          <w:p>
            <w:pPr>
              <w:jc w:val="center"/>
            </w:pPr>
            <w:r>
              <w:rPr>
                <w:rFonts w:ascii="Arial" w:hAnsi="Arial"/>
                <w:color w:val="2D3748"/>
                <w:sz w:val="17"/>
              </w:rPr>
              <w:t>0.9778</w:t>
            </w:r>
          </w:p>
        </w:tc>
        <w:tc>
          <w:tcPr>
            <w:tcW w:type="dxa" w:w="936"/>
            <w:shd w:fill="FFFFFF"/>
            <w:tcMar>
              <w:top w:w="80" w:type="dxa"/>
              <w:bottom w:w="80" w:type="dxa"/>
              <w:left w:w="100" w:type="dxa"/>
              <w:right w:w="100" w:type="dxa"/>
            </w:tcMar>
          </w:tcPr>
          <w:p>
            <w:pPr>
              <w:jc w:val="center"/>
            </w:pPr>
            <w:r>
              <w:rPr>
                <w:rFonts w:ascii="Arial" w:hAnsi="Arial"/>
                <w:color w:val="2D3748"/>
                <w:sz w:val="17"/>
              </w:rPr>
              <w:t>0.9948</w:t>
            </w:r>
          </w:p>
        </w:tc>
        <w:tc>
          <w:tcPr>
            <w:tcW w:type="dxa" w:w="936"/>
            <w:shd w:fill="FFFFFF"/>
            <w:tcMar>
              <w:top w:w="80" w:type="dxa"/>
              <w:bottom w:w="80" w:type="dxa"/>
              <w:left w:w="100" w:type="dxa"/>
              <w:right w:w="100" w:type="dxa"/>
            </w:tcMar>
          </w:tcPr>
          <w:p>
            <w:pPr>
              <w:jc w:val="center"/>
            </w:pPr>
            <w:r>
              <w:rPr>
                <w:rFonts w:ascii="Arial" w:hAnsi="Arial"/>
                <w:color w:val="2D3748"/>
                <w:sz w:val="17"/>
              </w:rPr>
              <w:t>0.8022</w:t>
            </w:r>
          </w:p>
        </w:tc>
        <w:tc>
          <w:tcPr>
            <w:tcW w:type="dxa" w:w="936"/>
            <w:shd w:fill="FFFFFF"/>
            <w:tcMar>
              <w:top w:w="80" w:type="dxa"/>
              <w:bottom w:w="80" w:type="dxa"/>
              <w:left w:w="100" w:type="dxa"/>
              <w:right w:w="100" w:type="dxa"/>
            </w:tcMar>
          </w:tcPr>
          <w:p>
            <w:pPr>
              <w:jc w:val="center"/>
            </w:pPr>
            <w:r>
              <w:rPr>
                <w:rFonts w:ascii="Arial" w:hAnsi="Arial"/>
                <w:color w:val="2D3748"/>
                <w:sz w:val="17"/>
              </w:rPr>
              <w:t>0.8024</w:t>
            </w:r>
          </w:p>
        </w:tc>
      </w:tr>
      <w:tr>
        <w:tc>
          <w:tcPr>
            <w:tcW w:type="dxa" w:w="936"/>
            <w:shd w:fill="F7FAFC"/>
            <w:tcMar>
              <w:top w:w="80" w:type="dxa"/>
              <w:bottom w:w="80" w:type="dxa"/>
              <w:left w:w="100" w:type="dxa"/>
              <w:right w:w="100" w:type="dxa"/>
            </w:tcMar>
          </w:tcPr>
          <w:p>
            <w:pPr>
              <w:jc w:val="left"/>
            </w:pPr>
            <w:r>
              <w:rPr>
                <w:rFonts w:ascii="Arial" w:hAnsi="Arial"/>
                <w:color w:val="2D3748"/>
                <w:sz w:val="17"/>
              </w:rPr>
              <w:t>Tuned Logistic Regression</w:t>
            </w:r>
          </w:p>
        </w:tc>
        <w:tc>
          <w:tcPr>
            <w:tcW w:type="dxa" w:w="936"/>
            <w:shd w:fill="F7FAFC"/>
            <w:tcMar>
              <w:top w:w="80" w:type="dxa"/>
              <w:bottom w:w="80" w:type="dxa"/>
              <w:left w:w="100" w:type="dxa"/>
              <w:right w:w="100" w:type="dxa"/>
            </w:tcMar>
          </w:tcPr>
          <w:p>
            <w:pPr>
              <w:jc w:val="center"/>
            </w:pPr>
            <w:r>
              <w:rPr>
                <w:rFonts w:ascii="Arial" w:hAnsi="Arial"/>
                <w:color w:val="2D3748"/>
                <w:sz w:val="17"/>
              </w:rPr>
              <w:t>0.9355</w:t>
            </w:r>
          </w:p>
        </w:tc>
        <w:tc>
          <w:tcPr>
            <w:tcW w:type="dxa" w:w="936"/>
            <w:shd w:fill="F7FAFC"/>
            <w:tcMar>
              <w:top w:w="80" w:type="dxa"/>
              <w:bottom w:w="80" w:type="dxa"/>
              <w:left w:w="100" w:type="dxa"/>
              <w:right w:w="100" w:type="dxa"/>
            </w:tcMar>
          </w:tcPr>
          <w:p>
            <w:pPr>
              <w:jc w:val="center"/>
            </w:pPr>
            <w:r>
              <w:rPr>
                <w:rFonts w:ascii="Arial" w:hAnsi="Arial"/>
                <w:color w:val="2D3748"/>
                <w:sz w:val="17"/>
              </w:rPr>
              <w:t>0.9473</w:t>
            </w:r>
          </w:p>
        </w:tc>
        <w:tc>
          <w:tcPr>
            <w:tcW w:type="dxa" w:w="936"/>
            <w:shd w:fill="F7FAFC"/>
            <w:tcMar>
              <w:top w:w="80" w:type="dxa"/>
              <w:bottom w:w="80" w:type="dxa"/>
              <w:left w:w="100" w:type="dxa"/>
              <w:right w:w="100" w:type="dxa"/>
            </w:tcMar>
          </w:tcPr>
          <w:p>
            <w:pPr>
              <w:jc w:val="center"/>
            </w:pPr>
            <w:r>
              <w:rPr>
                <w:rFonts w:ascii="Arial" w:hAnsi="Arial"/>
                <w:color w:val="2D3748"/>
                <w:sz w:val="17"/>
              </w:rPr>
              <w:t>0.7533</w:t>
            </w:r>
          </w:p>
        </w:tc>
        <w:tc>
          <w:tcPr>
            <w:tcW w:type="dxa" w:w="936"/>
            <w:shd w:fill="F7FAFC"/>
            <w:tcMar>
              <w:top w:w="80" w:type="dxa"/>
              <w:bottom w:w="80" w:type="dxa"/>
              <w:left w:w="100" w:type="dxa"/>
              <w:right w:w="100" w:type="dxa"/>
            </w:tcMar>
          </w:tcPr>
          <w:p>
            <w:pPr>
              <w:jc w:val="center"/>
            </w:pPr>
            <w:r>
              <w:rPr>
                <w:rFonts w:ascii="Arial" w:hAnsi="Arial"/>
                <w:color w:val="2D3748"/>
                <w:sz w:val="17"/>
              </w:rPr>
              <w:t>0.933</w:t>
            </w:r>
          </w:p>
        </w:tc>
        <w:tc>
          <w:tcPr>
            <w:tcW w:type="dxa" w:w="936"/>
            <w:shd w:fill="F7FAFC"/>
            <w:tcMar>
              <w:top w:w="80" w:type="dxa"/>
              <w:bottom w:w="80" w:type="dxa"/>
              <w:left w:w="100" w:type="dxa"/>
              <w:right w:w="100" w:type="dxa"/>
            </w:tcMar>
          </w:tcPr>
          <w:p>
            <w:pPr>
              <w:jc w:val="center"/>
            </w:pPr>
            <w:r>
              <w:rPr>
                <w:rFonts w:ascii="Arial" w:hAnsi="Arial"/>
                <w:color w:val="2D3748"/>
                <w:sz w:val="17"/>
              </w:rPr>
              <w:t>0.8995</w:t>
            </w:r>
          </w:p>
        </w:tc>
        <w:tc>
          <w:tcPr>
            <w:tcW w:type="dxa" w:w="936"/>
            <w:shd w:fill="F7FAFC"/>
            <w:tcMar>
              <w:top w:w="80" w:type="dxa"/>
              <w:bottom w:w="80" w:type="dxa"/>
              <w:left w:w="100" w:type="dxa"/>
              <w:right w:w="100" w:type="dxa"/>
            </w:tcMar>
          </w:tcPr>
          <w:p>
            <w:pPr>
              <w:jc w:val="center"/>
            </w:pPr>
            <w:r>
              <w:rPr>
                <w:rFonts w:ascii="Arial" w:hAnsi="Arial"/>
                <w:color w:val="2D3748"/>
                <w:sz w:val="17"/>
              </w:rPr>
              <w:t>0.9779</w:t>
            </w:r>
          </w:p>
        </w:tc>
        <w:tc>
          <w:tcPr>
            <w:tcW w:type="dxa" w:w="936"/>
            <w:shd w:fill="F7FAFC"/>
            <w:tcMar>
              <w:top w:w="80" w:type="dxa"/>
              <w:bottom w:w="80" w:type="dxa"/>
              <w:left w:w="100" w:type="dxa"/>
              <w:right w:w="100" w:type="dxa"/>
            </w:tcMar>
          </w:tcPr>
          <w:p>
            <w:pPr>
              <w:jc w:val="center"/>
            </w:pPr>
            <w:r>
              <w:rPr>
                <w:rFonts w:ascii="Arial" w:hAnsi="Arial"/>
                <w:color w:val="2D3748"/>
                <w:sz w:val="17"/>
              </w:rPr>
              <w:t>0.9948</w:t>
            </w:r>
          </w:p>
        </w:tc>
        <w:tc>
          <w:tcPr>
            <w:tcW w:type="dxa" w:w="936"/>
            <w:shd w:fill="F7FAFC"/>
            <w:tcMar>
              <w:top w:w="80" w:type="dxa"/>
              <w:bottom w:w="80" w:type="dxa"/>
              <w:left w:w="100" w:type="dxa"/>
              <w:right w:w="100" w:type="dxa"/>
            </w:tcMar>
          </w:tcPr>
          <w:p>
            <w:pPr>
              <w:jc w:val="center"/>
            </w:pPr>
            <w:r>
              <w:rPr>
                <w:rFonts w:ascii="Arial" w:hAnsi="Arial"/>
                <w:color w:val="2D3748"/>
                <w:sz w:val="17"/>
              </w:rPr>
              <w:t>0.7996</w:t>
            </w:r>
          </w:p>
        </w:tc>
        <w:tc>
          <w:tcPr>
            <w:tcW w:type="dxa" w:w="936"/>
            <w:shd w:fill="F7FAFC"/>
            <w:tcMar>
              <w:top w:w="80" w:type="dxa"/>
              <w:bottom w:w="80" w:type="dxa"/>
              <w:left w:w="100" w:type="dxa"/>
              <w:right w:w="100" w:type="dxa"/>
            </w:tcMar>
          </w:tcPr>
          <w:p>
            <w:pPr>
              <w:jc w:val="center"/>
            </w:pPr>
            <w:r>
              <w:rPr>
                <w:rFonts w:ascii="Arial" w:hAnsi="Arial"/>
                <w:color w:val="2D3748"/>
                <w:sz w:val="17"/>
              </w:rPr>
              <w:t>0.8078</w:t>
            </w:r>
          </w:p>
        </w:tc>
      </w:tr>
    </w:tbl>
    <w:p>
      <w:pPr>
        <w:spacing w:before="320" w:after="120"/>
      </w:pPr>
      <w:r>
        <w:rPr>
          <w:rFonts w:ascii="Arial" w:hAnsi="Arial"/>
          <w:b/>
          <w:color w:val="1A365D"/>
          <w:sz w:val="30"/>
        </w:rPr>
        <w:t>4. Feature Importance Rankings: Non-Linear MDI vs. Linear Log-Odds</w:t>
      </w:r>
    </w:p>
    <w:p>
      <w:pPr>
        <w:spacing w:line="276" w:lineRule="auto" w:after="120"/>
      </w:pPr>
      <w:r>
        <w:rPr>
          <w:rFonts w:ascii="Arial" w:hAnsi="Arial"/>
          <w:color w:val="2D3748"/>
          <w:sz w:val="21"/>
        </w:rPr>
        <w:t>Feature importances were assessed across complementary theoretical perspectives. Random Forest MDI measures the reduction in node impurity, whereas Logistic Regression standardized coefficients reflect the directional multiplier on log-odds per standard deviation increase. Star Rating and its interaction with Sentiment Compound (Rating x Sentiment) dominate both models. Lexical negativity ('Negative_Word_Count' and 'Sentiment_Neg') exhibits massive negative log-odds coefficients (-0.44 to -0.24), confirming that customer expression of dissatisfaction heavily supersedes neutral product features.</w:t>
      </w:r>
    </w:p>
    <w:p>
      <w:pPr>
        <w:jc w:val="center"/>
      </w:pPr>
      <w:r>
        <w:drawing>
          <wp:inline xmlns:a="http://schemas.openxmlformats.org/drawingml/2006/main" xmlns:pic="http://schemas.openxmlformats.org/drawingml/2006/picture">
            <wp:extent cx="5943600" cy="2600325"/>
            <wp:docPr id="1" name="Picture 1"/>
            <wp:cNvGraphicFramePr>
              <a:graphicFrameLocks noChangeAspect="1"/>
            </wp:cNvGraphicFramePr>
            <a:graphic>
              <a:graphicData uri="http://schemas.openxmlformats.org/drawingml/2006/picture">
                <pic:pic>
                  <pic:nvPicPr>
                    <pic:cNvPr id="0" name="feature_importance_comparison.png"/>
                    <pic:cNvPicPr/>
                  </pic:nvPicPr>
                  <pic:blipFill>
                    <a:blip r:embed="rId9"/>
                    <a:stretch>
                      <a:fillRect/>
                    </a:stretch>
                  </pic:blipFill>
                  <pic:spPr>
                    <a:xfrm>
                      <a:off x="0" y="0"/>
                      <a:ext cx="5943600" cy="2600325"/>
                    </a:xfrm>
                    <a:prstGeom prst="rect"/>
                  </pic:spPr>
                </pic:pic>
              </a:graphicData>
            </a:graphic>
          </wp:inline>
        </w:drawing>
      </w:r>
    </w:p>
    <w:p>
      <w:pPr>
        <w:jc w:val="center"/>
      </w:pPr>
      <w:r>
        <w:rPr>
          <w:i/>
          <w:sz w:val="18"/>
        </w:rPr>
        <w:t>Figure 1: Feature Importance Rankings - Random Forest Gini Impurity (A) vs. Logistic Regression Standardized Coefficients (B).</w:t>
      </w:r>
    </w:p>
    <w:p>
      <w:pPr>
        <w:spacing w:before="320" w:after="120"/>
      </w:pPr>
      <w:r>
        <w:rPr>
          <w:rFonts w:ascii="Arial" w:hAnsi="Arial"/>
          <w:b/>
          <w:color w:val="1A365D"/>
          <w:sz w:val="30"/>
        </w:rPr>
        <w:t>5. Explainable AI: SHAP Global and Local Interpretability</w:t>
      </w:r>
    </w:p>
    <w:p>
      <w:pPr>
        <w:spacing w:line="276" w:lineRule="auto" w:after="120"/>
      </w:pPr>
      <w:r>
        <w:rPr>
          <w:rFonts w:ascii="Arial" w:hAnsi="Arial"/>
          <w:color w:val="2D3748"/>
          <w:sz w:val="21"/>
        </w:rPr>
        <w:t>To eliminate 'black-box' opacity in the Random Forest ensemble, TreeSHAP was executed over the test set. Figure 2 illustrates the global summary beeswarm plot, where each dot represents an individual customer review. High star ratings and high sentiment scores push predictions strongly toward recommendation (positive SHAP values). Conversely, elevated negative sentiment and fit issue keywords ('small', 'tight', 'scratchy') produce severe downward SHAP penalties.</w:t>
      </w:r>
    </w:p>
    <w:p>
      <w:pPr>
        <w:jc w:val="center"/>
      </w:pPr>
      <w:r>
        <w:drawing>
          <wp:inline xmlns:a="http://schemas.openxmlformats.org/drawingml/2006/main" xmlns:pic="http://schemas.openxmlformats.org/drawingml/2006/picture">
            <wp:extent cx="5486400" cy="6373068"/>
            <wp:docPr id="2" name="Picture 2"/>
            <wp:cNvGraphicFramePr>
              <a:graphicFrameLocks noChangeAspect="1"/>
            </wp:cNvGraphicFramePr>
            <a:graphic>
              <a:graphicData uri="http://schemas.openxmlformats.org/drawingml/2006/picture">
                <pic:pic>
                  <pic:nvPicPr>
                    <pic:cNvPr id="0" name="shap_summary_beeswarm.png"/>
                    <pic:cNvPicPr/>
                  </pic:nvPicPr>
                  <pic:blipFill>
                    <a:blip r:embed="rId10"/>
                    <a:stretch>
                      <a:fillRect/>
                    </a:stretch>
                  </pic:blipFill>
                  <pic:spPr>
                    <a:xfrm>
                      <a:off x="0" y="0"/>
                      <a:ext cx="5486400" cy="6373068"/>
                    </a:xfrm>
                    <a:prstGeom prst="rect"/>
                  </pic:spPr>
                </pic:pic>
              </a:graphicData>
            </a:graphic>
          </wp:inline>
        </w:drawing>
      </w:r>
    </w:p>
    <w:p>
      <w:pPr>
        <w:jc w:val="center"/>
      </w:pPr>
      <w:r>
        <w:rPr>
          <w:i/>
          <w:sz w:val="18"/>
        </w:rPr>
        <w:t>Figure 2: SHAP Beeswarm Summary Plot - Distribution of Feature Attribution Values across Customer Reviews.</w:t>
      </w:r>
    </w:p>
    <w:p>
      <w:pPr>
        <w:spacing w:line="276" w:lineRule="auto" w:after="120"/>
      </w:pPr>
      <w:r>
        <w:rPr>
          <w:rFonts w:ascii="Arial" w:hAnsi="Arial"/>
          <w:color w:val="2D3748"/>
          <w:sz w:val="21"/>
        </w:rPr>
        <w:t>Local decision explanations are contrasted in Figure 3. In Panel A (Highly Recommended Item, P=0.99), positive sentiment (+0.18) and a 5-star rating (+0.42) combine additively to establish recommendation confidence. In Panel B (Dissatisfied Customer, P=0.01), fit issues and negative sentiment override neutral features, providing automated triage signals for merchant customer support teams.</w:t>
      </w:r>
    </w:p>
    <w:p>
      <w:pPr>
        <w:jc w:val="center"/>
      </w:pPr>
      <w:r>
        <w:drawing>
          <wp:inline xmlns:a="http://schemas.openxmlformats.org/drawingml/2006/main" xmlns:pic="http://schemas.openxmlformats.org/drawingml/2006/picture">
            <wp:extent cx="5943600" cy="2311400"/>
            <wp:docPr id="3" name="Picture 3"/>
            <wp:cNvGraphicFramePr>
              <a:graphicFrameLocks noChangeAspect="1"/>
            </wp:cNvGraphicFramePr>
            <a:graphic>
              <a:graphicData uri="http://schemas.openxmlformats.org/drawingml/2006/picture">
                <pic:pic>
                  <pic:nvPicPr>
                    <pic:cNvPr id="0" name="shap_waterfall_examples.png"/>
                    <pic:cNvPicPr/>
                  </pic:nvPicPr>
                  <pic:blipFill>
                    <a:blip r:embed="rId11"/>
                    <a:stretch>
                      <a:fillRect/>
                    </a:stretch>
                  </pic:blipFill>
                  <pic:spPr>
                    <a:xfrm>
                      <a:off x="0" y="0"/>
                      <a:ext cx="5943600" cy="2311400"/>
                    </a:xfrm>
                    <a:prstGeom prst="rect"/>
                  </pic:spPr>
                </pic:pic>
              </a:graphicData>
            </a:graphic>
          </wp:inline>
        </w:drawing>
      </w:r>
    </w:p>
    <w:p>
      <w:pPr>
        <w:jc w:val="center"/>
      </w:pPr>
      <w:r>
        <w:rPr>
          <w:i/>
          <w:sz w:val="18"/>
        </w:rPr>
        <w:t>Figure 3: SHAP Local Decision Attributions for a Recommended Customer (A) and a Dissatisfied Non-Recommended Customer (B).</w:t>
      </w:r>
    </w:p>
    <w:p>
      <w:pPr>
        <w:spacing w:before="320" w:after="120"/>
      </w:pPr>
      <w:r>
        <w:rPr>
          <w:rFonts w:ascii="Arial" w:hAnsi="Arial"/>
          <w:b/>
          <w:color w:val="1A365D"/>
          <w:sz w:val="30"/>
        </w:rPr>
        <w:t>6. Strategic Business Recommendations for Fashion Merchandising</w:t>
      </w:r>
    </w:p>
    <w:p>
      <w:pPr>
        <w:spacing w:line="276" w:lineRule="auto" w:after="120"/>
      </w:pPr>
      <w:r>
        <w:rPr>
          <w:rFonts w:ascii="Arial" w:hAnsi="Arial"/>
          <w:color w:val="2D3748"/>
          <w:sz w:val="21"/>
        </w:rPr>
        <w:t>1. Production Model Architecture: Implement the Tuned Random Forest for automated catalog tagging and front-end recommendation widgets where precision (96.5%) and overall accuracy (94.1%) are paramount.</w:t>
        <w:br/>
        <w:t>2. High-Risk Return Early Warning System: Deploy the Tuned Logistic Regression model (with balanced class weighting) as a background monitoring pipeline. Its 88.6% recall on dissatisfied customers provides immediate alerts for quality defects and sizing inconsistencies.</w:t>
        <w:br/>
        <w:t>3. NLP-Driven Sizing Guides: Because fit-issue keywords ('small', 'tight', 'short') directly trigger negative recommendations, merchandise category pages must feature customer sizing feedback widgets.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