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95DA" w14:textId="20C34F0A" w:rsidR="005B5728" w:rsidRPr="005B5728" w:rsidRDefault="005B5728" w:rsidP="005B5728">
      <w:pPr>
        <w:jc w:val="center"/>
        <w:rPr>
          <w:b/>
          <w:bCs/>
          <w:sz w:val="28"/>
          <w:szCs w:val="28"/>
        </w:rPr>
      </w:pPr>
      <w:r w:rsidRPr="005B5728">
        <w:rPr>
          <w:b/>
          <w:bCs/>
          <w:sz w:val="28"/>
          <w:szCs w:val="28"/>
        </w:rPr>
        <w:t>MCA Annual Filings in India</w:t>
      </w:r>
    </w:p>
    <w:p w14:paraId="12F3A703" w14:textId="77777777" w:rsidR="005B5728" w:rsidRPr="005B5728" w:rsidRDefault="005B5728" w:rsidP="005B5728">
      <w:r w:rsidRPr="005B5728">
        <w:t xml:space="preserve">Every company registered in India—whether a </w:t>
      </w:r>
      <w:r w:rsidRPr="005B5728">
        <w:rPr>
          <w:b/>
          <w:bCs/>
        </w:rPr>
        <w:t>Private Limited Company</w:t>
      </w:r>
      <w:r w:rsidRPr="005B5728">
        <w:t xml:space="preserve">, </w:t>
      </w:r>
      <w:r w:rsidRPr="005B5728">
        <w:rPr>
          <w:b/>
          <w:bCs/>
        </w:rPr>
        <w:t>Public Limited Company</w:t>
      </w:r>
      <w:r w:rsidRPr="005B5728">
        <w:t xml:space="preserve">, or </w:t>
      </w:r>
      <w:r w:rsidRPr="005B5728">
        <w:rPr>
          <w:b/>
          <w:bCs/>
        </w:rPr>
        <w:t>Limited Liability Partnership (LLP)</w:t>
      </w:r>
      <w:r w:rsidRPr="005B5728">
        <w:t xml:space="preserve">—must comply with the Ministry of Corporate Affairs (MCA) annual filing requirements. These mandatory filings ensure transparency, legal compliance, and smooth business operations. Failure to file MCA annual returns on time can lead to heavy penalties and disqualification of directors. This blog provides a detailed overview of </w:t>
      </w:r>
      <w:r w:rsidRPr="005B5728">
        <w:rPr>
          <w:b/>
          <w:bCs/>
        </w:rPr>
        <w:t>MCA Annual Filings</w:t>
      </w:r>
      <w:r w:rsidRPr="005B5728">
        <w:t>, including their importance, forms, timelines, and compliance requirements for 2025.</w:t>
      </w:r>
    </w:p>
    <w:p w14:paraId="285AD743" w14:textId="77777777" w:rsidR="005B5728" w:rsidRPr="005B5728" w:rsidRDefault="005B5728" w:rsidP="005B5728">
      <w:r w:rsidRPr="005B5728">
        <w:pict w14:anchorId="7E2F08A8">
          <v:rect id="_x0000_i1074" style="width:0;height:1.5pt" o:hralign="center" o:hrstd="t" o:hr="t" fillcolor="#a0a0a0" stroked="f"/>
        </w:pict>
      </w:r>
    </w:p>
    <w:p w14:paraId="4000EF85" w14:textId="318D9CC0" w:rsidR="005B5728" w:rsidRPr="005B5728" w:rsidRDefault="005B5728" w:rsidP="005B5728">
      <w:pPr>
        <w:rPr>
          <w:b/>
          <w:bCs/>
        </w:rPr>
      </w:pPr>
      <w:r w:rsidRPr="005B5728">
        <w:rPr>
          <w:b/>
          <w:bCs/>
        </w:rPr>
        <w:t xml:space="preserve">What </w:t>
      </w:r>
      <w:proofErr w:type="gramStart"/>
      <w:r>
        <w:rPr>
          <w:b/>
          <w:bCs/>
        </w:rPr>
        <w:t>a</w:t>
      </w:r>
      <w:r w:rsidRPr="005B5728">
        <w:rPr>
          <w:b/>
          <w:bCs/>
        </w:rPr>
        <w:t>re</w:t>
      </w:r>
      <w:proofErr w:type="gramEnd"/>
      <w:r w:rsidRPr="005B5728">
        <w:rPr>
          <w:b/>
          <w:bCs/>
        </w:rPr>
        <w:t xml:space="preserve"> MCA Annual Filings?</w:t>
      </w:r>
    </w:p>
    <w:p w14:paraId="7EF19469" w14:textId="77777777" w:rsidR="005B5728" w:rsidRPr="005B5728" w:rsidRDefault="005B5728" w:rsidP="005B5728">
      <w:r w:rsidRPr="005B5728">
        <w:rPr>
          <w:b/>
          <w:bCs/>
        </w:rPr>
        <w:t>MCA Annual Filings</w:t>
      </w:r>
      <w:r w:rsidRPr="005B5728">
        <w:t xml:space="preserve"> are yearly compliance submissions that companies and LLPs must file with the Ministry of Corporate Affairs. These filings include financial statements, annual returns, and important company information. The objective is to keep updated records of the company’s financial health, shareholder details, and business activities.</w:t>
      </w:r>
    </w:p>
    <w:p w14:paraId="14D76AD8" w14:textId="77777777" w:rsidR="005B5728" w:rsidRPr="005B5728" w:rsidRDefault="005B5728" w:rsidP="005B5728">
      <w:r w:rsidRPr="005B5728">
        <w:t xml:space="preserve">Annual filings are mandatory even if the company has </w:t>
      </w:r>
      <w:r w:rsidRPr="005B5728">
        <w:rPr>
          <w:b/>
          <w:bCs/>
        </w:rPr>
        <w:t>no business activity</w:t>
      </w:r>
      <w:r w:rsidRPr="005B5728">
        <w:t xml:space="preserve"> during the financial year.</w:t>
      </w:r>
    </w:p>
    <w:p w14:paraId="272AAD1F" w14:textId="77777777" w:rsidR="005B5728" w:rsidRPr="005B5728" w:rsidRDefault="005B5728" w:rsidP="005B5728">
      <w:r w:rsidRPr="005B5728">
        <w:pict w14:anchorId="6D6C0E56">
          <v:rect id="_x0000_i1075" style="width:0;height:1.5pt" o:hralign="center" o:hrstd="t" o:hr="t" fillcolor="#a0a0a0" stroked="f"/>
        </w:pict>
      </w:r>
    </w:p>
    <w:p w14:paraId="2B405122" w14:textId="77777777" w:rsidR="005B5728" w:rsidRPr="005B5728" w:rsidRDefault="005B5728" w:rsidP="005B5728">
      <w:pPr>
        <w:rPr>
          <w:b/>
          <w:bCs/>
        </w:rPr>
      </w:pPr>
      <w:r w:rsidRPr="005B5728">
        <w:rPr>
          <w:b/>
          <w:bCs/>
        </w:rPr>
        <w:t>Why Are MCA Annual Filings Important?</w:t>
      </w:r>
    </w:p>
    <w:p w14:paraId="5D755B25" w14:textId="77777777" w:rsidR="005B5728" w:rsidRPr="005B5728" w:rsidRDefault="005B5728" w:rsidP="005B5728">
      <w:pPr>
        <w:rPr>
          <w:b/>
          <w:bCs/>
        </w:rPr>
      </w:pPr>
      <w:r w:rsidRPr="005B5728">
        <w:rPr>
          <w:b/>
          <w:bCs/>
        </w:rPr>
        <w:t>1. Legal Compliance</w:t>
      </w:r>
    </w:p>
    <w:p w14:paraId="7A367374" w14:textId="77777777" w:rsidR="005B5728" w:rsidRPr="005B5728" w:rsidRDefault="005B5728" w:rsidP="005B5728">
      <w:r w:rsidRPr="005B5728">
        <w:t>Annual filing is a statutory obligation under the Companies Act, 2013. Non-compliance can lead to legal consequences.</w:t>
      </w:r>
    </w:p>
    <w:p w14:paraId="15F82141" w14:textId="77777777" w:rsidR="005B5728" w:rsidRPr="005B5728" w:rsidRDefault="005B5728" w:rsidP="005B5728">
      <w:pPr>
        <w:rPr>
          <w:b/>
          <w:bCs/>
        </w:rPr>
      </w:pPr>
      <w:r w:rsidRPr="005B5728">
        <w:rPr>
          <w:b/>
          <w:bCs/>
        </w:rPr>
        <w:t>2. Avoid Heavy Penalties</w:t>
      </w:r>
    </w:p>
    <w:p w14:paraId="6B2074AE" w14:textId="77777777" w:rsidR="005B5728" w:rsidRPr="005B5728" w:rsidRDefault="005B5728" w:rsidP="005B5728">
      <w:r w:rsidRPr="005B5728">
        <w:t>Late filing attracts penalties of ₹100 per day per form, which can become extremely costly.</w:t>
      </w:r>
    </w:p>
    <w:p w14:paraId="57292EA5" w14:textId="77777777" w:rsidR="005B5728" w:rsidRPr="005B5728" w:rsidRDefault="005B5728" w:rsidP="005B5728">
      <w:pPr>
        <w:rPr>
          <w:b/>
          <w:bCs/>
        </w:rPr>
      </w:pPr>
      <w:r w:rsidRPr="005B5728">
        <w:rPr>
          <w:b/>
          <w:bCs/>
        </w:rPr>
        <w:t>3. Maintains Active Company Status</w:t>
      </w:r>
    </w:p>
    <w:p w14:paraId="61EF5E75" w14:textId="77777777" w:rsidR="005B5728" w:rsidRPr="005B5728" w:rsidRDefault="005B5728" w:rsidP="005B5728">
      <w:r w:rsidRPr="005B5728">
        <w:t>Timely filing ensures that the company remains active and compliant on MCA records.</w:t>
      </w:r>
    </w:p>
    <w:p w14:paraId="3707ABA3" w14:textId="77777777" w:rsidR="005B5728" w:rsidRPr="005B5728" w:rsidRDefault="005B5728" w:rsidP="005B5728">
      <w:pPr>
        <w:rPr>
          <w:b/>
          <w:bCs/>
        </w:rPr>
      </w:pPr>
      <w:r w:rsidRPr="005B5728">
        <w:rPr>
          <w:b/>
          <w:bCs/>
        </w:rPr>
        <w:t>4. Helps in Loan &amp; Fundraising</w:t>
      </w:r>
    </w:p>
    <w:p w14:paraId="3C504CBB" w14:textId="77777777" w:rsidR="005B5728" w:rsidRPr="005B5728" w:rsidRDefault="005B5728" w:rsidP="005B5728">
      <w:r w:rsidRPr="005B5728">
        <w:t>Investors and banks require updated compliance documents to evaluate business credibility.</w:t>
      </w:r>
    </w:p>
    <w:p w14:paraId="6F9C6478" w14:textId="77777777" w:rsidR="005B5728" w:rsidRPr="005B5728" w:rsidRDefault="005B5728" w:rsidP="005B5728">
      <w:pPr>
        <w:rPr>
          <w:b/>
          <w:bCs/>
        </w:rPr>
      </w:pPr>
      <w:r w:rsidRPr="005B5728">
        <w:rPr>
          <w:b/>
          <w:bCs/>
        </w:rPr>
        <w:t>5. Transparency &amp; Governance</w:t>
      </w:r>
    </w:p>
    <w:p w14:paraId="5DC734D2" w14:textId="77777777" w:rsidR="005B5728" w:rsidRPr="005B5728" w:rsidRDefault="005B5728" w:rsidP="005B5728">
      <w:r w:rsidRPr="005B5728">
        <w:t>Annual filings ensure proper documentation, accountability, and corporate governance.</w:t>
      </w:r>
    </w:p>
    <w:p w14:paraId="3E42456A" w14:textId="77777777" w:rsidR="005B5728" w:rsidRPr="005B5728" w:rsidRDefault="005B5728" w:rsidP="005B5728">
      <w:r w:rsidRPr="005B5728">
        <w:pict w14:anchorId="656EFC71">
          <v:rect id="_x0000_i1076" style="width:0;height:1.5pt" o:hralign="center" o:hrstd="t" o:hr="t" fillcolor="#a0a0a0" stroked="f"/>
        </w:pict>
      </w:r>
    </w:p>
    <w:p w14:paraId="0F6DC748" w14:textId="77777777" w:rsidR="005B5728" w:rsidRPr="005B5728" w:rsidRDefault="005B5728" w:rsidP="005B5728">
      <w:pPr>
        <w:rPr>
          <w:b/>
          <w:bCs/>
        </w:rPr>
      </w:pPr>
      <w:r w:rsidRPr="005B5728">
        <w:rPr>
          <w:b/>
          <w:bCs/>
        </w:rPr>
        <w:t>MCA Annual Filings for Companies (Pvt Ltd &amp; Public Ltd)</w:t>
      </w:r>
    </w:p>
    <w:p w14:paraId="0182CB7C" w14:textId="77777777" w:rsidR="005B5728" w:rsidRPr="005B5728" w:rsidRDefault="005B5728" w:rsidP="005B5728">
      <w:pPr>
        <w:rPr>
          <w:b/>
          <w:bCs/>
        </w:rPr>
      </w:pPr>
      <w:r w:rsidRPr="005B5728">
        <w:rPr>
          <w:b/>
          <w:bCs/>
        </w:rPr>
        <w:t>1. Form AOC-4</w:t>
      </w:r>
    </w:p>
    <w:p w14:paraId="11C4FB9D" w14:textId="77777777" w:rsidR="005B5728" w:rsidRPr="005B5728" w:rsidRDefault="005B5728" w:rsidP="005B5728">
      <w:r w:rsidRPr="005B5728">
        <w:t>This form is used to file:</w:t>
      </w:r>
    </w:p>
    <w:p w14:paraId="4CF565EA" w14:textId="77777777" w:rsidR="005B5728" w:rsidRPr="005B5728" w:rsidRDefault="005B5728" w:rsidP="005B5728">
      <w:pPr>
        <w:numPr>
          <w:ilvl w:val="0"/>
          <w:numId w:val="1"/>
        </w:numPr>
      </w:pPr>
      <w:r w:rsidRPr="005B5728">
        <w:t>Balance sheet</w:t>
      </w:r>
    </w:p>
    <w:p w14:paraId="7D53A9F8" w14:textId="77777777" w:rsidR="005B5728" w:rsidRPr="005B5728" w:rsidRDefault="005B5728" w:rsidP="005B5728">
      <w:pPr>
        <w:numPr>
          <w:ilvl w:val="0"/>
          <w:numId w:val="1"/>
        </w:numPr>
      </w:pPr>
      <w:r w:rsidRPr="005B5728">
        <w:t>Profit &amp; Loss statement</w:t>
      </w:r>
    </w:p>
    <w:p w14:paraId="0DAC7D18" w14:textId="77777777" w:rsidR="005B5728" w:rsidRPr="005B5728" w:rsidRDefault="005B5728" w:rsidP="005B5728">
      <w:pPr>
        <w:numPr>
          <w:ilvl w:val="0"/>
          <w:numId w:val="1"/>
        </w:numPr>
      </w:pPr>
      <w:r w:rsidRPr="005B5728">
        <w:t>Board Report</w:t>
      </w:r>
    </w:p>
    <w:p w14:paraId="2D47A7B5" w14:textId="77777777" w:rsidR="005B5728" w:rsidRPr="005B5728" w:rsidRDefault="005B5728" w:rsidP="005B5728">
      <w:pPr>
        <w:numPr>
          <w:ilvl w:val="0"/>
          <w:numId w:val="1"/>
        </w:numPr>
      </w:pPr>
      <w:r w:rsidRPr="005B5728">
        <w:lastRenderedPageBreak/>
        <w:t>Auditor Report</w:t>
      </w:r>
    </w:p>
    <w:p w14:paraId="30F9A81E" w14:textId="77777777" w:rsidR="005B5728" w:rsidRPr="005B5728" w:rsidRDefault="005B5728" w:rsidP="005B5728">
      <w:r w:rsidRPr="005B5728">
        <w:rPr>
          <w:b/>
          <w:bCs/>
        </w:rPr>
        <w:t>Due Date:</w:t>
      </w:r>
      <w:r w:rsidRPr="005B5728">
        <w:t xml:space="preserve"> Within 30 days of AGM</w:t>
      </w:r>
    </w:p>
    <w:p w14:paraId="74B346CF" w14:textId="77777777" w:rsidR="005B5728" w:rsidRPr="005B5728" w:rsidRDefault="005B5728" w:rsidP="005B5728">
      <w:pPr>
        <w:rPr>
          <w:b/>
          <w:bCs/>
        </w:rPr>
      </w:pPr>
      <w:r w:rsidRPr="005B5728">
        <w:rPr>
          <w:b/>
          <w:bCs/>
        </w:rPr>
        <w:t>2. Form MGT-7 / MGT-7A</w:t>
      </w:r>
    </w:p>
    <w:p w14:paraId="1CB07115" w14:textId="77777777" w:rsidR="005B5728" w:rsidRPr="005B5728" w:rsidRDefault="005B5728" w:rsidP="005B5728">
      <w:r w:rsidRPr="005B5728">
        <w:t>This form contains:</w:t>
      </w:r>
    </w:p>
    <w:p w14:paraId="37EEEC1A" w14:textId="77777777" w:rsidR="005B5728" w:rsidRPr="005B5728" w:rsidRDefault="005B5728" w:rsidP="005B5728">
      <w:pPr>
        <w:numPr>
          <w:ilvl w:val="0"/>
          <w:numId w:val="2"/>
        </w:numPr>
      </w:pPr>
      <w:r w:rsidRPr="005B5728">
        <w:t>Shareholder details</w:t>
      </w:r>
    </w:p>
    <w:p w14:paraId="63E46122" w14:textId="77777777" w:rsidR="005B5728" w:rsidRPr="005B5728" w:rsidRDefault="005B5728" w:rsidP="005B5728">
      <w:pPr>
        <w:numPr>
          <w:ilvl w:val="0"/>
          <w:numId w:val="2"/>
        </w:numPr>
      </w:pPr>
      <w:r w:rsidRPr="005B5728">
        <w:t>Directors’ report</w:t>
      </w:r>
    </w:p>
    <w:p w14:paraId="4B6F3E53" w14:textId="77777777" w:rsidR="005B5728" w:rsidRPr="005B5728" w:rsidRDefault="005B5728" w:rsidP="005B5728">
      <w:pPr>
        <w:numPr>
          <w:ilvl w:val="0"/>
          <w:numId w:val="2"/>
        </w:numPr>
      </w:pPr>
      <w:r w:rsidRPr="005B5728">
        <w:t>Meeting details</w:t>
      </w:r>
    </w:p>
    <w:p w14:paraId="05B6E25A" w14:textId="77777777" w:rsidR="005B5728" w:rsidRPr="005B5728" w:rsidRDefault="005B5728" w:rsidP="005B5728">
      <w:pPr>
        <w:numPr>
          <w:ilvl w:val="0"/>
          <w:numId w:val="2"/>
        </w:numPr>
      </w:pPr>
      <w:r w:rsidRPr="005B5728">
        <w:t>Shareholding structure</w:t>
      </w:r>
    </w:p>
    <w:p w14:paraId="54165542" w14:textId="77777777" w:rsidR="005B5728" w:rsidRPr="005B5728" w:rsidRDefault="005B5728" w:rsidP="005B5728">
      <w:r w:rsidRPr="005B5728">
        <w:rPr>
          <w:b/>
          <w:bCs/>
        </w:rPr>
        <w:t>Due Date:</w:t>
      </w:r>
      <w:r w:rsidRPr="005B5728">
        <w:t xml:space="preserve"> Within 60 days of AGM</w:t>
      </w:r>
    </w:p>
    <w:p w14:paraId="77D1B883" w14:textId="77777777" w:rsidR="005B5728" w:rsidRPr="005B5728" w:rsidRDefault="005B5728" w:rsidP="005B5728">
      <w:pPr>
        <w:rPr>
          <w:b/>
          <w:bCs/>
        </w:rPr>
      </w:pPr>
      <w:r w:rsidRPr="005B5728">
        <w:rPr>
          <w:b/>
          <w:bCs/>
        </w:rPr>
        <w:t>3. Form ADT-1</w:t>
      </w:r>
    </w:p>
    <w:p w14:paraId="43A07D3D" w14:textId="77777777" w:rsidR="005B5728" w:rsidRPr="005B5728" w:rsidRDefault="005B5728" w:rsidP="005B5728">
      <w:r w:rsidRPr="005B5728">
        <w:t>Filed to appoint or reappoint the statutory auditor.</w:t>
      </w:r>
    </w:p>
    <w:p w14:paraId="7EF16C8A" w14:textId="77777777" w:rsidR="005B5728" w:rsidRPr="005B5728" w:rsidRDefault="005B5728" w:rsidP="005B5728">
      <w:r w:rsidRPr="005B5728">
        <w:rPr>
          <w:b/>
          <w:bCs/>
        </w:rPr>
        <w:t>Due Date:</w:t>
      </w:r>
      <w:r w:rsidRPr="005B5728">
        <w:t xml:space="preserve"> Within 15 days of AGM</w:t>
      </w:r>
    </w:p>
    <w:p w14:paraId="0EDDF31B" w14:textId="77777777" w:rsidR="005B5728" w:rsidRPr="005B5728" w:rsidRDefault="005B5728" w:rsidP="005B5728">
      <w:pPr>
        <w:rPr>
          <w:b/>
          <w:bCs/>
        </w:rPr>
      </w:pPr>
      <w:r w:rsidRPr="005B5728">
        <w:rPr>
          <w:b/>
          <w:bCs/>
        </w:rPr>
        <w:t>4. DIR-3 KYC</w:t>
      </w:r>
    </w:p>
    <w:p w14:paraId="73C407C8" w14:textId="77777777" w:rsidR="005B5728" w:rsidRPr="005B5728" w:rsidRDefault="005B5728" w:rsidP="005B5728">
      <w:r w:rsidRPr="005B5728">
        <w:t>Mandatory KYC compliance for directors.</w:t>
      </w:r>
    </w:p>
    <w:p w14:paraId="426B6D9B" w14:textId="77777777" w:rsidR="005B5728" w:rsidRPr="005B5728" w:rsidRDefault="005B5728" w:rsidP="005B5728">
      <w:r w:rsidRPr="005B5728">
        <w:rPr>
          <w:b/>
          <w:bCs/>
        </w:rPr>
        <w:t>Due Date:</w:t>
      </w:r>
      <w:r w:rsidRPr="005B5728">
        <w:t xml:space="preserve"> 30th September every year</w:t>
      </w:r>
    </w:p>
    <w:p w14:paraId="2E58A728" w14:textId="77777777" w:rsidR="005B5728" w:rsidRPr="005B5728" w:rsidRDefault="005B5728" w:rsidP="005B5728">
      <w:r w:rsidRPr="005B5728">
        <w:pict w14:anchorId="6DD756FC">
          <v:rect id="_x0000_i1077" style="width:0;height:1.5pt" o:hralign="center" o:hrstd="t" o:hr="t" fillcolor="#a0a0a0" stroked="f"/>
        </w:pict>
      </w:r>
    </w:p>
    <w:p w14:paraId="1A1166D3" w14:textId="77777777" w:rsidR="005B5728" w:rsidRPr="005B5728" w:rsidRDefault="005B5728" w:rsidP="005B5728">
      <w:pPr>
        <w:rPr>
          <w:b/>
          <w:bCs/>
        </w:rPr>
      </w:pPr>
      <w:r w:rsidRPr="005B5728">
        <w:rPr>
          <w:b/>
          <w:bCs/>
        </w:rPr>
        <w:t>MCA Annual Filings for LLPs (2025)</w:t>
      </w:r>
    </w:p>
    <w:p w14:paraId="28A27675" w14:textId="77777777" w:rsidR="005B5728" w:rsidRPr="005B5728" w:rsidRDefault="005B5728" w:rsidP="005B5728">
      <w:pPr>
        <w:rPr>
          <w:b/>
          <w:bCs/>
        </w:rPr>
      </w:pPr>
      <w:r w:rsidRPr="005B5728">
        <w:rPr>
          <w:b/>
          <w:bCs/>
        </w:rPr>
        <w:t>1. LLP Form 8</w:t>
      </w:r>
    </w:p>
    <w:p w14:paraId="7BA73D1E" w14:textId="77777777" w:rsidR="005B5728" w:rsidRPr="005B5728" w:rsidRDefault="005B5728" w:rsidP="005B5728">
      <w:r w:rsidRPr="005B5728">
        <w:t>Statement of Account &amp; Solvency.</w:t>
      </w:r>
    </w:p>
    <w:p w14:paraId="59E0A733" w14:textId="77777777" w:rsidR="005B5728" w:rsidRPr="005B5728" w:rsidRDefault="005B5728" w:rsidP="005B5728">
      <w:r w:rsidRPr="005B5728">
        <w:rPr>
          <w:b/>
          <w:bCs/>
        </w:rPr>
        <w:t>Due Date:</w:t>
      </w:r>
      <w:r w:rsidRPr="005B5728">
        <w:t xml:space="preserve"> 30th October every year</w:t>
      </w:r>
    </w:p>
    <w:p w14:paraId="1A7B40BF" w14:textId="77777777" w:rsidR="005B5728" w:rsidRPr="005B5728" w:rsidRDefault="005B5728" w:rsidP="005B5728">
      <w:pPr>
        <w:rPr>
          <w:b/>
          <w:bCs/>
        </w:rPr>
      </w:pPr>
      <w:r w:rsidRPr="005B5728">
        <w:rPr>
          <w:b/>
          <w:bCs/>
        </w:rPr>
        <w:t>2. LLP Form 11</w:t>
      </w:r>
    </w:p>
    <w:p w14:paraId="056FA479" w14:textId="77777777" w:rsidR="005B5728" w:rsidRPr="005B5728" w:rsidRDefault="005B5728" w:rsidP="005B5728">
      <w:r w:rsidRPr="005B5728">
        <w:t>Annual Return of the LLP.</w:t>
      </w:r>
    </w:p>
    <w:p w14:paraId="27057B91" w14:textId="77777777" w:rsidR="005B5728" w:rsidRPr="005B5728" w:rsidRDefault="005B5728" w:rsidP="005B5728">
      <w:r w:rsidRPr="005B5728">
        <w:rPr>
          <w:b/>
          <w:bCs/>
        </w:rPr>
        <w:t>Due Date:</w:t>
      </w:r>
      <w:r w:rsidRPr="005B5728">
        <w:t xml:space="preserve"> 30th May every year</w:t>
      </w:r>
    </w:p>
    <w:p w14:paraId="186239B4" w14:textId="77777777" w:rsidR="005B5728" w:rsidRPr="005B5728" w:rsidRDefault="005B5728" w:rsidP="005B5728">
      <w:r w:rsidRPr="005B5728">
        <w:pict w14:anchorId="7930FCE0">
          <v:rect id="_x0000_i1078" style="width:0;height:1.5pt" o:hralign="center" o:hrstd="t" o:hr="t" fillcolor="#a0a0a0" stroked="f"/>
        </w:pict>
      </w:r>
    </w:p>
    <w:p w14:paraId="0B4C6192" w14:textId="77777777" w:rsidR="005B5728" w:rsidRPr="005B5728" w:rsidRDefault="005B5728" w:rsidP="005B5728">
      <w:pPr>
        <w:rPr>
          <w:b/>
          <w:bCs/>
        </w:rPr>
      </w:pPr>
      <w:r w:rsidRPr="005B5728">
        <w:rPr>
          <w:b/>
          <w:bCs/>
        </w:rPr>
        <w:t>Documents Required for MCA Annual Filings</w:t>
      </w:r>
    </w:p>
    <w:p w14:paraId="0C47D3D7" w14:textId="77777777" w:rsidR="005B5728" w:rsidRPr="005B5728" w:rsidRDefault="005B5728" w:rsidP="005B5728">
      <w:pPr>
        <w:numPr>
          <w:ilvl w:val="0"/>
          <w:numId w:val="3"/>
        </w:numPr>
      </w:pPr>
      <w:r w:rsidRPr="005B5728">
        <w:t>Audited financial statements</w:t>
      </w:r>
    </w:p>
    <w:p w14:paraId="3A96A29E" w14:textId="77777777" w:rsidR="005B5728" w:rsidRPr="005B5728" w:rsidRDefault="005B5728" w:rsidP="005B5728">
      <w:pPr>
        <w:numPr>
          <w:ilvl w:val="0"/>
          <w:numId w:val="3"/>
        </w:numPr>
      </w:pPr>
      <w:r w:rsidRPr="005B5728">
        <w:t>Board meeting &amp; AGM minutes</w:t>
      </w:r>
    </w:p>
    <w:p w14:paraId="3FE95420" w14:textId="77777777" w:rsidR="005B5728" w:rsidRPr="005B5728" w:rsidRDefault="005B5728" w:rsidP="005B5728">
      <w:pPr>
        <w:numPr>
          <w:ilvl w:val="0"/>
          <w:numId w:val="3"/>
        </w:numPr>
      </w:pPr>
      <w:r w:rsidRPr="005B5728">
        <w:t>Directors’ KYC</w:t>
      </w:r>
    </w:p>
    <w:p w14:paraId="754D2976" w14:textId="77777777" w:rsidR="005B5728" w:rsidRPr="005B5728" w:rsidRDefault="005B5728" w:rsidP="005B5728">
      <w:pPr>
        <w:numPr>
          <w:ilvl w:val="0"/>
          <w:numId w:val="3"/>
        </w:numPr>
      </w:pPr>
      <w:r w:rsidRPr="005B5728">
        <w:t>Auditor appointment letter</w:t>
      </w:r>
    </w:p>
    <w:p w14:paraId="2C3C8BE7" w14:textId="77777777" w:rsidR="005B5728" w:rsidRPr="005B5728" w:rsidRDefault="005B5728" w:rsidP="005B5728">
      <w:pPr>
        <w:numPr>
          <w:ilvl w:val="0"/>
          <w:numId w:val="3"/>
        </w:numPr>
      </w:pPr>
      <w:r w:rsidRPr="005B5728">
        <w:t>Shareholding details</w:t>
      </w:r>
    </w:p>
    <w:p w14:paraId="29CFF675" w14:textId="77777777" w:rsidR="005B5728" w:rsidRPr="005B5728" w:rsidRDefault="005B5728" w:rsidP="005B5728">
      <w:pPr>
        <w:numPr>
          <w:ilvl w:val="0"/>
          <w:numId w:val="3"/>
        </w:numPr>
      </w:pPr>
      <w:r w:rsidRPr="005B5728">
        <w:t>Partner details (for LLP)</w:t>
      </w:r>
    </w:p>
    <w:p w14:paraId="2A2EC2AB" w14:textId="77777777" w:rsidR="005B5728" w:rsidRPr="005B5728" w:rsidRDefault="005B5728" w:rsidP="005B5728">
      <w:pPr>
        <w:numPr>
          <w:ilvl w:val="0"/>
          <w:numId w:val="3"/>
        </w:numPr>
      </w:pPr>
      <w:r w:rsidRPr="005B5728">
        <w:lastRenderedPageBreak/>
        <w:t>PAN, TAN, and CIN/LLPIN</w:t>
      </w:r>
    </w:p>
    <w:p w14:paraId="5EEEDDA1" w14:textId="77777777" w:rsidR="005B5728" w:rsidRPr="005B5728" w:rsidRDefault="005B5728" w:rsidP="005B5728">
      <w:r w:rsidRPr="005B5728">
        <w:pict w14:anchorId="67621CFA">
          <v:rect id="_x0000_i1079" style="width:0;height:1.5pt" o:hralign="center" o:hrstd="t" o:hr="t" fillcolor="#a0a0a0" stroked="f"/>
        </w:pict>
      </w:r>
    </w:p>
    <w:p w14:paraId="0CB95C95" w14:textId="77777777" w:rsidR="005B5728" w:rsidRPr="005B5728" w:rsidRDefault="005B5728" w:rsidP="005B5728">
      <w:pPr>
        <w:rPr>
          <w:b/>
          <w:bCs/>
        </w:rPr>
      </w:pPr>
      <w:r w:rsidRPr="005B5728">
        <w:rPr>
          <w:b/>
          <w:bCs/>
        </w:rPr>
        <w:t>Penalties for Non-Compliance</w:t>
      </w:r>
    </w:p>
    <w:p w14:paraId="3E21739B" w14:textId="77777777" w:rsidR="005B5728" w:rsidRPr="005B5728" w:rsidRDefault="005B5728" w:rsidP="005B5728">
      <w:pPr>
        <w:numPr>
          <w:ilvl w:val="0"/>
          <w:numId w:val="4"/>
        </w:numPr>
      </w:pPr>
      <w:r w:rsidRPr="005B5728">
        <w:t>₹100 per day for late filing</w:t>
      </w:r>
    </w:p>
    <w:p w14:paraId="245CD2FC" w14:textId="77777777" w:rsidR="005B5728" w:rsidRPr="005B5728" w:rsidRDefault="005B5728" w:rsidP="005B5728">
      <w:pPr>
        <w:numPr>
          <w:ilvl w:val="0"/>
          <w:numId w:val="4"/>
        </w:numPr>
      </w:pPr>
      <w:r w:rsidRPr="005B5728">
        <w:t>Risk of Director Disqualification</w:t>
      </w:r>
    </w:p>
    <w:p w14:paraId="1816C093" w14:textId="77777777" w:rsidR="005B5728" w:rsidRPr="005B5728" w:rsidRDefault="005B5728" w:rsidP="005B5728">
      <w:pPr>
        <w:numPr>
          <w:ilvl w:val="0"/>
          <w:numId w:val="4"/>
        </w:numPr>
      </w:pPr>
      <w:r w:rsidRPr="005B5728">
        <w:t>Company may be marked as “Inactive” or “Struck Off”</w:t>
      </w:r>
    </w:p>
    <w:p w14:paraId="3BE695A1" w14:textId="77777777" w:rsidR="005B5728" w:rsidRPr="005B5728" w:rsidRDefault="005B5728" w:rsidP="005B5728">
      <w:pPr>
        <w:numPr>
          <w:ilvl w:val="0"/>
          <w:numId w:val="4"/>
        </w:numPr>
      </w:pPr>
      <w:r w:rsidRPr="005B5728">
        <w:t>Additional penalties for repeated defaults</w:t>
      </w:r>
    </w:p>
    <w:p w14:paraId="18070D3E" w14:textId="77777777" w:rsidR="005B5728" w:rsidRPr="005B5728" w:rsidRDefault="005B5728" w:rsidP="005B5728">
      <w:r w:rsidRPr="005B5728">
        <w:pict w14:anchorId="39FE898C">
          <v:rect id="_x0000_i1080" style="width:0;height:1.5pt" o:hralign="center" o:hrstd="t" o:hr="t" fillcolor="#a0a0a0" stroked="f"/>
        </w:pict>
      </w:r>
    </w:p>
    <w:p w14:paraId="6193CF80" w14:textId="77777777" w:rsidR="005B5728" w:rsidRPr="005B5728" w:rsidRDefault="005B5728" w:rsidP="005B5728">
      <w:pPr>
        <w:rPr>
          <w:b/>
          <w:bCs/>
        </w:rPr>
      </w:pPr>
      <w:r w:rsidRPr="005B5728">
        <w:rPr>
          <w:b/>
          <w:bCs/>
        </w:rPr>
        <w:t>Conclusion</w:t>
      </w:r>
    </w:p>
    <w:p w14:paraId="7E8C4261" w14:textId="77777777" w:rsidR="005B5728" w:rsidRPr="005B5728" w:rsidRDefault="005B5728" w:rsidP="005B5728">
      <w:r w:rsidRPr="005B5728">
        <w:t>MCA Annual Filings are essential for every registered company and LLP in India. Timely compliance not only avoids penalties but also enhances trust, governance, and business credibility. Whether your company is active or dormant, filing annual returns is mandatory. In 2025, the process is fully online, making it easier for businesses to stay compliant.</w:t>
      </w:r>
    </w:p>
    <w:p w14:paraId="1C8F824C" w14:textId="77777777" w:rsidR="0080280F" w:rsidRDefault="0080280F"/>
    <w:sectPr w:rsidR="0080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4201"/>
    <w:multiLevelType w:val="multilevel"/>
    <w:tmpl w:val="DAC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27494"/>
    <w:multiLevelType w:val="multilevel"/>
    <w:tmpl w:val="3FB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37F7A"/>
    <w:multiLevelType w:val="multilevel"/>
    <w:tmpl w:val="6DE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60CD0"/>
    <w:multiLevelType w:val="multilevel"/>
    <w:tmpl w:val="5168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153983">
    <w:abstractNumId w:val="0"/>
  </w:num>
  <w:num w:numId="2" w16cid:durableId="932594131">
    <w:abstractNumId w:val="3"/>
  </w:num>
  <w:num w:numId="3" w16cid:durableId="1192694386">
    <w:abstractNumId w:val="1"/>
  </w:num>
  <w:num w:numId="4" w16cid:durableId="1106271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28"/>
    <w:rsid w:val="00403DEE"/>
    <w:rsid w:val="00465051"/>
    <w:rsid w:val="005B5728"/>
    <w:rsid w:val="0080280F"/>
    <w:rsid w:val="00F5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79C0"/>
  <w15:chartTrackingRefBased/>
  <w15:docId w15:val="{4E7C1E94-56E9-4625-9302-07A13BF4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728"/>
    <w:rPr>
      <w:rFonts w:eastAsiaTheme="majorEastAsia" w:cstheme="majorBidi"/>
      <w:color w:val="272727" w:themeColor="text1" w:themeTint="D8"/>
    </w:rPr>
  </w:style>
  <w:style w:type="paragraph" w:styleId="Title">
    <w:name w:val="Title"/>
    <w:basedOn w:val="Normal"/>
    <w:next w:val="Normal"/>
    <w:link w:val="TitleChar"/>
    <w:uiPriority w:val="10"/>
    <w:qFormat/>
    <w:rsid w:val="005B5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728"/>
    <w:pPr>
      <w:spacing w:before="160"/>
      <w:jc w:val="center"/>
    </w:pPr>
    <w:rPr>
      <w:i/>
      <w:iCs/>
      <w:color w:val="404040" w:themeColor="text1" w:themeTint="BF"/>
    </w:rPr>
  </w:style>
  <w:style w:type="character" w:customStyle="1" w:styleId="QuoteChar">
    <w:name w:val="Quote Char"/>
    <w:basedOn w:val="DefaultParagraphFont"/>
    <w:link w:val="Quote"/>
    <w:uiPriority w:val="29"/>
    <w:rsid w:val="005B5728"/>
    <w:rPr>
      <w:i/>
      <w:iCs/>
      <w:color w:val="404040" w:themeColor="text1" w:themeTint="BF"/>
    </w:rPr>
  </w:style>
  <w:style w:type="paragraph" w:styleId="ListParagraph">
    <w:name w:val="List Paragraph"/>
    <w:basedOn w:val="Normal"/>
    <w:uiPriority w:val="34"/>
    <w:qFormat/>
    <w:rsid w:val="005B5728"/>
    <w:pPr>
      <w:ind w:left="720"/>
      <w:contextualSpacing/>
    </w:pPr>
  </w:style>
  <w:style w:type="character" w:styleId="IntenseEmphasis">
    <w:name w:val="Intense Emphasis"/>
    <w:basedOn w:val="DefaultParagraphFont"/>
    <w:uiPriority w:val="21"/>
    <w:qFormat/>
    <w:rsid w:val="005B5728"/>
    <w:rPr>
      <w:i/>
      <w:iCs/>
      <w:color w:val="2F5496" w:themeColor="accent1" w:themeShade="BF"/>
    </w:rPr>
  </w:style>
  <w:style w:type="paragraph" w:styleId="IntenseQuote">
    <w:name w:val="Intense Quote"/>
    <w:basedOn w:val="Normal"/>
    <w:next w:val="Normal"/>
    <w:link w:val="IntenseQuoteChar"/>
    <w:uiPriority w:val="30"/>
    <w:qFormat/>
    <w:rsid w:val="005B5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728"/>
    <w:rPr>
      <w:i/>
      <w:iCs/>
      <w:color w:val="2F5496" w:themeColor="accent1" w:themeShade="BF"/>
    </w:rPr>
  </w:style>
  <w:style w:type="character" w:styleId="IntenseReference">
    <w:name w:val="Intense Reference"/>
    <w:basedOn w:val="DefaultParagraphFont"/>
    <w:uiPriority w:val="32"/>
    <w:qFormat/>
    <w:rsid w:val="005B5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1</cp:revision>
  <dcterms:created xsi:type="dcterms:W3CDTF">2025-11-29T19:59:00Z</dcterms:created>
  <dcterms:modified xsi:type="dcterms:W3CDTF">2025-11-29T20:00:00Z</dcterms:modified>
</cp:coreProperties>
</file>