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3B1F2" w14:textId="77777777" w:rsidR="0060280E" w:rsidRPr="00843C0F" w:rsidRDefault="00000000">
      <w:pPr>
        <w:shd w:val="clear" w:color="auto" w:fill="92CDDC" w:themeFill="accent5" w:themeFillTint="99"/>
        <w:jc w:val="center"/>
        <w:rPr>
          <w:b/>
          <w:bCs/>
          <w:sz w:val="18"/>
          <w:szCs w:val="18"/>
        </w:rPr>
      </w:pPr>
      <w:r w:rsidRPr="00843C0F">
        <w:rPr>
          <w:b/>
          <w:bCs/>
          <w:sz w:val="18"/>
          <w:szCs w:val="18"/>
        </w:rPr>
        <w:t>Report of Voice Development and Emerging Services</w:t>
      </w:r>
    </w:p>
    <w:tbl>
      <w:tblPr>
        <w:tblStyle w:val="TableGrid"/>
        <w:tblW w:w="0" w:type="auto"/>
        <w:jc w:val="center"/>
        <w:tblLook w:val="04A0" w:firstRow="1" w:lastRow="0" w:firstColumn="1" w:lastColumn="0" w:noHBand="0" w:noVBand="1"/>
      </w:tblPr>
      <w:tblGrid>
        <w:gridCol w:w="2808"/>
        <w:gridCol w:w="6768"/>
      </w:tblGrid>
      <w:tr w:rsidR="0060280E" w:rsidRPr="00843C0F" w14:paraId="4D6F1545" w14:textId="77777777">
        <w:trPr>
          <w:jc w:val="center"/>
        </w:trPr>
        <w:tc>
          <w:tcPr>
            <w:tcW w:w="2808" w:type="dxa"/>
          </w:tcPr>
          <w:p w14:paraId="49DE7DDC" w14:textId="77777777" w:rsidR="0060280E" w:rsidRPr="00843C0F" w:rsidRDefault="00000000">
            <w:pPr>
              <w:spacing w:after="0" w:line="240" w:lineRule="auto"/>
              <w:rPr>
                <w:b/>
                <w:bCs/>
                <w:sz w:val="18"/>
                <w:szCs w:val="18"/>
              </w:rPr>
            </w:pPr>
            <w:r w:rsidRPr="00843C0F">
              <w:rPr>
                <w:b/>
                <w:bCs/>
                <w:sz w:val="18"/>
                <w:szCs w:val="18"/>
              </w:rPr>
              <w:t>Region</w:t>
            </w:r>
          </w:p>
        </w:tc>
        <w:tc>
          <w:tcPr>
            <w:tcW w:w="6768" w:type="dxa"/>
          </w:tcPr>
          <w:p w14:paraId="778F3EF4" w14:textId="77777777" w:rsidR="0060280E" w:rsidRPr="00843C0F" w:rsidRDefault="00000000">
            <w:pPr>
              <w:spacing w:after="0" w:line="240" w:lineRule="auto"/>
              <w:jc w:val="center"/>
              <w:rPr>
                <w:b/>
                <w:bCs/>
                <w:sz w:val="18"/>
                <w:szCs w:val="18"/>
              </w:rPr>
            </w:pPr>
            <w:r w:rsidRPr="00843C0F">
              <w:rPr>
                <w:b/>
                <w:bCs/>
                <w:sz w:val="18"/>
                <w:szCs w:val="18"/>
              </w:rPr>
              <w:t>SOUTH ASIA</w:t>
            </w:r>
          </w:p>
        </w:tc>
      </w:tr>
      <w:tr w:rsidR="0060280E" w:rsidRPr="00843C0F" w14:paraId="2E83AD58" w14:textId="77777777" w:rsidTr="00AF4CAB">
        <w:trPr>
          <w:trHeight w:val="156"/>
          <w:jc w:val="center"/>
        </w:trPr>
        <w:tc>
          <w:tcPr>
            <w:tcW w:w="2808" w:type="dxa"/>
          </w:tcPr>
          <w:p w14:paraId="398FD102" w14:textId="77777777" w:rsidR="0060280E" w:rsidRPr="00843C0F" w:rsidRDefault="00000000">
            <w:pPr>
              <w:spacing w:after="0" w:line="240" w:lineRule="auto"/>
              <w:rPr>
                <w:b/>
                <w:bCs/>
                <w:sz w:val="18"/>
                <w:szCs w:val="18"/>
              </w:rPr>
            </w:pPr>
            <w:r w:rsidRPr="00843C0F">
              <w:rPr>
                <w:b/>
                <w:bCs/>
                <w:sz w:val="18"/>
                <w:szCs w:val="18"/>
              </w:rPr>
              <w:t>Country</w:t>
            </w:r>
          </w:p>
        </w:tc>
        <w:tc>
          <w:tcPr>
            <w:tcW w:w="6768" w:type="dxa"/>
          </w:tcPr>
          <w:p>
            <w:pPr>
              <w:rPr>
                <w:b/>
                <w:bCs/>
                <w:sz w:val="18"/>
                <w:szCs w:val="18"/>
              </w:rPr>
            </w:pPr>
            <w:r>
              <w:rPr>
                <w:b/>
                <w:bCs/>
                <w:sz w:val="18"/>
                <w:szCs w:val="18"/>
              </w:rPr>
              <w:t xml:space="preserve">INDIA</w:t>
            </w:r>
          </w:p>
        </w:tc>
      </w:tr>
      <w:tr w:rsidR="0060280E" w:rsidRPr="00843C0F" w14:paraId="748C85E8" w14:textId="77777777">
        <w:trPr>
          <w:jc w:val="center"/>
        </w:trPr>
        <w:tc>
          <w:tcPr>
            <w:tcW w:w="2808" w:type="dxa"/>
          </w:tcPr>
          <w:p w14:paraId="0C9DD2B4" w14:textId="77777777" w:rsidR="0060280E" w:rsidRPr="00843C0F" w:rsidRDefault="00000000">
            <w:pPr>
              <w:spacing w:after="0" w:line="240" w:lineRule="auto"/>
              <w:rPr>
                <w:b/>
                <w:bCs/>
                <w:sz w:val="18"/>
                <w:szCs w:val="18"/>
              </w:rPr>
            </w:pPr>
            <w:r w:rsidRPr="00843C0F">
              <w:rPr>
                <w:b/>
                <w:bCs/>
                <w:sz w:val="18"/>
                <w:szCs w:val="18"/>
              </w:rPr>
              <w:t xml:space="preserve">Month &amp; Year of Report </w:t>
            </w:r>
          </w:p>
        </w:tc>
        <w:tc>
          <w:tcPr>
            <w:tcW w:w="6768" w:type="dxa"/>
          </w:tcPr>
          <w:p>
            <w:pPr>
              <w:rPr>
                <w:b/>
                <w:bCs/>
                <w:sz w:val="18"/>
                <w:szCs w:val="18"/>
              </w:rPr>
            </w:pPr>
            <w:r>
              <w:rPr>
                <w:b/>
                <w:bCs/>
                <w:sz w:val="18"/>
                <w:szCs w:val="18"/>
              </w:rPr>
              <w:t xml:space="preserve">SEPTEMBER, 2026</w:t>
            </w:r>
          </w:p>
        </w:tc>
      </w:tr>
      <w:tr w:rsidR="0060280E" w:rsidRPr="00843C0F" w14:paraId="67E9A1A0" w14:textId="77777777">
        <w:trPr>
          <w:jc w:val="center"/>
        </w:trPr>
        <w:tc>
          <w:tcPr>
            <w:tcW w:w="2808" w:type="dxa"/>
          </w:tcPr>
          <w:p w14:paraId="4DFA060C" w14:textId="77777777" w:rsidR="0060280E" w:rsidRPr="00843C0F" w:rsidRDefault="00000000">
            <w:pPr>
              <w:spacing w:after="0" w:line="240" w:lineRule="auto"/>
              <w:rPr>
                <w:b/>
                <w:bCs/>
                <w:sz w:val="18"/>
                <w:szCs w:val="18"/>
              </w:rPr>
            </w:pPr>
            <w:r w:rsidRPr="00843C0F">
              <w:rPr>
                <w:b/>
                <w:bCs/>
                <w:sz w:val="18"/>
                <w:szCs w:val="18"/>
              </w:rPr>
              <w:t>Consultant Name</w:t>
            </w:r>
          </w:p>
        </w:tc>
        <w:tc>
          <w:tcPr>
            <w:tcW w:w="6768" w:type="dxa"/>
          </w:tcPr>
          <w:p>
            <w:pPr>
              <w:rPr>
                <w:b/>
                <w:bCs/>
                <w:sz w:val="18"/>
                <w:szCs w:val="18"/>
              </w:rPr>
            </w:pPr>
            <w:r>
              <w:rPr>
                <w:b/>
                <w:bCs/>
                <w:sz w:val="18"/>
                <w:szCs w:val="18"/>
              </w:rPr>
              <w:t xml:space="preserve">SAAM CorpAdvisors</w:t>
            </w:r>
          </w:p>
        </w:tc>
      </w:tr>
      <w:tr w:rsidR="00A34EE6" w:rsidRPr="00843C0F" w14:paraId="1047E972" w14:textId="77777777">
        <w:trPr>
          <w:jc w:val="center"/>
        </w:trPr>
        <w:tc>
          <w:tcPr>
            <w:tcW w:w="0" w:type="auto"/>
          </w:tcPr>
          <w:p w14:paraId="08EA6725" w14:textId="77777777" w:rsidR="00A34EE6" w:rsidRPr="00843C0F" w:rsidRDefault="00000000">
            <w:pPr>
              <w:rPr>
                <w:b/>
                <w:bCs/>
                <w:sz w:val="18"/>
                <w:szCs w:val="18"/>
              </w:rPr>
            </w:pPr>
            <w:r w:rsidRPr="00843C0F">
              <w:rPr>
                <w:b/>
                <w:bCs/>
                <w:sz w:val="18"/>
                <w:szCs w:val="18"/>
              </w:rPr>
              <w:t>Report Reference Number</w:t>
            </w:r>
          </w:p>
        </w:tc>
        <w:tc>
          <w:tcPr>
            <w:tcW w:w="0" w:type="auto"/>
          </w:tcPr>
          <w:p>
            <w:pPr>
              <w:rPr>
                <w:b/>
                <w:bCs/>
                <w:sz w:val="18"/>
                <w:szCs w:val="18"/>
              </w:rPr>
            </w:pPr>
            <w:r>
              <w:rPr>
                <w:b/>
                <w:bCs/>
                <w:sz w:val="18"/>
                <w:szCs w:val="18"/>
              </w:rPr>
              <w:t xml:space="preserve">VDR/SA/IN/SEP-2026</w:t>
            </w:r>
          </w:p>
        </w:tc>
      </w:tr>
      <w:tr w:rsidR="00A34EE6" w:rsidRPr="00843C0F" w14:paraId="26DDA9FB" w14:textId="77777777">
        <w:trPr>
          <w:jc w:val="center"/>
        </w:trPr>
        <w:tc>
          <w:tcPr>
            <w:tcW w:w="0" w:type="auto"/>
          </w:tcPr>
          <w:p w14:paraId="31D38472" w14:textId="77777777" w:rsidR="00A34EE6" w:rsidRPr="00843C0F" w:rsidRDefault="00000000">
            <w:pPr>
              <w:rPr>
                <w:b/>
                <w:bCs/>
                <w:sz w:val="18"/>
                <w:szCs w:val="18"/>
              </w:rPr>
            </w:pPr>
            <w:r w:rsidRPr="00843C0F">
              <w:rPr>
                <w:b/>
                <w:bCs/>
                <w:sz w:val="18"/>
                <w:szCs w:val="18"/>
              </w:rPr>
              <w:t>Reporting Frequency</w:t>
            </w:r>
          </w:p>
        </w:tc>
        <w:tc>
          <w:tcPr>
            <w:tcW w:w="0" w:type="auto"/>
          </w:tcPr>
          <w:p>
            <w:pPr>
              <w:rPr>
                <w:b/>
                <w:bCs/>
                <w:sz w:val="18"/>
                <w:szCs w:val="18"/>
              </w:rPr>
            </w:pPr>
            <w:r>
              <w:rPr>
                <w:b/>
                <w:bCs/>
                <w:sz w:val="18"/>
                <w:szCs w:val="18"/>
              </w:rPr>
              <w:t xml:space="preserve">Monthly</w:t>
            </w:r>
          </w:p>
        </w:tc>
      </w:tr>
    </w:tbl>
    <w:p w14:paraId="20CECE17" w14:textId="77777777" w:rsidR="0060280E" w:rsidRPr="00843C0F" w:rsidRDefault="0060280E">
      <w:pPr>
        <w:rPr>
          <w:sz w:val="18"/>
          <w:szCs w:val="18"/>
        </w:rPr>
      </w:pPr>
    </w:p>
    <w:p w14:paraId="38C4FBE8" w14:textId="04C25D0C" w:rsidR="00EC5A22" w:rsidRPr="00843C0F" w:rsidRDefault="001C35A4" w:rsidP="004C02D3">
      <w:pPr>
        <w:rPr>
          <w:b/>
          <w:bCs/>
          <w:sz w:val="18"/>
          <w:szCs w:val="18"/>
        </w:rPr>
      </w:pPr>
      <w:r w:rsidRPr="00843C0F">
        <w:rPr>
          <w:b/>
          <w:bCs/>
          <w:sz w:val="18"/>
          <w:szCs w:val="18"/>
        </w:rPr>
        <w:t xml:space="preserve">Main Highlights </w:t>
      </w:r>
      <w:r w:rsidR="00AE2AA3" w:rsidRPr="00843C0F">
        <w:rPr>
          <w:b/>
          <w:bCs/>
          <w:sz w:val="18"/>
          <w:szCs w:val="18"/>
        </w:rPr>
        <w:t>of the Month</w:t>
      </w:r>
    </w:p>
    <w:p>
      <w:pPr>
        <w:pStyle w:val="ListParagraph"/>
        <w:numPr>
          <w:ilvl w:val="0"/>
          <w:numId w:val="6"/>
        </w:numPr>
        <w:spacing w:after="60"/>
        <w:rPr>
          <w:b/>
          <w:bCs/>
          <w:sz w:val="18"/>
          <w:szCs w:val="18"/>
        </w:rPr>
      </w:pPr>
      <w:r>
        <w:rPr>
          <w:b/>
          <w:bCs/>
          <w:sz w:val="18"/>
          <w:szCs w:val="18"/>
        </w:rPr>
        <w:t xml:space="preserve">India Accelerates AI-Ready Cloud and Data Centre Build-Out</w:t>
      </w:r>
    </w:p>
    <w:p>
      <w:pPr>
        <w:pStyle w:val="ListParagraph"/>
        <w:spacing w:after="160"/>
        <w:jc w:val="both"/>
        <w:rPr>
          <w:sz w:val="18"/>
          <w:szCs w:val="18"/>
        </w:rPr>
      </w:pPr>
      <w:r>
        <w:rPr>
          <w:sz w:val="18"/>
          <w:szCs w:val="18"/>
        </w:rPr>
        <w:t xml:space="preserve">Microsoft formally launched its fourth India cloud region (India South Central) in Hyderabad on 21 September 2026, and TCS subsidiary HyperVault secured 264 acres in Hyderabad for an AI data centre campus of up to 1 GW. India is fast becoming a regional hub for hyperscale, AI and enterprise cloud infrastructure.</w:t>
      </w:r>
    </w:p>
    <w:p>
      <w:pPr>
        <w:pStyle w:val="ListParagraph"/>
        <w:numPr>
          <w:ilvl w:val="0"/>
          <w:numId w:val="6"/>
        </w:numPr>
        <w:spacing w:after="60"/>
        <w:rPr>
          <w:b/>
          <w:bCs/>
          <w:sz w:val="18"/>
          <w:szCs w:val="18"/>
        </w:rPr>
      </w:pPr>
      <w:r>
        <w:rPr>
          <w:b/>
          <w:bCs/>
          <w:sz w:val="18"/>
          <w:szCs w:val="18"/>
        </w:rPr>
        <w:t xml:space="preserve">TRAI Tightens Rules on Spam, Robocalls and AI-Generated Voice Calls</w:t>
      </w:r>
    </w:p>
    <w:p>
      <w:pPr>
        <w:pStyle w:val="ListParagraph"/>
        <w:spacing w:after="160"/>
        <w:jc w:val="both"/>
        <w:rPr>
          <w:sz w:val="18"/>
          <w:szCs w:val="18"/>
        </w:rPr>
      </w:pPr>
      <w:r>
        <w:rPr>
          <w:sz w:val="18"/>
          <w:szCs w:val="18"/>
        </w:rPr>
        <w:t xml:space="preserve">On 18 September 2026 TRAI notified the Telecom Commercial Communications Customer Preference (Third Amendment) Regulations, 2026. The rules require AI/ML-based spam detection by access providers and stricter controls on Application-to-Person (A2P), automated, robo and pre-recorded/artificial-voice calls. They directly affect enterprise outbound voice traffic.</w:t>
      </w:r>
    </w:p>
    <w:p>
      <w:pPr>
        <w:pStyle w:val="ListParagraph"/>
        <w:numPr>
          <w:ilvl w:val="0"/>
          <w:numId w:val="6"/>
        </w:numPr>
        <w:spacing w:after="60"/>
        <w:rPr>
          <w:b/>
          <w:bCs/>
          <w:sz w:val="18"/>
          <w:szCs w:val="18"/>
        </w:rPr>
      </w:pPr>
      <w:r>
        <w:rPr>
          <w:b/>
          <w:bCs/>
          <w:sz w:val="18"/>
          <w:szCs w:val="18"/>
        </w:rPr>
        <w:t xml:space="preserve">Telecom Governance Reform, Satcom Spectrum Framework and New Voice-Only Tariff Obligations</w:t>
      </w:r>
    </w:p>
    <w:p>
      <w:pPr>
        <w:pStyle w:val="ListParagraph"/>
        <w:spacing w:after="160"/>
        <w:jc w:val="both"/>
        <w:rPr>
          <w:sz w:val="18"/>
          <w:szCs w:val="18"/>
        </w:rPr>
      </w:pPr>
      <w:r>
        <w:rPr>
          <w:sz w:val="18"/>
          <w:szCs w:val="18"/>
        </w:rPr>
        <w:t xml:space="preserve">The Union Cabinet approved the dissolution of the 37-year-old Digital Communications Commission (16 September 2026), shortly after the DCC approved most TRAI recommendations on satellite spectrum (5% SUC, administrative assignment). TRAI notified the Telecom Consumer Protection (Thirteenth Amendment) Regulations, 2026, mandating shorter-validity voice-and-SMS-only vouchers.</w:t>
      </w:r>
    </w:p>
    <w:tbl>
      <w:tblPr>
        <w:tblStyle w:val="TableGrid"/>
        <w:tblW w:w="14148" w:type="dxa"/>
        <w:tblLayout w:type="fixed"/>
        <w:tblLook w:val="04A0" w:firstRow="1" w:lastRow="0" w:firstColumn="1" w:lastColumn="0" w:noHBand="0" w:noVBand="1"/>
      </w:tblPr>
      <w:tblGrid>
        <w:gridCol w:w="1364"/>
        <w:gridCol w:w="2132"/>
        <w:gridCol w:w="3222"/>
        <w:gridCol w:w="2349"/>
        <w:gridCol w:w="1120"/>
        <w:gridCol w:w="1691"/>
        <w:gridCol w:w="2270"/>
      </w:tblGrid>
      <w:tr w:rsidR="0060280E" w:rsidRPr="00843C0F" w14:paraId="146645EA" w14:textId="77777777" w:rsidTr="0046402C">
        <w:trPr>
          <w:tblHeader/>
        </w:trPr>
        <w:tc>
          <w:tcPr>
            <w:tcW w:w="1364" w:type="dxa"/>
            <w:shd w:val="clear" w:color="auto" w:fill="C2D69B" w:themeFill="accent3" w:themeFillTint="99"/>
          </w:tcPr>
          <w:p w14:paraId="7800CBEB" w14:textId="77777777" w:rsidR="0060280E" w:rsidRPr="00843C0F" w:rsidRDefault="00000000">
            <w:pPr>
              <w:spacing w:after="0" w:line="240" w:lineRule="auto"/>
              <w:rPr>
                <w:b/>
                <w:bCs/>
                <w:sz w:val="18"/>
                <w:szCs w:val="18"/>
              </w:rPr>
            </w:pPr>
            <w:r w:rsidRPr="00843C0F">
              <w:rPr>
                <w:b/>
                <w:bCs/>
                <w:sz w:val="18"/>
                <w:szCs w:val="18"/>
              </w:rPr>
              <w:t>Topic of Study</w:t>
            </w:r>
          </w:p>
        </w:tc>
        <w:tc>
          <w:tcPr>
            <w:tcW w:w="2132" w:type="dxa"/>
            <w:shd w:val="clear" w:color="auto" w:fill="C2D69B" w:themeFill="accent3" w:themeFillTint="99"/>
          </w:tcPr>
          <w:p w14:paraId="519BF201" w14:textId="77777777" w:rsidR="0060280E" w:rsidRPr="00843C0F" w:rsidRDefault="00000000">
            <w:pPr>
              <w:spacing w:after="0" w:line="240" w:lineRule="auto"/>
              <w:rPr>
                <w:b/>
                <w:bCs/>
                <w:sz w:val="18"/>
                <w:szCs w:val="18"/>
              </w:rPr>
            </w:pPr>
            <w:r w:rsidRPr="00843C0F">
              <w:rPr>
                <w:b/>
                <w:bCs/>
                <w:sz w:val="18"/>
                <w:szCs w:val="18"/>
              </w:rPr>
              <w:t>Nature of Development</w:t>
            </w:r>
          </w:p>
          <w:p w14:paraId="669FDF1C" w14:textId="1D46CA41" w:rsidR="0060280E" w:rsidRPr="00843C0F" w:rsidRDefault="00000000">
            <w:pPr>
              <w:spacing w:after="0" w:line="240" w:lineRule="auto"/>
              <w:rPr>
                <w:b/>
                <w:bCs/>
                <w:sz w:val="18"/>
                <w:szCs w:val="18"/>
              </w:rPr>
            </w:pPr>
            <w:r w:rsidRPr="00843C0F">
              <w:rPr>
                <w:b/>
                <w:bCs/>
                <w:sz w:val="18"/>
                <w:szCs w:val="18"/>
              </w:rPr>
              <w:t>(</w:t>
            </w:r>
            <w:r w:rsidRPr="00843C0F">
              <w:rPr>
                <w:b/>
                <w:bCs/>
                <w:i/>
                <w:iCs/>
                <w:sz w:val="18"/>
                <w:szCs w:val="18"/>
              </w:rPr>
              <w:t>Please tick</w:t>
            </w:r>
            <w:r w:rsidRPr="00843C0F">
              <w:rPr>
                <w:b/>
                <w:bCs/>
                <w:i/>
                <w:sz w:val="18"/>
                <w:szCs w:val="18"/>
              </w:rPr>
              <w:t xml:space="preserve"> the relevant box</w:t>
            </w:r>
            <w:r w:rsidRPr="00843C0F">
              <w:rPr>
                <w:b/>
                <w:bCs/>
                <w:sz w:val="18"/>
                <w:szCs w:val="18"/>
              </w:rPr>
              <w:t>)</w:t>
            </w:r>
          </w:p>
        </w:tc>
        <w:tc>
          <w:tcPr>
            <w:tcW w:w="3222" w:type="dxa"/>
            <w:shd w:val="clear" w:color="auto" w:fill="C2D69B" w:themeFill="accent3" w:themeFillTint="99"/>
          </w:tcPr>
          <w:p w14:paraId="1E3F31B5" w14:textId="77777777" w:rsidR="0060280E" w:rsidRPr="00843C0F" w:rsidRDefault="00000000">
            <w:pPr>
              <w:spacing w:after="0" w:line="240" w:lineRule="auto"/>
              <w:rPr>
                <w:b/>
                <w:bCs/>
                <w:sz w:val="18"/>
                <w:szCs w:val="18"/>
              </w:rPr>
            </w:pPr>
            <w:r w:rsidRPr="00843C0F">
              <w:rPr>
                <w:b/>
                <w:bCs/>
                <w:sz w:val="18"/>
                <w:szCs w:val="18"/>
              </w:rPr>
              <w:t xml:space="preserve">Details of </w:t>
            </w:r>
          </w:p>
          <w:p w14:paraId="79629BE1" w14:textId="77777777" w:rsidR="0060280E" w:rsidRPr="00843C0F" w:rsidRDefault="00000000">
            <w:pPr>
              <w:spacing w:after="0" w:line="240" w:lineRule="auto"/>
              <w:rPr>
                <w:b/>
                <w:bCs/>
                <w:sz w:val="18"/>
                <w:szCs w:val="18"/>
              </w:rPr>
            </w:pPr>
            <w:r w:rsidRPr="00843C0F">
              <w:rPr>
                <w:b/>
                <w:bCs/>
                <w:sz w:val="18"/>
                <w:szCs w:val="18"/>
              </w:rPr>
              <w:t>Development</w:t>
            </w:r>
          </w:p>
        </w:tc>
        <w:tc>
          <w:tcPr>
            <w:tcW w:w="2349" w:type="dxa"/>
            <w:shd w:val="clear" w:color="auto" w:fill="C2D69B" w:themeFill="accent3" w:themeFillTint="99"/>
          </w:tcPr>
          <w:p w14:paraId="5703109B" w14:textId="77777777" w:rsidR="0060280E" w:rsidRPr="00843C0F" w:rsidRDefault="00000000">
            <w:pPr>
              <w:spacing w:after="0" w:line="240" w:lineRule="auto"/>
              <w:rPr>
                <w:b/>
                <w:bCs/>
                <w:sz w:val="18"/>
                <w:szCs w:val="18"/>
              </w:rPr>
            </w:pPr>
            <w:r w:rsidRPr="00843C0F">
              <w:rPr>
                <w:b/>
                <w:bCs/>
                <w:sz w:val="18"/>
                <w:szCs w:val="18"/>
              </w:rPr>
              <w:t xml:space="preserve">Source of </w:t>
            </w:r>
          </w:p>
          <w:p w14:paraId="2BA0EC8B" w14:textId="77777777" w:rsidR="0060280E" w:rsidRPr="00843C0F" w:rsidRDefault="00000000">
            <w:pPr>
              <w:spacing w:after="0" w:line="240" w:lineRule="auto"/>
              <w:rPr>
                <w:b/>
                <w:bCs/>
                <w:sz w:val="18"/>
                <w:szCs w:val="18"/>
              </w:rPr>
            </w:pPr>
            <w:r w:rsidRPr="00843C0F">
              <w:rPr>
                <w:b/>
                <w:bCs/>
                <w:sz w:val="18"/>
                <w:szCs w:val="18"/>
              </w:rPr>
              <w:t>Information</w:t>
            </w:r>
          </w:p>
          <w:p w14:paraId="579F48FE" w14:textId="693211BE" w:rsidR="0060280E" w:rsidRPr="00843C0F" w:rsidRDefault="00000000">
            <w:pPr>
              <w:spacing w:after="0" w:line="240" w:lineRule="auto"/>
              <w:rPr>
                <w:b/>
                <w:bCs/>
                <w:sz w:val="18"/>
                <w:szCs w:val="18"/>
              </w:rPr>
            </w:pPr>
            <w:r w:rsidRPr="00843C0F">
              <w:rPr>
                <w:b/>
                <w:bCs/>
                <w:sz w:val="18"/>
                <w:szCs w:val="18"/>
              </w:rPr>
              <w:t>(</w:t>
            </w:r>
            <w:r w:rsidRPr="00843C0F">
              <w:rPr>
                <w:b/>
                <w:bCs/>
                <w:i/>
                <w:iCs/>
                <w:sz w:val="18"/>
                <w:szCs w:val="18"/>
              </w:rPr>
              <w:t>Please tick</w:t>
            </w:r>
            <w:r w:rsidRPr="00843C0F">
              <w:rPr>
                <w:b/>
                <w:bCs/>
                <w:i/>
                <w:sz w:val="18"/>
                <w:szCs w:val="18"/>
              </w:rPr>
              <w:t xml:space="preserve"> the relevant box</w:t>
            </w:r>
            <w:r w:rsidRPr="00843C0F">
              <w:rPr>
                <w:b/>
                <w:bCs/>
                <w:sz w:val="18"/>
                <w:szCs w:val="18"/>
              </w:rPr>
              <w:t>)</w:t>
            </w:r>
          </w:p>
        </w:tc>
        <w:tc>
          <w:tcPr>
            <w:tcW w:w="1120" w:type="dxa"/>
            <w:shd w:val="clear" w:color="auto" w:fill="C2D69B" w:themeFill="accent3" w:themeFillTint="99"/>
          </w:tcPr>
          <w:p w14:paraId="14C01078" w14:textId="77777777" w:rsidR="0060280E" w:rsidRPr="00843C0F" w:rsidRDefault="00000000">
            <w:pPr>
              <w:spacing w:after="0" w:line="240" w:lineRule="auto"/>
              <w:rPr>
                <w:b/>
                <w:bCs/>
                <w:sz w:val="18"/>
                <w:szCs w:val="18"/>
              </w:rPr>
            </w:pPr>
            <w:r w:rsidRPr="00843C0F">
              <w:rPr>
                <w:b/>
                <w:bCs/>
                <w:sz w:val="18"/>
                <w:szCs w:val="18"/>
              </w:rPr>
              <w:t xml:space="preserve">Period of </w:t>
            </w:r>
          </w:p>
          <w:p w14:paraId="2744770E" w14:textId="77777777" w:rsidR="0060280E" w:rsidRPr="00843C0F" w:rsidRDefault="00000000">
            <w:pPr>
              <w:spacing w:after="0" w:line="240" w:lineRule="auto"/>
              <w:rPr>
                <w:b/>
                <w:bCs/>
                <w:sz w:val="18"/>
                <w:szCs w:val="18"/>
              </w:rPr>
            </w:pPr>
            <w:r w:rsidRPr="00843C0F">
              <w:rPr>
                <w:b/>
                <w:bCs/>
                <w:sz w:val="18"/>
                <w:szCs w:val="18"/>
              </w:rPr>
              <w:t>Development (Month/Year)</w:t>
            </w:r>
          </w:p>
        </w:tc>
        <w:tc>
          <w:tcPr>
            <w:tcW w:w="1691" w:type="dxa"/>
            <w:shd w:val="clear" w:color="auto" w:fill="C2D69B" w:themeFill="accent3" w:themeFillTint="99"/>
          </w:tcPr>
          <w:p w14:paraId="0898150D" w14:textId="77777777" w:rsidR="0060280E" w:rsidRPr="00843C0F" w:rsidRDefault="00000000">
            <w:pPr>
              <w:spacing w:after="0" w:line="240" w:lineRule="auto"/>
              <w:rPr>
                <w:b/>
                <w:bCs/>
                <w:sz w:val="18"/>
                <w:szCs w:val="18"/>
              </w:rPr>
            </w:pPr>
            <w:r w:rsidRPr="00843C0F">
              <w:rPr>
                <w:b/>
                <w:bCs/>
                <w:sz w:val="18"/>
                <w:szCs w:val="18"/>
              </w:rPr>
              <w:t xml:space="preserve">Expected timelines </w:t>
            </w:r>
          </w:p>
          <w:p w14:paraId="4D6C59B5" w14:textId="77777777" w:rsidR="0060280E" w:rsidRPr="00843C0F" w:rsidRDefault="00000000">
            <w:pPr>
              <w:spacing w:after="0" w:line="240" w:lineRule="auto"/>
              <w:rPr>
                <w:b/>
                <w:bCs/>
                <w:sz w:val="18"/>
                <w:szCs w:val="18"/>
              </w:rPr>
            </w:pPr>
            <w:r w:rsidRPr="00843C0F">
              <w:rPr>
                <w:b/>
                <w:bCs/>
                <w:sz w:val="18"/>
                <w:szCs w:val="18"/>
              </w:rPr>
              <w:t>of implementation (if any)</w:t>
            </w:r>
          </w:p>
        </w:tc>
        <w:tc>
          <w:tcPr>
            <w:tcW w:w="2270" w:type="dxa"/>
            <w:shd w:val="clear" w:color="auto" w:fill="C2D69B" w:themeFill="accent3" w:themeFillTint="99"/>
            <w:vAlign w:val="center"/>
          </w:tcPr>
          <w:p w14:paraId="50BA4141" w14:textId="77777777" w:rsidR="0060280E" w:rsidRPr="00843C0F" w:rsidRDefault="00000000">
            <w:pPr>
              <w:spacing w:after="0" w:line="240" w:lineRule="auto"/>
              <w:jc w:val="center"/>
              <w:rPr>
                <w:b/>
                <w:bCs/>
                <w:sz w:val="18"/>
                <w:szCs w:val="18"/>
              </w:rPr>
            </w:pPr>
            <w:r w:rsidRPr="00843C0F">
              <w:rPr>
                <w:b/>
                <w:bCs/>
                <w:sz w:val="18"/>
                <w:szCs w:val="18"/>
              </w:rPr>
              <w:t>Remarks</w:t>
            </w:r>
          </w:p>
        </w:tc>
      </w:tr>
      <w:tr w:rsidR="0060280E" w:rsidRPr="00843C0F" w14:paraId="58FBA467" w14:textId="77777777" w:rsidTr="0046402C">
        <w:tc>
          <w:tcPr>
            <w:tcW w:w="1364" w:type="dxa"/>
          </w:tcPr>
          <w:p w14:paraId="3294D9AE" w14:textId="77777777" w:rsidR="0060280E" w:rsidRPr="00843C0F" w:rsidRDefault="00000000">
            <w:pPr>
              <w:spacing w:after="0" w:line="240" w:lineRule="auto"/>
              <w:rPr>
                <w:color w:val="000000"/>
                <w:sz w:val="18"/>
                <w:szCs w:val="18"/>
              </w:rPr>
            </w:pPr>
            <w:r w:rsidRPr="00843C0F">
              <w:rPr>
                <w:color w:val="000000"/>
                <w:sz w:val="18"/>
                <w:szCs w:val="18"/>
              </w:rPr>
              <w:t>Key Updates Relevant to ORANGE BUSINESS SERVICES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b/>
                <w:bCs/>
                <w:sz w:val="18"/>
                <w:szCs w:val="18"/>
              </w:rPr>
              <w:sym w:font="Wingdings" w:char="F0FE"/>
            </w:r>
            <w:r>
              <w:rPr>
                <w:b/>
                <w:bCs/>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b/>
                <w:bCs/>
                <w:sz w:val="18"/>
                <w:szCs w:val="18"/>
              </w:rPr>
              <w:sym w:font="Wingdings" w:char="F0FE"/>
            </w:r>
            <w:r>
              <w:rPr>
                <w:b/>
                <w:bCs/>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On 16 September 2026 the Union Cabinet approved the dissolution of the Digital Communications Commission (DCC), the 37-year-old apex inter-ministerial decision-making body of DoT (set up in 1989 as the Telecom Commission and renamed DCC in 2018). The dissolution took effect through a government resolution dated 19 September 2026. Final policy and administrative decisions in DoT now rest with the Telecom Secretary, with the Communications Minister and the Cabinet involved where required.</w:t>
            </w:r>
          </w:p>
          <w:p>
            <w:pPr>
              <w:pStyle w:val="ListParagraph"/>
              <w:numPr>
                <w:ilvl w:val="0"/>
                <w:numId w:val="4"/>
              </w:numPr>
              <w:spacing w:after="0" w:line="240" w:lineRule="auto"/>
              <w:ind w:left="216" w:hanging="216"/>
              <w:rPr>
                <w:b/>
                <w:bCs/>
                <w:sz w:val="18"/>
                <w:szCs w:val="18"/>
              </w:rPr>
            </w:pPr>
            <w:r>
              <w:rPr>
                <w:b/>
                <w:bCs/>
                <w:sz w:val="18"/>
                <w:szCs w:val="18"/>
              </w:rPr>
              <w:t xml:space="preserve">Microsoft formally launched its fourth India cloud region, India South Central (Hyderabad), on 21 September 2026. The launch is part of its USD 20.5 billion India commitment. The region supports advanced AI workloads with zero-water cooling and joins the Pune, Chennai and Mumbai regions. Early customers include Adani Group, Bajaj Finserv and HDFC Bank.</w:t>
            </w:r>
          </w:p>
          <w:p>
            <w:pPr>
              <w:pStyle w:val="ListParagraph"/>
              <w:numPr>
                <w:ilvl w:val="0"/>
                <w:numId w:val="4"/>
              </w:numPr>
              <w:spacing w:after="0" w:line="240" w:lineRule="auto"/>
              <w:ind w:left="216" w:hanging="216"/>
              <w:rPr>
                <w:b/>
                <w:bCs/>
                <w:sz w:val="18"/>
                <w:szCs w:val="18"/>
              </w:rPr>
            </w:pPr>
            <w:r>
              <w:rPr>
                <w:b/>
                <w:bCs/>
                <w:sz w:val="18"/>
                <w:szCs w:val="18"/>
              </w:rPr>
              <w:t xml:space="preserve">HyperVault (a TCS subsidiary) secured 264 acres in Hyderabad, Telangana, for a large-scale AI data centre campus of up to 1 GW. The campus is built for high-density GPU deployments for hyperscalers and frontier AI companies, and will use green energy and a water-neutral design.</w:t>
            </w:r>
          </w:p>
          <w:p>
            <w:pPr>
              <w:pStyle w:val="ListParagraph"/>
              <w:numPr>
                <w:ilvl w:val="0"/>
                <w:numId w:val="4"/>
              </w:numPr>
              <w:spacing w:after="0" w:line="240" w:lineRule="auto"/>
              <w:ind w:left="216" w:hanging="216"/>
              <w:rPr>
                <w:b/>
                <w:bCs/>
                <w:sz w:val="18"/>
                <w:szCs w:val="18"/>
              </w:rPr>
            </w:pPr>
            <w:r>
              <w:rPr>
                <w:b/>
                <w:bCs/>
                <w:sz w:val="18"/>
                <w:szCs w:val="18"/>
              </w:rPr>
              <w:t xml:space="preserve">Industry reports for H1 2026 show that India’s top seven data centre markets added about 178 MW, taking operational capacity to about 1.8 GW. Hyperscale and AI pre-commitments drove about 82% of absorption, which strengthens India’s position as a regional cloud and interconnection hub.</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b/>
                <w:bCs/>
                <w:sz w:val="18"/>
                <w:szCs w:val="18"/>
              </w:rPr>
              <w:sym w:font="Wingdings" w:char="F0FE"/>
            </w:r>
            <w:r>
              <w:rPr>
                <w:b/>
                <w:bCs/>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HyperVault campus to be built in phases, in line with demand</w:t>
            </w:r>
          </w:p>
        </w:tc>
        <w:tc>
          <w:tcPr>
            <w:tcW w:w="2270" w:type="dxa"/>
          </w:tcPr>
          <w:p>
            <w:pPr>
              <w:spacing w:after="0" w:line="240" w:lineRule="auto"/>
              <w:rPr>
                <w:sz w:val="18"/>
                <w:szCs w:val="18"/>
              </w:rPr>
            </w:pPr>
            <w:hyperlink r:id="rId101" w:history="1">
              <w:r>
                <w:rPr>
                  <w:rStyle w:val="Hyperlink"/>
                  <w:color w:val="0563C1"/>
                  <w:u w:val="single"/>
                  <w:sz w:val="18"/>
                  <w:szCs w:val="18"/>
                </w:rPr>
                <w:t xml:space="preserve">https://www.deccanchronicle.com/amp/nation/new-delhi-cabinet-approves-dissolution-of-37-year-old-telecom-apex-body-dcc-1987937</w:t>
              </w:r>
            </w:hyperlink>
          </w:p>
          <w:p>
            <w:pPr>
              <w:spacing w:after="0" w:line="240" w:lineRule="auto"/>
              <w:rPr>
                <w:sz w:val="18"/>
                <w:szCs w:val="18"/>
              </w:rPr>
            </w:pPr>
            <w:hyperlink r:id="rId102" w:history="1">
              <w:r>
                <w:rPr>
                  <w:rStyle w:val="Hyperlink"/>
                  <w:color w:val="0563C1"/>
                  <w:u w:val="single"/>
                  <w:sz w:val="18"/>
                  <w:szCs w:val="18"/>
                </w:rPr>
                <w:t xml:space="preserve">https://www.business-standard.com/industry/news/microsoft-launches-4th-india-cloud-region-in-hyderabad-to-boost-ai-capacity-126092100431_1.html</w:t>
              </w:r>
            </w:hyperlink>
          </w:p>
          <w:p>
            <w:pPr>
              <w:spacing w:after="0" w:line="240" w:lineRule="auto"/>
              <w:rPr>
                <w:sz w:val="18"/>
                <w:szCs w:val="18"/>
              </w:rPr>
            </w:pPr>
            <w:hyperlink r:id="rId103" w:history="1">
              <w:r>
                <w:rPr>
                  <w:rStyle w:val="Hyperlink"/>
                  <w:color w:val="0563C1"/>
                  <w:u w:val="single"/>
                  <w:sz w:val="18"/>
                  <w:szCs w:val="18"/>
                </w:rPr>
                <w:t xml:space="preserve">https://www.tcs.com/who-we-are/newsroom/press-release/tcs-hypervault-establish-large-scale-ai-data-center-campus-telangana</w:t>
              </w:r>
            </w:hyperlink>
          </w:p>
          <w:p>
            <w:pPr>
              <w:spacing w:after="0" w:line="240" w:lineRule="auto"/>
              <w:rPr>
                <w:sz w:val="18"/>
                <w:szCs w:val="18"/>
              </w:rPr>
            </w:pPr>
            <w:hyperlink r:id="rId104" w:history="1">
              <w:r>
                <w:rPr>
                  <w:rStyle w:val="Hyperlink"/>
                  <w:color w:val="0563C1"/>
                  <w:u w:val="single"/>
                  <w:sz w:val="18"/>
                  <w:szCs w:val="18"/>
                </w:rPr>
                <w:t xml:space="preserve">https://www.cushmanwakefield.com/en/india/news/2026/09/india-data-centre-h1-2026-update</w:t>
              </w:r>
            </w:hyperlink>
          </w:p>
          <w:p>
            <w:pPr>
              <w:spacing w:after="0" w:line="240" w:lineRule="auto"/>
              <w:rPr>
                <w:sz w:val="18"/>
                <w:szCs w:val="18"/>
              </w:rPr>
            </w:pPr>
            <w:hyperlink r:id="rId105" w:history="1">
              <w:r>
                <w:rPr>
                  <w:rStyle w:val="Hyperlink"/>
                  <w:color w:val="0563C1"/>
                  <w:u w:val="single"/>
                  <w:sz w:val="18"/>
                  <w:szCs w:val="18"/>
                </w:rPr>
                <w:t xml:space="preserve">https://www.datacenterdynamics.com/en/regions/asia-pacific/india/</w:t>
              </w:r>
            </w:hyperlink>
          </w:p>
        </w:tc>
      </w:tr>
      <w:tr w:rsidR="0060280E" w:rsidRPr="00843C0F" w14:paraId="64182AA5" w14:textId="77777777" w:rsidTr="0046402C">
        <w:tc>
          <w:tcPr>
            <w:tcW w:w="1364" w:type="dxa"/>
          </w:tcPr>
          <w:p w14:paraId="48DEF66F" w14:textId="77777777" w:rsidR="0060280E" w:rsidRPr="00843C0F" w:rsidRDefault="00000000">
            <w:pPr>
              <w:spacing w:after="0" w:line="240" w:lineRule="auto"/>
              <w:rPr>
                <w:sz w:val="18"/>
                <w:szCs w:val="18"/>
              </w:rPr>
            </w:pPr>
            <w:r w:rsidRPr="00843C0F">
              <w:rPr>
                <w:color w:val="000000"/>
                <w:sz w:val="18"/>
                <w:szCs w:val="18"/>
              </w:rPr>
              <w:t>Interconnect Models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35D392E8" w14:textId="77777777" w:rsidTr="0046402C">
        <w:tc>
          <w:tcPr>
            <w:tcW w:w="1364" w:type="dxa"/>
          </w:tcPr>
          <w:p w14:paraId="0E28FAF3" w14:textId="77777777" w:rsidR="0060280E" w:rsidRPr="00843C0F" w:rsidRDefault="00000000">
            <w:pPr>
              <w:spacing w:after="0" w:line="240" w:lineRule="auto"/>
              <w:rPr>
                <w:sz w:val="18"/>
                <w:szCs w:val="18"/>
              </w:rPr>
            </w:pPr>
            <w:r w:rsidRPr="00843C0F">
              <w:rPr>
                <w:color w:val="000000"/>
                <w:sz w:val="18"/>
                <w:szCs w:val="18"/>
              </w:rPr>
              <w:lastRenderedPageBreak/>
              <w:t>Numbering Resources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“UPDATED NUMBERING PLAN IS STILL NOT THERE,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24250E83" w14:textId="77777777" w:rsidTr="0046402C">
        <w:tc>
          <w:tcPr>
            <w:tcW w:w="1364" w:type="dxa"/>
          </w:tcPr>
          <w:p w14:paraId="10B7A3ED" w14:textId="77777777" w:rsidR="0060280E" w:rsidRPr="00843C0F" w:rsidRDefault="00000000">
            <w:pPr>
              <w:spacing w:after="0" w:line="240" w:lineRule="auto"/>
              <w:rPr>
                <w:sz w:val="18"/>
                <w:szCs w:val="18"/>
              </w:rPr>
            </w:pPr>
            <w:r w:rsidRPr="00843C0F">
              <w:rPr>
                <w:color w:val="000000"/>
                <w:sz w:val="18"/>
                <w:szCs w:val="18"/>
              </w:rPr>
              <w:t>Number Porting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NEW NUMBER PORTING DEVELOPMENTS”</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5A249B3F" w14:textId="77777777" w:rsidTr="0046402C">
        <w:tc>
          <w:tcPr>
            <w:tcW w:w="1364" w:type="dxa"/>
          </w:tcPr>
          <w:p w14:paraId="3CAA80CC" w14:textId="77777777" w:rsidR="0060280E" w:rsidRPr="00843C0F" w:rsidRDefault="00000000">
            <w:pPr>
              <w:spacing w:after="0" w:line="240" w:lineRule="auto"/>
              <w:rPr>
                <w:rFonts w:ascii="Calibri" w:hAnsi="Calibri" w:cs="Calibri"/>
                <w:color w:val="000000"/>
                <w:sz w:val="18"/>
                <w:szCs w:val="18"/>
              </w:rPr>
            </w:pPr>
            <w:r w:rsidRPr="00843C0F">
              <w:rPr>
                <w:color w:val="000000"/>
                <w:sz w:val="18"/>
                <w:szCs w:val="18"/>
              </w:rPr>
              <w:lastRenderedPageBreak/>
              <w:t>Emergency Services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54D0A39A" w14:textId="77777777" w:rsidTr="0046402C">
        <w:tc>
          <w:tcPr>
            <w:tcW w:w="1364" w:type="dxa"/>
          </w:tcPr>
          <w:p w14:paraId="49649455" w14:textId="77777777" w:rsidR="0060280E" w:rsidRPr="00843C0F" w:rsidRDefault="00000000">
            <w:pPr>
              <w:spacing w:after="0" w:line="240" w:lineRule="auto"/>
              <w:rPr>
                <w:sz w:val="18"/>
                <w:szCs w:val="18"/>
              </w:rPr>
            </w:pPr>
            <w:r w:rsidRPr="00843C0F">
              <w:rPr>
                <w:color w:val="000000"/>
                <w:sz w:val="18"/>
                <w:szCs w:val="18"/>
              </w:rPr>
              <w:t>Directory Enquiry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213B8F72" w14:textId="77777777" w:rsidTr="0046402C">
        <w:tc>
          <w:tcPr>
            <w:tcW w:w="1364" w:type="dxa"/>
          </w:tcPr>
          <w:p w14:paraId="63213BEF" w14:textId="77777777" w:rsidR="0060280E" w:rsidRPr="00843C0F" w:rsidRDefault="00000000">
            <w:pPr>
              <w:spacing w:after="0" w:line="240" w:lineRule="auto"/>
              <w:rPr>
                <w:sz w:val="18"/>
                <w:szCs w:val="18"/>
              </w:rPr>
            </w:pPr>
            <w:r w:rsidRPr="00843C0F">
              <w:rPr>
                <w:color w:val="000000"/>
                <w:sz w:val="18"/>
                <w:szCs w:val="18"/>
              </w:rPr>
              <w:t>QoS KPI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b/>
                <w:bCs/>
                <w:sz w:val="18"/>
                <w:szCs w:val="18"/>
              </w:rPr>
              <w:sym w:font="Wingdings" w:char="F0FE"/>
            </w:r>
            <w:r>
              <w:rPr>
                <w:b/>
                <w:bCs/>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b/>
                <w:bCs/>
                <w:sz w:val="18"/>
                <w:szCs w:val="18"/>
              </w:rPr>
              <w:sym w:font="Wingdings" w:char="F0FE"/>
            </w:r>
            <w:r>
              <w:rPr>
                <w:b/>
                <w:bCs/>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On 25 September 2026 TRAI launched the Digital Connectivity Rating (DCR) platform and a field-testing mobile app. They put into operation its framework for rating residential, commercial and government properties on in-building digital connectivity.</w:t>
            </w:r>
          </w:p>
          <w:p>
            <w:pPr>
              <w:pStyle w:val="ListParagraph"/>
              <w:numPr>
                <w:ilvl w:val="0"/>
                <w:numId w:val="4"/>
              </w:numPr>
              <w:spacing w:after="0" w:line="240" w:lineRule="auto"/>
              <w:ind w:left="216" w:hanging="216"/>
              <w:rPr>
                <w:b/>
                <w:bCs/>
                <w:sz w:val="18"/>
                <w:szCs w:val="18"/>
              </w:rPr>
            </w:pPr>
            <w:r>
              <w:rPr>
                <w:b/>
                <w:bCs/>
                <w:sz w:val="18"/>
                <w:szCs w:val="18"/>
              </w:rPr>
              <w:t xml:space="preserve">The platform brings together property managers, registered Digital Connectivity Rating Agencies (DCRAs) and consumers. Ratings cover fibre readiness, mobile network (4G/5G) availability, in-building solutions and Wi-Fi. Certificates are digitally signed and can be verified by QR code.</w:t>
            </w:r>
          </w:p>
          <w:p>
            <w:pPr>
              <w:pStyle w:val="ListParagraph"/>
              <w:numPr>
                <w:ilvl w:val="0"/>
                <w:numId w:val="4"/>
              </w:numPr>
              <w:spacing w:after="0" w:line="240" w:lineRule="auto"/>
              <w:ind w:left="216" w:hanging="216"/>
              <w:rPr>
                <w:b/>
                <w:bCs/>
                <w:sz w:val="18"/>
                <w:szCs w:val="18"/>
              </w:rPr>
            </w:pPr>
            <w:r>
              <w:rPr>
                <w:b/>
                <w:bCs/>
                <w:sz w:val="18"/>
                <w:szCs w:val="18"/>
              </w:rPr>
              <w:t xml:space="preserve">About 70–80% of mobile usage takes place indoors, so the framework makes indoor coverage and quality of service a measurable attribute of buildings.</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b/>
                <w:bCs/>
                <w:sz w:val="18"/>
                <w:szCs w:val="18"/>
              </w:rPr>
              <w:sym w:font="Wingdings" w:char="F0FE"/>
            </w:r>
            <w:r>
              <w:rPr>
                <w:b/>
                <w:bCs/>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Rating is now open to properties</w:t>
            </w:r>
          </w:p>
        </w:tc>
        <w:tc>
          <w:tcPr>
            <w:tcW w:w="2270" w:type="dxa"/>
          </w:tcPr>
          <w:p>
            <w:pPr>
              <w:spacing w:after="0" w:line="240" w:lineRule="auto"/>
              <w:rPr>
                <w:sz w:val="18"/>
                <w:szCs w:val="18"/>
              </w:rPr>
            </w:pPr>
            <w:hyperlink r:id="rId106" w:history="1">
              <w:r>
                <w:rPr>
                  <w:rStyle w:val="Hyperlink"/>
                  <w:color w:val="0563C1"/>
                  <w:u w:val="single"/>
                  <w:sz w:val="18"/>
                  <w:szCs w:val="18"/>
                </w:rPr>
                <w:t xml:space="preserve">https://www.business-standard.com/amp/industry/news/trai-launches-platform-to-rate-properties-on-digital-connectivity-126092500807_1.html</w:t>
              </w:r>
            </w:hyperlink>
          </w:p>
          <w:p>
            <w:pPr>
              <w:spacing w:after="0" w:line="240" w:lineRule="auto"/>
              <w:rPr>
                <w:sz w:val="18"/>
                <w:szCs w:val="18"/>
              </w:rPr>
            </w:pPr>
            <w:hyperlink r:id="rId107" w:history="1">
              <w:r>
                <w:rPr>
                  <w:rStyle w:val="Hyperlink"/>
                  <w:color w:val="0563C1"/>
                  <w:u w:val="single"/>
                  <w:sz w:val="18"/>
                  <w:szCs w:val="18"/>
                </w:rPr>
                <w:t xml:space="preserve">https://ddindia.co.in/2026/09/trai-launches-digital-connectivity-rating-platform/</w:t>
              </w:r>
            </w:hyperlink>
          </w:p>
        </w:tc>
      </w:tr>
      <w:tr w:rsidR="0060280E" w:rsidRPr="00843C0F" w14:paraId="37F94319" w14:textId="77777777" w:rsidTr="0046402C">
        <w:tc>
          <w:tcPr>
            <w:tcW w:w="1364" w:type="dxa"/>
          </w:tcPr>
          <w:p w14:paraId="04FAC556" w14:textId="77777777" w:rsidR="0060280E" w:rsidRPr="00843C0F" w:rsidRDefault="00000000">
            <w:pPr>
              <w:spacing w:after="0" w:line="240" w:lineRule="auto"/>
              <w:rPr>
                <w:rFonts w:ascii="Calibri" w:hAnsi="Calibri" w:cs="Calibri"/>
                <w:color w:val="000000"/>
                <w:sz w:val="18"/>
                <w:szCs w:val="18"/>
              </w:rPr>
            </w:pPr>
            <w:r w:rsidRPr="00843C0F">
              <w:rPr>
                <w:color w:val="000000"/>
                <w:sz w:val="18"/>
                <w:szCs w:val="18"/>
              </w:rPr>
              <w:t>Reporting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6FFCFFB3" w14:textId="77777777" w:rsidTr="0046402C">
        <w:tc>
          <w:tcPr>
            <w:tcW w:w="1364" w:type="dxa"/>
          </w:tcPr>
          <w:p w14:paraId="708FF9FF" w14:textId="77777777" w:rsidR="0060280E" w:rsidRPr="00843C0F" w:rsidRDefault="00000000">
            <w:pPr>
              <w:spacing w:after="0" w:line="240" w:lineRule="auto"/>
              <w:rPr>
                <w:color w:val="000000"/>
                <w:sz w:val="18"/>
                <w:szCs w:val="18"/>
              </w:rPr>
            </w:pPr>
            <w:r w:rsidRPr="00843C0F">
              <w:rPr>
                <w:color w:val="000000"/>
                <w:sz w:val="18"/>
                <w:szCs w:val="18"/>
              </w:rPr>
              <w:t>Premium and Revenue Share Numbers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60280E" w:rsidRPr="00843C0F" w14:paraId="6017C06F" w14:textId="77777777" w:rsidTr="0046402C">
        <w:tc>
          <w:tcPr>
            <w:tcW w:w="1364" w:type="dxa"/>
          </w:tcPr>
          <w:p w14:paraId="57EA64B2" w14:textId="77777777" w:rsidR="0060280E" w:rsidRPr="00843C0F" w:rsidRDefault="00000000">
            <w:pPr>
              <w:spacing w:after="0" w:line="240" w:lineRule="auto"/>
              <w:rPr>
                <w:color w:val="000000"/>
                <w:sz w:val="18"/>
                <w:szCs w:val="18"/>
              </w:rPr>
            </w:pPr>
            <w:r w:rsidRPr="00843C0F">
              <w:rPr>
                <w:color w:val="000000"/>
                <w:sz w:val="18"/>
                <w:szCs w:val="18"/>
              </w:rPr>
              <w:t>Other obligations impacting outbound calls from customer site connected to OBS network</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b/>
                <w:bCs/>
                <w:sz w:val="18"/>
                <w:szCs w:val="18"/>
              </w:rPr>
              <w:sym w:font="Wingdings" w:char="F0FE"/>
            </w:r>
            <w:r>
              <w:rPr>
                <w:b/>
                <w:bCs/>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Under the TCCCP (Third Amendment) Regulations, 2026 (notified 18 September 2026), senders must declare Application-to-Person (A2P) voice traffic in advance, or face penalties.</w:t>
            </w:r>
          </w:p>
          <w:p>
            <w:pPr>
              <w:pStyle w:val="ListParagraph"/>
              <w:numPr>
                <w:ilvl w:val="0"/>
                <w:numId w:val="4"/>
              </w:numPr>
              <w:spacing w:after="0" w:line="240" w:lineRule="auto"/>
              <w:ind w:left="216" w:hanging="216"/>
              <w:rPr>
                <w:b/>
                <w:bCs/>
                <w:sz w:val="18"/>
                <w:szCs w:val="18"/>
              </w:rPr>
            </w:pPr>
            <w:r>
              <w:rPr>
                <w:b/>
                <w:bCs/>
                <w:sz w:val="18"/>
                <w:szCs w:val="18"/>
              </w:rPr>
              <w:t xml:space="preserve">Enterprise customers that make outbound commercial or automated calls from sites connected to the OBS network must use the designated 140 (promotional) and 1600 (service/transactional) series and meet the registration requirements. Otherwise the traffic may be flagged or blocked by the terminating access provider’s AI/ML-based spam detection.</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b/>
                <w:bCs/>
                <w:sz w:val="18"/>
                <w:szCs w:val="18"/>
              </w:rPr>
              <w:sym w:font="Wingdings" w:char="F0FE"/>
            </w:r>
            <w:r>
              <w:rPr>
                <w:b/>
                <w:bCs/>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As per timelines in the Regulations</w:t>
            </w:r>
          </w:p>
        </w:tc>
        <w:tc>
          <w:tcPr>
            <w:tcW w:w="2270" w:type="dxa"/>
          </w:tcPr>
          <w:p>
            <w:pPr>
              <w:spacing w:after="0" w:line="240" w:lineRule="auto"/>
              <w:rPr>
                <w:sz w:val="18"/>
                <w:szCs w:val="18"/>
              </w:rPr>
            </w:pPr>
            <w:hyperlink r:id="rId108" w:history="1">
              <w:r>
                <w:rPr>
                  <w:rStyle w:val="Hyperlink"/>
                  <w:color w:val="0563C1"/>
                  <w:u w:val="single"/>
                  <w:sz w:val="18"/>
                  <w:szCs w:val="18"/>
                </w:rPr>
                <w:t xml:space="preserve">https://www.tribuneindia.com/news/india/trai-harder-telecom-regulator-tightens-norms-to-curb-spamming/</w:t>
              </w:r>
            </w:hyperlink>
          </w:p>
          <w:p>
            <w:pPr>
              <w:spacing w:after="0" w:line="240" w:lineRule="auto"/>
              <w:rPr>
                <w:sz w:val="18"/>
                <w:szCs w:val="18"/>
              </w:rPr>
            </w:pPr>
            <w:hyperlink r:id="rId109" w:history="1">
              <w:r>
                <w:rPr>
                  <w:rStyle w:val="Hyperlink"/>
                  <w:color w:val="0563C1"/>
                  <w:u w:val="single"/>
                  <w:sz w:val="18"/>
                  <w:szCs w:val="18"/>
                </w:rPr>
                <w:t xml:space="preserve">https://www.trai.gov.in/consultation-draft-telecom-commercial-communications-customer-preference-third-amendment</w:t>
              </w:r>
            </w:hyperlink>
          </w:p>
        </w:tc>
      </w:tr>
      <w:tr w:rsidR="00A34EE6" w:rsidRPr="00843C0F" w14:paraId="76FA2063" w14:textId="77777777" w:rsidTr="0046402C">
        <w:tc>
          <w:tcPr>
            <w:tcW w:w="1364" w:type="dxa"/>
          </w:tcPr>
          <w:p w14:paraId="0A3E3C9E" w14:textId="77777777" w:rsidR="00A34EE6" w:rsidRPr="00843C0F" w:rsidRDefault="00000000">
            <w:pPr>
              <w:rPr>
                <w:sz w:val="18"/>
                <w:szCs w:val="18"/>
              </w:rPr>
            </w:pPr>
            <w:r w:rsidRPr="00843C0F">
              <w:rPr>
                <w:sz w:val="18"/>
                <w:szCs w:val="18"/>
              </w:rPr>
              <w:t>VoIP and OTT Voice Services Regulation</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77A3E580" w14:textId="77777777" w:rsidTr="0046402C">
        <w:tc>
          <w:tcPr>
            <w:tcW w:w="1364" w:type="dxa"/>
          </w:tcPr>
          <w:p w14:paraId="74B96D9F" w14:textId="77777777" w:rsidR="00A34EE6" w:rsidRPr="00843C0F" w:rsidRDefault="00000000">
            <w:pPr>
              <w:rPr>
                <w:sz w:val="18"/>
                <w:szCs w:val="18"/>
              </w:rPr>
            </w:pPr>
            <w:r w:rsidRPr="00843C0F">
              <w:rPr>
                <w:sz w:val="18"/>
                <w:szCs w:val="18"/>
              </w:rPr>
              <w:t>Unified Communications (UCaaS/CPaaS)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b/>
                <w:bCs/>
                <w:sz w:val="18"/>
                <w:szCs w:val="18"/>
              </w:rPr>
              <w:sym w:font="Wingdings" w:char="F0FE"/>
            </w:r>
            <w:r>
              <w:rPr>
                <w:b/>
                <w:bCs/>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CPaaS and UCaaS providers and their principal entities (enterprises) that originate A2P voice or robocall traffic are covered by the new A2P declaration and anti-spam obligations in the TCCCP (Third Amendment) Regulations, 2026.</w:t>
            </w:r>
          </w:p>
          <w:p>
            <w:pPr>
              <w:pStyle w:val="ListParagraph"/>
              <w:numPr>
                <w:ilvl w:val="0"/>
                <w:numId w:val="4"/>
              </w:numPr>
              <w:spacing w:after="0" w:line="240" w:lineRule="auto"/>
              <w:ind w:left="216" w:hanging="216"/>
              <w:rPr>
                <w:b/>
                <w:bCs/>
                <w:sz w:val="18"/>
                <w:szCs w:val="18"/>
              </w:rPr>
            </w:pPr>
            <w:r>
              <w:rPr>
                <w:b/>
                <w:bCs/>
                <w:sz w:val="18"/>
                <w:szCs w:val="18"/>
              </w:rPr>
              <w:t xml:space="preserve">TRAI also provides a regulatory sandbox for trials of new AI/ML and DLT-based anti-spam solutions before national roll-out.</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w:t>
            </w:r>
          </w:p>
        </w:tc>
        <w:tc>
          <w:tcPr>
            <w:tcW w:w="2270" w:type="dxa"/>
          </w:tcPr>
          <w:p>
            <w:pPr>
              <w:spacing w:after="0" w:line="240" w:lineRule="auto"/>
              <w:rPr>
                <w:sz w:val="18"/>
                <w:szCs w:val="18"/>
              </w:rPr>
            </w:pPr>
            <w:hyperlink r:id="rId110" w:history="1">
              <w:r>
                <w:rPr>
                  <w:rStyle w:val="Hyperlink"/>
                  <w:color w:val="0563C1"/>
                  <w:u w:val="single"/>
                  <w:sz w:val="18"/>
                  <w:szCs w:val="18"/>
                </w:rPr>
                <w:t xml:space="preserve">https://www.aaplusconsultants.com/article-tcccpr-third-amendment.html</w:t>
              </w:r>
            </w:hyperlink>
          </w:p>
        </w:tc>
      </w:tr>
      <w:tr w:rsidR="00A34EE6" w:rsidRPr="00843C0F" w14:paraId="2D8F04AD" w14:textId="77777777" w:rsidTr="0046402C">
        <w:tc>
          <w:tcPr>
            <w:tcW w:w="1364" w:type="dxa"/>
          </w:tcPr>
          <w:p w14:paraId="65A8495F" w14:textId="77777777" w:rsidR="00A34EE6" w:rsidRPr="00843C0F" w:rsidRDefault="00000000">
            <w:pPr>
              <w:rPr>
                <w:sz w:val="18"/>
                <w:szCs w:val="18"/>
              </w:rPr>
            </w:pPr>
            <w:r w:rsidRPr="00843C0F">
              <w:rPr>
                <w:sz w:val="18"/>
                <w:szCs w:val="18"/>
              </w:rPr>
              <w:t>AI-Powered Voice Services and Robocall Regulations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b/>
                <w:bCs/>
                <w:sz w:val="18"/>
                <w:szCs w:val="18"/>
              </w:rPr>
              <w:sym w:font="Wingdings" w:char="F0FE"/>
            </w:r>
            <w:r>
              <w:rPr>
                <w:b/>
                <w:bCs/>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On 18 September 2026 TRAI notified the Telecom Commercial Communications Customer Preference (Third Amendment) Regulations, 2026. The draft had been issued for consultation on 13 March 2026.</w:t>
            </w:r>
          </w:p>
          <w:p>
            <w:pPr>
              <w:pStyle w:val="ListParagraph"/>
              <w:numPr>
                <w:ilvl w:val="0"/>
                <w:numId w:val="4"/>
              </w:numPr>
              <w:spacing w:after="0" w:line="240" w:lineRule="auto"/>
              <w:ind w:left="216" w:hanging="216"/>
              <w:rPr>
                <w:b/>
                <w:bCs/>
                <w:sz w:val="18"/>
                <w:szCs w:val="18"/>
              </w:rPr>
            </w:pPr>
            <w:r>
              <w:rPr>
                <w:b/>
                <w:bCs/>
                <w:sz w:val="18"/>
                <w:szCs w:val="18"/>
              </w:rPr>
              <w:t xml:space="preserve">Access providers must use AI/ML-based systems to detect suspected spam and numbers with a high probability of spam use, and must alert customers.</w:t>
            </w:r>
          </w:p>
          <w:p>
            <w:pPr>
              <w:pStyle w:val="ListParagraph"/>
              <w:numPr>
                <w:ilvl w:val="0"/>
                <w:numId w:val="4"/>
              </w:numPr>
              <w:spacing w:after="0" w:line="240" w:lineRule="auto"/>
              <w:ind w:left="216" w:hanging="216"/>
              <w:rPr>
                <w:b/>
                <w:bCs/>
                <w:sz w:val="18"/>
                <w:szCs w:val="18"/>
              </w:rPr>
            </w:pPr>
            <w:r>
              <w:rPr>
                <w:b/>
                <w:bCs/>
                <w:sz w:val="18"/>
                <w:szCs w:val="18"/>
              </w:rPr>
              <w:t xml:space="preserve">The amendment strengthens norms on automated calling, robocalls and artificial or pre-recorded voice calls, and brings in stricter controls on A2P calls.</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b/>
                <w:bCs/>
                <w:sz w:val="18"/>
                <w:szCs w:val="18"/>
              </w:rPr>
              <w:sym w:font="Wingdings" w:char="F0FE"/>
            </w:r>
            <w:r>
              <w:rPr>
                <w:b/>
                <w:bCs/>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As per timelines in the Regulations</w:t>
            </w:r>
          </w:p>
        </w:tc>
        <w:tc>
          <w:tcPr>
            <w:tcW w:w="2270" w:type="dxa"/>
          </w:tcPr>
          <w:p>
            <w:pPr>
              <w:spacing w:after="0" w:line="240" w:lineRule="auto"/>
              <w:rPr>
                <w:sz w:val="18"/>
                <w:szCs w:val="18"/>
              </w:rPr>
            </w:pPr>
            <w:hyperlink r:id="rId111" w:history="1">
              <w:r>
                <w:rPr>
                  <w:rStyle w:val="Hyperlink"/>
                  <w:color w:val="0563C1"/>
                  <w:u w:val="single"/>
                  <w:sz w:val="18"/>
                  <w:szCs w:val="18"/>
                </w:rPr>
                <w:t xml:space="preserve">https://www.tribuneindia.com/news/india/trai-harder-telecom-regulator-tightens-norms-to-curb-spamming/</w:t>
              </w:r>
            </w:hyperlink>
          </w:p>
          <w:p>
            <w:pPr>
              <w:spacing w:after="0" w:line="240" w:lineRule="auto"/>
              <w:rPr>
                <w:sz w:val="18"/>
                <w:szCs w:val="18"/>
              </w:rPr>
            </w:pPr>
            <w:hyperlink r:id="rId112" w:history="1">
              <w:r>
                <w:rPr>
                  <w:rStyle w:val="Hyperlink"/>
                  <w:color w:val="0563C1"/>
                  <w:u w:val="single"/>
                  <w:sz w:val="18"/>
                  <w:szCs w:val="18"/>
                </w:rPr>
                <w:t xml:space="preserve">https://www.policyedge.in/p/trai-draft-telecom-commercial-communications-customer-preference-third-amendment-regulations-2026</w:t>
              </w:r>
            </w:hyperlink>
          </w:p>
        </w:tc>
      </w:tr>
      <w:tr w:rsidR="00A34EE6" w:rsidRPr="00843C0F" w14:paraId="270E62C4" w14:textId="77777777" w:rsidTr="0046402C">
        <w:tc>
          <w:tcPr>
            <w:tcW w:w="1364" w:type="dxa"/>
          </w:tcPr>
          <w:p w14:paraId="62B3300C" w14:textId="77777777" w:rsidR="00A34EE6" w:rsidRPr="00843C0F" w:rsidRDefault="00000000">
            <w:pPr>
              <w:rPr>
                <w:sz w:val="18"/>
                <w:szCs w:val="18"/>
              </w:rPr>
            </w:pPr>
            <w:r w:rsidRPr="00843C0F">
              <w:rPr>
                <w:sz w:val="18"/>
                <w:szCs w:val="18"/>
              </w:rPr>
              <w:t>WebRTC and Cloud-Based Voice Platforms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4F5B724C" w14:textId="77777777" w:rsidTr="0046402C">
        <w:tc>
          <w:tcPr>
            <w:tcW w:w="1364" w:type="dxa"/>
          </w:tcPr>
          <w:p w14:paraId="6DEFB5D1" w14:textId="77777777" w:rsidR="00A34EE6" w:rsidRPr="00843C0F" w:rsidRDefault="00000000">
            <w:pPr>
              <w:rPr>
                <w:sz w:val="18"/>
                <w:szCs w:val="18"/>
              </w:rPr>
            </w:pPr>
            <w:r w:rsidRPr="00843C0F">
              <w:rPr>
                <w:sz w:val="18"/>
                <w:szCs w:val="18"/>
              </w:rPr>
              <w:t>Voice over Wi-Fi (VoWiFi) and Voice over LTE (VoLTE) Compliance</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75EE7D1F" w14:textId="77777777" w:rsidTr="0046402C">
        <w:tc>
          <w:tcPr>
            <w:tcW w:w="1364" w:type="dxa"/>
          </w:tcPr>
          <w:p w14:paraId="023CB131" w14:textId="77777777" w:rsidR="00A34EE6" w:rsidRPr="00843C0F" w:rsidRDefault="00000000">
            <w:pPr>
              <w:rPr>
                <w:sz w:val="18"/>
                <w:szCs w:val="18"/>
              </w:rPr>
            </w:pPr>
            <w:r w:rsidRPr="00843C0F">
              <w:rPr>
                <w:sz w:val="18"/>
                <w:szCs w:val="18"/>
              </w:rPr>
              <w:lastRenderedPageBreak/>
              <w:t>Lawful Interception and Surveillance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458112B9" w14:textId="77777777" w:rsidTr="0046402C">
        <w:tc>
          <w:tcPr>
            <w:tcW w:w="1364" w:type="dxa"/>
          </w:tcPr>
          <w:p w14:paraId="5943179B" w14:textId="77777777" w:rsidR="00A34EE6" w:rsidRPr="00843C0F" w:rsidRDefault="00000000">
            <w:pPr>
              <w:rPr>
                <w:sz w:val="18"/>
                <w:szCs w:val="18"/>
              </w:rPr>
            </w:pPr>
            <w:r w:rsidRPr="00843C0F">
              <w:rPr>
                <w:sz w:val="18"/>
                <w:szCs w:val="18"/>
              </w:rPr>
              <w:t>Data Privacy and Caller Data Protection</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103017D9" w14:textId="77777777" w:rsidTr="0046402C">
        <w:tc>
          <w:tcPr>
            <w:tcW w:w="1364" w:type="dxa"/>
          </w:tcPr>
          <w:p w14:paraId="03B815EF" w14:textId="77777777" w:rsidR="00A34EE6" w:rsidRPr="00843C0F" w:rsidRDefault="00000000">
            <w:pPr>
              <w:rPr>
                <w:sz w:val="18"/>
                <w:szCs w:val="18"/>
              </w:rPr>
            </w:pPr>
            <w:r w:rsidRPr="00843C0F">
              <w:rPr>
                <w:sz w:val="18"/>
                <w:szCs w:val="18"/>
              </w:rPr>
              <w:t>Cybersecurity Obligations for Voice Networks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A34EE6" w:rsidRPr="00843C0F" w14:paraId="4869AC18" w14:textId="77777777" w:rsidTr="0046402C">
        <w:tc>
          <w:tcPr>
            <w:tcW w:w="1364" w:type="dxa"/>
          </w:tcPr>
          <w:p w14:paraId="200FA1EC" w14:textId="77777777" w:rsidR="00A34EE6" w:rsidRPr="00843C0F" w:rsidRDefault="00000000">
            <w:pPr>
              <w:rPr>
                <w:sz w:val="18"/>
                <w:szCs w:val="18"/>
              </w:rPr>
            </w:pPr>
            <w:r w:rsidRPr="00843C0F">
              <w:rPr>
                <w:sz w:val="18"/>
                <w:szCs w:val="18"/>
              </w:rPr>
              <w:t>Spectrum and Frequency Allocation for Voice Services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b/>
                <w:bCs/>
                <w:sz w:val="18"/>
                <w:szCs w:val="18"/>
              </w:rPr>
              <w:sym w:font="Wingdings" w:char="F0FE"/>
            </w:r>
            <w:r>
              <w:rPr>
                <w:b/>
                <w:bCs/>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b/>
                <w:bCs/>
                <w:sz w:val="18"/>
                <w:szCs w:val="18"/>
              </w:rPr>
              <w:sym w:font="Wingdings" w:char="F0FE"/>
            </w:r>
            <w:r>
              <w:rPr>
                <w:b/>
                <w:bCs/>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The Digital Communications Commission (DCC), the top decision-making body of DoT, approved most TRAI recommendations on satellite communication spectrum. The meeting was held on 3 September 2026 and the decision was announced on 8 September 2026.</w:t>
            </w:r>
          </w:p>
          <w:p>
            <w:pPr>
              <w:pStyle w:val="ListParagraph"/>
              <w:numPr>
                <w:ilvl w:val="0"/>
                <w:numId w:val="4"/>
              </w:numPr>
              <w:spacing w:after="0" w:line="240" w:lineRule="auto"/>
              <w:ind w:left="216" w:hanging="216"/>
              <w:rPr>
                <w:b/>
                <w:bCs/>
                <w:sz w:val="18"/>
                <w:szCs w:val="18"/>
              </w:rPr>
            </w:pPr>
            <w:r>
              <w:rPr>
                <w:b/>
                <w:bCs/>
                <w:sz w:val="18"/>
                <w:szCs w:val="18"/>
              </w:rPr>
              <w:t xml:space="preserve">Satellite spectrum will be assigned administratively (not by auction) for 5 years, with a possible 2-year extension. The spectrum usage charge is 5% of AGR, reduced to 4% in rural and remote areas.</w:t>
            </w:r>
          </w:p>
          <w:p>
            <w:pPr>
              <w:pStyle w:val="ListParagraph"/>
              <w:numPr>
                <w:ilvl w:val="0"/>
                <w:numId w:val="4"/>
              </w:numPr>
              <w:spacing w:after="0" w:line="240" w:lineRule="auto"/>
              <w:ind w:left="216" w:hanging="216"/>
              <w:rPr>
                <w:b/>
                <w:bCs/>
                <w:sz w:val="18"/>
                <w:szCs w:val="18"/>
              </w:rPr>
            </w:pPr>
            <w:r>
              <w:rPr>
                <w:b/>
                <w:bCs/>
                <w:sz w:val="18"/>
                <w:szCs w:val="18"/>
              </w:rPr>
              <w:t xml:space="preserve">The decision clears the way for Starlink, Eutelsat OneWeb and Jio Satellite to launch satellite broadband services. Draft rules also bring in mandatory security clearance for consumer satellite broadband and satellite phone services.</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Subject to Union Cabinet approval</w:t>
            </w:r>
          </w:p>
        </w:tc>
        <w:tc>
          <w:tcPr>
            <w:tcW w:w="2270" w:type="dxa"/>
          </w:tcPr>
          <w:p>
            <w:pPr>
              <w:spacing w:after="0" w:line="240" w:lineRule="auto"/>
              <w:rPr>
                <w:sz w:val="18"/>
                <w:szCs w:val="18"/>
              </w:rPr>
            </w:pPr>
            <w:hyperlink r:id="rId113" w:history="1">
              <w:r>
                <w:rPr>
                  <w:rStyle w:val="Hyperlink"/>
                  <w:color w:val="0563C1"/>
                  <w:u w:val="single"/>
                  <w:sz w:val="18"/>
                  <w:szCs w:val="18"/>
                </w:rPr>
                <w:t xml:space="preserve">https://www.business-standard.com/industry/news/trai-clears-the-decks-for-satellite-broadband-services-in-india-126090801317_1.html</w:t>
              </w:r>
            </w:hyperlink>
          </w:p>
          <w:p>
            <w:pPr>
              <w:spacing w:after="0" w:line="240" w:lineRule="auto"/>
              <w:rPr>
                <w:sz w:val="18"/>
                <w:szCs w:val="18"/>
              </w:rPr>
            </w:pPr>
            <w:hyperlink r:id="rId114" w:history="1">
              <w:r>
                <w:rPr>
                  <w:rStyle w:val="Hyperlink"/>
                  <w:color w:val="0563C1"/>
                  <w:u w:val="single"/>
                  <w:sz w:val="18"/>
                  <w:szCs w:val="18"/>
                </w:rPr>
                <w:t xml:space="preserve">https://www.medianama.com/2026/09/223-starlink-oneweb-jio-dcc-spectrum-approval/</w:t>
              </w:r>
            </w:hyperlink>
          </w:p>
          <w:p>
            <w:pPr>
              <w:spacing w:after="0" w:line="240" w:lineRule="auto"/>
              <w:rPr>
                <w:sz w:val="18"/>
                <w:szCs w:val="18"/>
              </w:rPr>
            </w:pPr>
            <w:hyperlink r:id="rId115" w:history="1">
              <w:r>
                <w:rPr>
                  <w:rStyle w:val="Hyperlink"/>
                  <w:color w:val="0563C1"/>
                  <w:u w:val="single"/>
                  <w:sz w:val="18"/>
                  <w:szCs w:val="18"/>
                </w:rPr>
                <w:t xml:space="preserve">https://www.etvbharat.com/en/technology/digital-communications-commission-approves-trai-recommendations-on-satcom-spectrum-enn26090806612</w:t>
              </w:r>
            </w:hyperlink>
          </w:p>
        </w:tc>
      </w:tr>
      <w:tr w:rsidR="00E57C6F" w:rsidRPr="00843C0F" w14:paraId="6B6B2756" w14:textId="77777777" w:rsidTr="0046402C">
        <w:tc>
          <w:tcPr>
            <w:tcW w:w="1364" w:type="dxa"/>
          </w:tcPr>
          <w:p w14:paraId="18FBF30E" w14:textId="5496D0D7" w:rsidR="00E57C6F" w:rsidRPr="00843C0F" w:rsidRDefault="00E57C6F" w:rsidP="00E57C6F">
            <w:pPr>
              <w:rPr>
                <w:sz w:val="18"/>
                <w:szCs w:val="18"/>
              </w:rPr>
            </w:pPr>
            <w:r w:rsidRPr="00843C0F">
              <w:rPr>
                <w:sz w:val="18"/>
                <w:szCs w:val="18"/>
              </w:rPr>
              <w:t>Internet Telephony and numbering Series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E57C6F" w:rsidRPr="00843C0F" w14:paraId="3012CD0F" w14:textId="77777777" w:rsidTr="0046402C">
        <w:tc>
          <w:tcPr>
            <w:tcW w:w="1364" w:type="dxa"/>
          </w:tcPr>
          <w:p w14:paraId="08D103E2" w14:textId="77777777" w:rsidR="00E57C6F" w:rsidRPr="00843C0F" w:rsidRDefault="00E57C6F" w:rsidP="00E57C6F">
            <w:pPr>
              <w:rPr>
                <w:sz w:val="18"/>
                <w:szCs w:val="18"/>
              </w:rPr>
            </w:pPr>
            <w:r w:rsidRPr="00843C0F">
              <w:rPr>
                <w:sz w:val="18"/>
                <w:szCs w:val="18"/>
              </w:rPr>
              <w:t xml:space="preserve">NRA Periodic Compliance </w:t>
            </w:r>
            <w:r w:rsidRPr="00843C0F">
              <w:rPr>
                <w:sz w:val="18"/>
                <w:szCs w:val="18"/>
              </w:rPr>
              <w:lastRenderedPageBreak/>
              <w:t>Reporting Requirements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sz w:val="18"/>
                <w:szCs w:val="18"/>
              </w:rPr>
              <w:sym w:font="Wingdings" w:char="F070"/>
            </w:r>
            <w:r>
              <w:rPr>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spacing w:after="0" w:line="240" w:lineRule="auto"/>
              <w:jc w:val="center"/>
              <w:rPr>
                <w:b/>
                <w:bCs/>
                <w:sz w:val="18"/>
                <w:szCs w:val="18"/>
              </w:rPr>
            </w:pPr>
            <w:r>
              <w:rPr>
                <w:b/>
                <w:bCs/>
                <w:sz w:val="18"/>
                <w:szCs w:val="18"/>
              </w:rPr>
              <w:t xml:space="preserve">“NO UPDATED INFORMATION IS AVAILABLE, INFORMATION IS SAME AS EARLIER”</w:t>
            </w:r>
          </w:p>
        </w:tc>
        <w:tc>
          <w:tcPr>
            <w:tcW w:w="2349" w:type="dxa"/>
          </w:tcPr>
          <w:p>
            <w:pPr>
              <w:spacing w:after="0" w:line="240" w:lineRule="auto"/>
              <w:rPr>
                <w:sz w:val="18"/>
                <w:szCs w:val="18"/>
              </w:rPr>
            </w:pPr>
            <w:r>
              <w:rPr>
                <w:sz w:val="18"/>
                <w:szCs w:val="18"/>
              </w:rPr>
              <w:sym w:font="Wingdings" w:char="F070"/>
            </w:r>
            <w:r>
              <w:rPr>
                <w:sz w:val="18"/>
                <w:szCs w:val="18"/>
              </w:rPr>
              <w:t xml:space="preserve">Website</w:t>
            </w:r>
          </w:p>
          <w:p>
            <w:pPr>
              <w:spacing w:after="0" w:line="240" w:lineRule="auto"/>
              <w:rPr>
                <w:sz w:val="18"/>
                <w:szCs w:val="18"/>
              </w:rPr>
            </w:pPr>
            <w:r>
              <w:rPr>
                <w:sz w:val="18"/>
                <w:szCs w:val="18"/>
              </w:rPr>
              <w:sym w:font="Wingdings" w:char="F070"/>
            </w:r>
            <w:r>
              <w:rPr>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sz w:val="18"/>
                <w:szCs w:val="18"/>
              </w:rPr>
              <w:sym w:font="Wingdings" w:char="F070"/>
            </w:r>
            <w:r>
              <w:rPr>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N/A</w:t>
            </w:r>
          </w:p>
        </w:tc>
        <w:tc>
          <w:tcPr>
            <w:tcW w:w="1691" w:type="dxa"/>
          </w:tcPr>
          <w:p>
            <w:pPr>
              <w:spacing w:after="0" w:line="240" w:lineRule="auto"/>
              <w:jc w:val="center"/>
              <w:rPr>
                <w:sz w:val="18"/>
                <w:szCs w:val="18"/>
              </w:rPr>
            </w:pPr>
            <w:r>
              <w:rPr>
                <w:sz w:val="18"/>
                <w:szCs w:val="18"/>
              </w:rPr>
              <w:t xml:space="preserve">N/A</w:t>
            </w:r>
          </w:p>
        </w:tc>
        <w:tc>
          <w:tcPr>
            <w:tcW w:w="2270" w:type="dxa"/>
          </w:tcPr>
          <w:p>
            <w:pPr>
              <w:spacing w:after="0" w:line="240" w:lineRule="auto"/>
              <w:jc w:val="center"/>
              <w:rPr>
                <w:sz w:val="18"/>
                <w:szCs w:val="18"/>
              </w:rPr>
            </w:pPr>
            <w:r>
              <w:rPr>
                <w:sz w:val="18"/>
                <w:szCs w:val="18"/>
              </w:rPr>
              <w:t xml:space="preserve">N/A</w:t>
            </w:r>
          </w:p>
        </w:tc>
      </w:tr>
      <w:tr w:rsidR="00E57C6F" w:rsidRPr="00843C0F" w14:paraId="4CB6568D" w14:textId="77777777" w:rsidTr="0046402C">
        <w:tc>
          <w:tcPr>
            <w:tcW w:w="1364" w:type="dxa"/>
          </w:tcPr>
          <w:p w14:paraId="5C519236" w14:textId="46B5EB1D" w:rsidR="00E57C6F" w:rsidRPr="00843C0F" w:rsidRDefault="00E57C6F" w:rsidP="00E57C6F">
            <w:pPr>
              <w:rPr>
                <w:sz w:val="18"/>
                <w:szCs w:val="18"/>
              </w:rPr>
            </w:pPr>
            <w:r w:rsidRPr="00843C0F">
              <w:rPr>
                <w:sz w:val="18"/>
                <w:szCs w:val="18"/>
              </w:rPr>
              <w:t>Customer  Protection and Transparency Obligations</w:t>
            </w:r>
          </w:p>
        </w:tc>
        <w:tc>
          <w:tcPr>
            <w:tcW w:w="2132" w:type="dxa"/>
          </w:tcPr>
          <w:p>
            <w:pPr>
              <w:spacing w:after="0" w:line="240" w:lineRule="auto"/>
              <w:rPr>
                <w:sz w:val="18"/>
                <w:szCs w:val="18"/>
              </w:rPr>
            </w:pPr>
            <w:r>
              <w:rPr>
                <w:sz w:val="18"/>
                <w:szCs w:val="18"/>
              </w:rPr>
              <w:sym w:font="Wingdings" w:char="F070"/>
            </w:r>
            <w:r>
              <w:rPr>
                <w:sz w:val="18"/>
                <w:szCs w:val="18"/>
              </w:rPr>
              <w:t xml:space="preserve">Consultation Paper</w:t>
            </w:r>
          </w:p>
          <w:p>
            <w:pPr>
              <w:spacing w:after="0" w:line="240" w:lineRule="auto"/>
              <w:rPr>
                <w:sz w:val="18"/>
                <w:szCs w:val="18"/>
              </w:rPr>
            </w:pPr>
            <w:r>
              <w:rPr>
                <w:sz w:val="18"/>
                <w:szCs w:val="18"/>
              </w:rPr>
              <w:sym w:font="Wingdings" w:char="F070"/>
            </w:r>
            <w:r>
              <w:rPr>
                <w:sz w:val="18"/>
                <w:szCs w:val="18"/>
              </w:rPr>
              <w:t xml:space="preserve">Initial Talks</w:t>
            </w:r>
          </w:p>
          <w:p>
            <w:pPr>
              <w:spacing w:after="0" w:line="240" w:lineRule="auto"/>
              <w:rPr>
                <w:sz w:val="18"/>
                <w:szCs w:val="18"/>
              </w:rPr>
            </w:pPr>
            <w:r>
              <w:rPr>
                <w:sz w:val="18"/>
                <w:szCs w:val="18"/>
              </w:rPr>
              <w:sym w:font="Wingdings" w:char="F070"/>
            </w:r>
            <w:r>
              <w:rPr>
                <w:sz w:val="18"/>
                <w:szCs w:val="18"/>
              </w:rPr>
              <w:t xml:space="preserve">Policy Document</w:t>
            </w:r>
          </w:p>
          <w:p>
            <w:pPr>
              <w:spacing w:after="0" w:line="240" w:lineRule="auto"/>
              <w:rPr>
                <w:sz w:val="18"/>
                <w:szCs w:val="18"/>
              </w:rPr>
            </w:pPr>
            <w:r>
              <w:rPr>
                <w:b/>
                <w:bCs/>
                <w:sz w:val="18"/>
                <w:szCs w:val="18"/>
              </w:rPr>
              <w:sym w:font="Wingdings" w:char="F0FE"/>
            </w:r>
            <w:r>
              <w:rPr>
                <w:b/>
                <w:bCs/>
                <w:sz w:val="18"/>
                <w:szCs w:val="18"/>
              </w:rPr>
              <w:t xml:space="preserve">Regulation/Directives</w:t>
            </w:r>
          </w:p>
          <w:p>
            <w:pPr>
              <w:spacing w:after="0" w:line="240" w:lineRule="auto"/>
              <w:rPr>
                <w:sz w:val="18"/>
                <w:szCs w:val="18"/>
              </w:rPr>
            </w:pPr>
            <w:r>
              <w:rPr>
                <w:sz w:val="18"/>
                <w:szCs w:val="18"/>
              </w:rPr>
              <w:sym w:font="Wingdings" w:char="F070"/>
            </w:r>
            <w:r>
              <w:rPr>
                <w:sz w:val="18"/>
                <w:szCs w:val="18"/>
              </w:rPr>
              <w:t xml:space="preserve">Recommendation of Regulator (NRA)</w:t>
            </w:r>
          </w:p>
          <w:p>
            <w:pPr>
              <w:spacing w:after="0" w:line="240" w:lineRule="auto"/>
              <w:rPr>
                <w:sz w:val="18"/>
                <w:szCs w:val="18"/>
              </w:rPr>
            </w:pPr>
            <w:r>
              <w:rPr>
                <w:sz w:val="18"/>
                <w:szCs w:val="18"/>
              </w:rPr>
              <w:sym w:font="Wingdings" w:char="F070"/>
            </w:r>
            <w:r>
              <w:rPr>
                <w:sz w:val="18"/>
                <w:szCs w:val="18"/>
              </w:rPr>
              <w:t xml:space="preserve">Court Orders</w:t>
            </w:r>
          </w:p>
          <w:p>
            <w:pPr>
              <w:spacing w:after="0" w:line="240" w:lineRule="auto"/>
              <w:rPr>
                <w:sz w:val="18"/>
                <w:szCs w:val="18"/>
              </w:rPr>
            </w:pPr>
            <w:r>
              <w:rPr>
                <w:sz w:val="18"/>
                <w:szCs w:val="18"/>
              </w:rPr>
              <w:sym w:font="Wingdings" w:char="F070"/>
            </w:r>
            <w:r>
              <w:rPr>
                <w:sz w:val="18"/>
                <w:szCs w:val="18"/>
              </w:rPr>
              <w:t xml:space="preserve">MOU between Operator</w:t>
            </w:r>
          </w:p>
          <w:p>
            <w:pPr>
              <w:spacing w:after="0" w:line="240" w:lineRule="auto"/>
              <w:rPr>
                <w:sz w:val="18"/>
                <w:szCs w:val="18"/>
              </w:rPr>
            </w:pPr>
            <w:r>
              <w:rPr>
                <w:sz w:val="18"/>
                <w:szCs w:val="18"/>
              </w:rPr>
              <w:sym w:font="Wingdings" w:char="F070"/>
            </w:r>
            <w:r>
              <w:rPr>
                <w:sz w:val="18"/>
                <w:szCs w:val="18"/>
              </w:rPr>
              <w:t xml:space="preserve">NRA Compliance Notice</w:t>
            </w:r>
          </w:p>
          <w:p>
            <w:pPr>
              <w:spacing w:after="0" w:line="240" w:lineRule="auto"/>
              <w:rPr>
                <w:sz w:val="18"/>
                <w:szCs w:val="18"/>
              </w:rPr>
            </w:pPr>
            <w:r>
              <w:rPr>
                <w:sz w:val="18"/>
                <w:szCs w:val="18"/>
              </w:rPr>
              <w:sym w:font="Wingdings" w:char="F070"/>
            </w:r>
            <w:r>
              <w:rPr>
                <w:sz w:val="18"/>
                <w:szCs w:val="18"/>
              </w:rPr>
              <w:t xml:space="preserve">Licensing Amendment</w:t>
            </w:r>
          </w:p>
          <w:p>
            <w:pPr>
              <w:spacing w:after="0" w:line="240" w:lineRule="auto"/>
              <w:rPr>
                <w:sz w:val="18"/>
                <w:szCs w:val="18"/>
              </w:rPr>
            </w:pPr>
            <w:r>
              <w:rPr>
                <w:sz w:val="18"/>
                <w:szCs w:val="18"/>
              </w:rPr>
              <w:sym w:font="Wingdings" w:char="F070"/>
            </w:r>
            <w:r>
              <w:rPr>
                <w:sz w:val="18"/>
                <w:szCs w:val="18"/>
              </w:rPr>
              <w:t xml:space="preserve">Others</w:t>
            </w:r>
          </w:p>
        </w:tc>
        <w:tc>
          <w:tcPr>
            <w:tcW w:w="3222" w:type="dxa"/>
          </w:tcPr>
          <w:p>
            <w:pPr>
              <w:pStyle w:val="ListParagraph"/>
              <w:numPr>
                <w:ilvl w:val="0"/>
                <w:numId w:val="4"/>
              </w:numPr>
              <w:spacing w:after="0" w:line="240" w:lineRule="auto"/>
              <w:ind w:left="216" w:hanging="216"/>
              <w:rPr>
                <w:b/>
                <w:bCs/>
                <w:sz w:val="18"/>
                <w:szCs w:val="18"/>
              </w:rPr>
            </w:pPr>
            <w:r>
              <w:rPr>
                <w:b/>
                <w:bCs/>
                <w:sz w:val="18"/>
                <w:szCs w:val="18"/>
              </w:rPr>
              <w:t xml:space="preserve">On 22 September 2026 TRAI notified the Telecom Consumer Protection (Thirteenth Amendment) Regulations, 2026.</w:t>
            </w:r>
          </w:p>
          <w:p>
            <w:pPr>
              <w:pStyle w:val="ListParagraph"/>
              <w:numPr>
                <w:ilvl w:val="0"/>
                <w:numId w:val="4"/>
              </w:numPr>
              <w:spacing w:after="0" w:line="240" w:lineRule="auto"/>
              <w:ind w:left="216" w:hanging="216"/>
              <w:rPr>
                <w:b/>
                <w:bCs/>
                <w:sz w:val="18"/>
                <w:szCs w:val="18"/>
              </w:rPr>
            </w:pPr>
            <w:r>
              <w:rPr>
                <w:b/>
                <w:bCs/>
                <w:sz w:val="18"/>
                <w:szCs w:val="18"/>
              </w:rPr>
              <w:t xml:space="preserve">Access providers must offer voice-and-SMS-only Special Tariff Vouchers (STVs) with validity of 30 days or less, and must allow more flexible renewal. This gives low-income and feature-phone users affordable options that do not include data.</w:t>
            </w:r>
          </w:p>
          <w:p>
            <w:pPr>
              <w:pStyle w:val="ListParagraph"/>
              <w:numPr>
                <w:ilvl w:val="0"/>
                <w:numId w:val="4"/>
              </w:numPr>
              <w:spacing w:after="0" w:line="240" w:lineRule="auto"/>
              <w:ind w:left="216" w:hanging="216"/>
              <w:rPr>
                <w:b/>
                <w:bCs/>
                <w:sz w:val="18"/>
                <w:szCs w:val="18"/>
              </w:rPr>
            </w:pPr>
            <w:r>
              <w:rPr>
                <w:b/>
                <w:bCs/>
                <w:sz w:val="18"/>
                <w:szCs w:val="18"/>
              </w:rPr>
              <w:t xml:space="preserve">The regulations follow a draft issued on 7 April 2026, 1,132 stakeholder responses and an Open House Discussion on 15 June 2026.</w:t>
            </w:r>
          </w:p>
        </w:tc>
        <w:tc>
          <w:tcPr>
            <w:tcW w:w="2349" w:type="dxa"/>
          </w:tcPr>
          <w:p>
            <w:pPr>
              <w:spacing w:after="0" w:line="240" w:lineRule="auto"/>
              <w:rPr>
                <w:sz w:val="18"/>
                <w:szCs w:val="18"/>
              </w:rPr>
            </w:pPr>
            <w:r>
              <w:rPr>
                <w:b/>
                <w:bCs/>
                <w:sz w:val="18"/>
                <w:szCs w:val="18"/>
              </w:rPr>
              <w:sym w:font="Wingdings" w:char="F0FE"/>
            </w:r>
            <w:r>
              <w:rPr>
                <w:b/>
                <w:bCs/>
                <w:sz w:val="18"/>
                <w:szCs w:val="18"/>
              </w:rPr>
              <w:t xml:space="preserve">Website</w:t>
            </w:r>
          </w:p>
          <w:p>
            <w:pPr>
              <w:spacing w:after="0" w:line="240" w:lineRule="auto"/>
              <w:rPr>
                <w:sz w:val="18"/>
                <w:szCs w:val="18"/>
              </w:rPr>
            </w:pPr>
            <w:r>
              <w:rPr>
                <w:b/>
                <w:bCs/>
                <w:sz w:val="18"/>
                <w:szCs w:val="18"/>
              </w:rPr>
              <w:sym w:font="Wingdings" w:char="F0FE"/>
            </w:r>
            <w:r>
              <w:rPr>
                <w:b/>
                <w:bCs/>
                <w:sz w:val="18"/>
                <w:szCs w:val="18"/>
              </w:rPr>
              <w:t xml:space="preserve">Regulator/ITU</w:t>
            </w:r>
          </w:p>
          <w:p>
            <w:pPr>
              <w:spacing w:after="0" w:line="240" w:lineRule="auto"/>
              <w:rPr>
                <w:sz w:val="18"/>
                <w:szCs w:val="18"/>
              </w:rPr>
            </w:pPr>
            <w:r>
              <w:rPr>
                <w:sz w:val="18"/>
                <w:szCs w:val="18"/>
              </w:rPr>
              <w:sym w:font="Wingdings" w:char="F070"/>
            </w:r>
            <w:r>
              <w:rPr>
                <w:sz w:val="18"/>
                <w:szCs w:val="18"/>
              </w:rPr>
              <w:t xml:space="preserve">Industry Publications</w:t>
            </w:r>
          </w:p>
          <w:p>
            <w:pPr>
              <w:spacing w:after="0" w:line="240" w:lineRule="auto"/>
              <w:rPr>
                <w:sz w:val="18"/>
                <w:szCs w:val="18"/>
              </w:rPr>
            </w:pPr>
            <w:r>
              <w:rPr>
                <w:b/>
                <w:bCs/>
                <w:sz w:val="18"/>
                <w:szCs w:val="18"/>
              </w:rPr>
              <w:sym w:font="Wingdings" w:char="F0FE"/>
            </w:r>
            <w:r>
              <w:rPr>
                <w:b/>
                <w:bCs/>
                <w:sz w:val="18"/>
                <w:szCs w:val="18"/>
              </w:rPr>
              <w:t xml:space="preserve">News Media</w:t>
            </w:r>
          </w:p>
          <w:p>
            <w:pPr>
              <w:spacing w:after="0" w:line="240" w:lineRule="auto"/>
              <w:rPr>
                <w:sz w:val="18"/>
                <w:szCs w:val="18"/>
              </w:rPr>
            </w:pPr>
            <w:r>
              <w:rPr>
                <w:sz w:val="18"/>
                <w:szCs w:val="18"/>
              </w:rPr>
              <w:sym w:font="Wingdings" w:char="F070"/>
            </w:r>
            <w:r>
              <w:rPr>
                <w:sz w:val="18"/>
                <w:szCs w:val="18"/>
              </w:rPr>
              <w:t xml:space="preserve">Other Operators</w:t>
            </w:r>
          </w:p>
          <w:p>
            <w:pPr>
              <w:spacing w:after="0" w:line="240" w:lineRule="auto"/>
              <w:rPr>
                <w:sz w:val="18"/>
                <w:szCs w:val="18"/>
              </w:rPr>
            </w:pPr>
            <w:r>
              <w:rPr>
                <w:sz w:val="18"/>
                <w:szCs w:val="18"/>
              </w:rPr>
              <w:sym w:font="Wingdings" w:char="F070"/>
            </w:r>
            <w:r>
              <w:rPr>
                <w:sz w:val="18"/>
                <w:szCs w:val="18"/>
              </w:rPr>
              <w:t xml:space="preserve">Online Portals/Databases</w:t>
            </w:r>
          </w:p>
          <w:p>
            <w:pPr>
              <w:spacing w:after="0" w:line="240" w:lineRule="auto"/>
              <w:rPr>
                <w:sz w:val="18"/>
                <w:szCs w:val="18"/>
              </w:rPr>
            </w:pPr>
            <w:r>
              <w:rPr>
                <w:sz w:val="18"/>
                <w:szCs w:val="18"/>
              </w:rPr>
              <w:sym w:font="Wingdings" w:char="F070"/>
            </w:r>
            <w:r>
              <w:rPr>
                <w:sz w:val="18"/>
                <w:szCs w:val="18"/>
              </w:rPr>
              <w:t xml:space="preserve">Other source</w:t>
            </w:r>
          </w:p>
        </w:tc>
        <w:tc>
          <w:tcPr>
            <w:tcW w:w="1120" w:type="dxa"/>
          </w:tcPr>
          <w:p>
            <w:pPr>
              <w:spacing w:after="0" w:line="240" w:lineRule="auto"/>
              <w:jc w:val="center"/>
              <w:rPr>
                <w:b/>
                <w:bCs/>
                <w:sz w:val="18"/>
                <w:szCs w:val="18"/>
              </w:rPr>
            </w:pPr>
            <w:r>
              <w:rPr>
                <w:b/>
                <w:bCs/>
                <w:sz w:val="18"/>
                <w:szCs w:val="18"/>
              </w:rPr>
              <w:t xml:space="preserve">SEPTEMBER/2026</w:t>
            </w:r>
          </w:p>
        </w:tc>
        <w:tc>
          <w:tcPr>
            <w:tcW w:w="1691" w:type="dxa"/>
          </w:tcPr>
          <w:p>
            <w:pPr>
              <w:spacing w:after="0" w:line="240" w:lineRule="auto"/>
              <w:jc w:val="center"/>
              <w:rPr>
                <w:sz w:val="18"/>
                <w:szCs w:val="18"/>
              </w:rPr>
            </w:pPr>
            <w:r>
              <w:rPr>
                <w:b/>
                <w:bCs/>
                <w:sz w:val="18"/>
                <w:szCs w:val="18"/>
              </w:rPr>
              <w:t xml:space="preserve">As per timelines in the Regulations</w:t>
            </w:r>
          </w:p>
        </w:tc>
        <w:tc>
          <w:tcPr>
            <w:tcW w:w="2270" w:type="dxa"/>
          </w:tcPr>
          <w:p>
            <w:pPr>
              <w:spacing w:after="0" w:line="240" w:lineRule="auto"/>
              <w:rPr>
                <w:sz w:val="18"/>
                <w:szCs w:val="18"/>
              </w:rPr>
            </w:pPr>
            <w:hyperlink r:id="rId116" w:history="1">
              <w:r>
                <w:rPr>
                  <w:rStyle w:val="Hyperlink"/>
                  <w:color w:val="0563C1"/>
                  <w:u w:val="single"/>
                  <w:sz w:val="18"/>
                  <w:szCs w:val="18"/>
                </w:rPr>
                <w:t xml:space="preserve">https://telecomtalk.info/trai-mandates-shorter-validity-voice-sms-stvs/1012115/</w:t>
              </w:r>
            </w:hyperlink>
          </w:p>
          <w:p>
            <w:pPr>
              <w:spacing w:after="0" w:line="240" w:lineRule="auto"/>
              <w:rPr>
                <w:sz w:val="18"/>
                <w:szCs w:val="18"/>
              </w:rPr>
            </w:pPr>
            <w:hyperlink r:id="rId117" w:history="1">
              <w:r>
                <w:rPr>
                  <w:rStyle w:val="Hyperlink"/>
                  <w:color w:val="0563C1"/>
                  <w:u w:val="single"/>
                  <w:sz w:val="18"/>
                  <w:szCs w:val="18"/>
                </w:rPr>
                <w:t xml:space="preserve">https://www.theweek.in/news/biz-tech/2026/09/23/trai-voice-sms-plans-regulation-update-prepaid-packs-feature-phones.html</w:t>
              </w:r>
            </w:hyperlink>
          </w:p>
        </w:tc>
      </w:tr>
    </w:tbl>
    <w:p w14:paraId="0A234F3E" w14:textId="77777777" w:rsidR="0060280E" w:rsidRPr="00843C0F" w:rsidRDefault="0060280E">
      <w:pPr>
        <w:rPr>
          <w:sz w:val="18"/>
          <w:szCs w:val="18"/>
        </w:rPr>
      </w:pPr>
    </w:p>
    <w:sectPr w:rsidR="0060280E" w:rsidRPr="00843C0F">
      <w:headerReference w:type="even" r:id="rId9"/>
      <w:headerReference w:type="default" r:id="rId10"/>
      <w:footerReference w:type="even" r:id="rId11"/>
      <w:footerReference w:type="default" r:id="rId12"/>
      <w:headerReference w:type="first" r:id="rId13"/>
      <w:footerReference w:type="first" r:id="rId14"/>
      <w:pgSz w:w="16838" w:h="11906"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AC72B" w14:textId="77777777" w:rsidR="00590DCA" w:rsidRDefault="00590DCA">
      <w:pPr>
        <w:spacing w:line="240" w:lineRule="auto"/>
      </w:pPr>
      <w:r>
        <w:separator/>
      </w:r>
    </w:p>
  </w:endnote>
  <w:endnote w:type="continuationSeparator" w:id="0">
    <w:p w14:paraId="7531B1C0" w14:textId="77777777" w:rsidR="00590DCA" w:rsidRDefault="00590D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Neue">
    <w:charset w:val="00"/>
    <w:family w:val="auto"/>
    <w:pitch w:val="default"/>
  </w:font>
  <w:font w:name="Helvetica 75 Bold">
    <w:altName w:val="Arial"/>
    <w:charset w:val="00"/>
    <w:family w:val="swiss"/>
    <w:pitch w:val="variable"/>
    <w:sig w:usb0="A00002AF" w:usb1="5000205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4F5EF" w14:textId="77777777" w:rsidR="00293FA2" w:rsidRDefault="00293FA2">
    <w:pPr>
      <w:pStyle w:val="Footer"/>
    </w:pPr>
    <w:r>
      <w:rPr>
        <w:noProof/>
      </w:rPr>
      <mc:AlternateContent>
        <mc:Choice Requires="wps">
          <w:drawing>
            <wp:anchor distT="0" distB="0" distL="0" distR="0" simplePos="0" relativeHeight="251659264" behindDoc="0" locked="0" layoutInCell="1" allowOverlap="1" wp14:anchorId="69C2F67F" wp14:editId="777747FD">
              <wp:simplePos x="635" y="635"/>
              <wp:positionH relativeFrom="page">
                <wp:align>center</wp:align>
              </wp:positionH>
              <wp:positionV relativeFrom="page">
                <wp:align>bottom</wp:align>
              </wp:positionV>
              <wp:extent cx="888365" cy="342900"/>
              <wp:effectExtent l="0" t="0" r="6985" b="0"/>
              <wp:wrapNone/>
              <wp:docPr id="805543510" name="Text Box 2"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42900"/>
                      </a:xfrm>
                      <a:prstGeom prst="rect">
                        <a:avLst/>
                      </a:prstGeom>
                      <a:noFill/>
                      <a:ln>
                        <a:noFill/>
                      </a:ln>
                    </wps:spPr>
                    <wps:txbx>
                      <w:txbxContent>
                        <w:p w14:paraId="45B40EA4"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9C2F67F" id="_x0000_t202" coordsize="21600,21600" o:spt="202" path="m,l,21600r21600,l21600,xe">
              <v:stroke joinstyle="miter"/>
              <v:path gradientshapeok="t" o:connecttype="rect"/>
            </v:shapetype>
            <v:shape id="Text Box 2" o:spid="_x0000_s1026" type="#_x0000_t202" alt="Orange Restricted" style="position:absolute;margin-left:0;margin-top:0;width:69.95pt;height:27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" filled="f" stroked="f">
              <v:textbox style="mso-fit-shape-to-text:t" inset="0,0,0,15pt">
                <w:txbxContent>
                  <w:p w14:paraId="45B40EA4"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F2E4F" w14:textId="77777777" w:rsidR="00293FA2" w:rsidRDefault="00293FA2">
    <w:pPr>
      <w:pStyle w:val="Footer"/>
    </w:pPr>
    <w:r>
      <w:rPr>
        <w:noProof/>
      </w:rPr>
      <mc:AlternateContent>
        <mc:Choice Requires="wps">
          <w:drawing>
            <wp:anchor distT="0" distB="0" distL="0" distR="0" simplePos="0" relativeHeight="251660288" behindDoc="0" locked="0" layoutInCell="1" allowOverlap="1" wp14:anchorId="3611BDA8" wp14:editId="61A59C89">
              <wp:simplePos x="914400" y="6934200"/>
              <wp:positionH relativeFrom="page">
                <wp:align>center</wp:align>
              </wp:positionH>
              <wp:positionV relativeFrom="page">
                <wp:align>bottom</wp:align>
              </wp:positionV>
              <wp:extent cx="888365" cy="342900"/>
              <wp:effectExtent l="0" t="0" r="6985" b="0"/>
              <wp:wrapNone/>
              <wp:docPr id="1399403990" name="Text Box 3"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42900"/>
                      </a:xfrm>
                      <a:prstGeom prst="rect">
                        <a:avLst/>
                      </a:prstGeom>
                      <a:noFill/>
                      <a:ln>
                        <a:noFill/>
                      </a:ln>
                    </wps:spPr>
                    <wps:txbx>
                      <w:txbxContent>
                        <w:p w14:paraId="226A1C98"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611BDA8" id="_x0000_t202" coordsize="21600,21600" o:spt="202" path="m,l,21600r21600,l21600,xe">
              <v:stroke joinstyle="miter"/>
              <v:path gradientshapeok="t" o:connecttype="rect"/>
            </v:shapetype>
            <v:shape id="Text Box 3" o:spid="_x0000_s1027" type="#_x0000_t202" alt="Orange Restricted" style="position:absolute;margin-left:0;margin-top:0;width:69.95pt;height:27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" filled="f" stroked="f">
              <v:textbox style="mso-fit-shape-to-text:t" inset="0,0,0,15pt">
                <w:txbxContent>
                  <w:p w14:paraId="226A1C98"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AE245" w14:textId="77777777" w:rsidR="00293FA2" w:rsidRDefault="00293FA2">
    <w:pPr>
      <w:pStyle w:val="Footer"/>
    </w:pPr>
    <w:r>
      <w:rPr>
        <w:noProof/>
      </w:rPr>
      <mc:AlternateContent>
        <mc:Choice Requires="wps">
          <w:drawing>
            <wp:anchor distT="0" distB="0" distL="0" distR="0" simplePos="0" relativeHeight="251658240" behindDoc="0" locked="0" layoutInCell="1" allowOverlap="1" wp14:anchorId="2973310D" wp14:editId="432D8E2C">
              <wp:simplePos x="635" y="635"/>
              <wp:positionH relativeFrom="page">
                <wp:align>center</wp:align>
              </wp:positionH>
              <wp:positionV relativeFrom="page">
                <wp:align>bottom</wp:align>
              </wp:positionV>
              <wp:extent cx="888365" cy="342900"/>
              <wp:effectExtent l="0" t="0" r="6985" b="0"/>
              <wp:wrapNone/>
              <wp:docPr id="1824216904" name="Text Box 1"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42900"/>
                      </a:xfrm>
                      <a:prstGeom prst="rect">
                        <a:avLst/>
                      </a:prstGeom>
                      <a:noFill/>
                      <a:ln>
                        <a:noFill/>
                      </a:ln>
                    </wps:spPr>
                    <wps:txbx>
                      <w:txbxContent>
                        <w:p w14:paraId="7E812589"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73310D" id="_x0000_t202" coordsize="21600,21600" o:spt="202" path="m,l,21600r21600,l21600,xe">
              <v:stroke joinstyle="miter"/>
              <v:path gradientshapeok="t" o:connecttype="rect"/>
            </v:shapetype>
            <v:shape id="Text Box 1" o:spid="_x0000_s1028" type="#_x0000_t202" alt="Orange Restricted" style="position:absolute;margin-left:0;margin-top:0;width:69.95pt;height:27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" filled="f" stroked="f">
              <v:textbox style="mso-fit-shape-to-text:t" inset="0,0,0,15pt">
                <w:txbxContent>
                  <w:p w14:paraId="7E812589" w14:textId="77777777" w:rsidR="00293FA2" w:rsidRPr="00293FA2" w:rsidRDefault="00293FA2" w:rsidP="00293FA2">
                    <w:pPr>
                      <w:spacing w:after="0"/>
                      <w:rPr>
                        <w:rFonts w:ascii="Helvetica 75 Bold" w:eastAsia="Helvetica 75 Bold" w:hAnsi="Helvetica 75 Bold" w:cs="Helvetica 75 Bold"/>
                        <w:noProof/>
                        <w:color w:val="ED7D31"/>
                        <w:sz w:val="16"/>
                        <w:szCs w:val="16"/>
                      </w:rPr>
                    </w:pPr>
                    <w:r w:rsidRPr="00293FA2">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725B1" w14:textId="77777777" w:rsidR="00590DCA" w:rsidRDefault="00590DCA">
      <w:pPr>
        <w:spacing w:after="0"/>
      </w:pPr>
      <w:r>
        <w:separator/>
      </w:r>
    </w:p>
  </w:footnote>
  <w:footnote w:type="continuationSeparator" w:id="0">
    <w:p w14:paraId="287D6A38" w14:textId="77777777" w:rsidR="00590DCA" w:rsidRDefault="00590DC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C7F90" w14:textId="77777777" w:rsidR="00A34EE6" w:rsidRDefault="00A34E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D8ED2" w14:textId="77777777" w:rsidR="00A34EE6" w:rsidRDefault="00A34E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0FFD6" w14:textId="77777777" w:rsidR="00A34EE6" w:rsidRDefault="00A34E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C0F32"/>
    <w:multiLevelType w:val="hybridMultilevel"/>
    <w:tmpl w:val="3B440B4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26D19F1"/>
    <w:multiLevelType w:val="hybridMultilevel"/>
    <w:tmpl w:val="B6488BF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7A6E4A"/>
    <w:multiLevelType w:val="hybridMultilevel"/>
    <w:tmpl w:val="3884755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721EE4"/>
    <w:multiLevelType w:val="hybridMultilevel"/>
    <w:tmpl w:val="8B20EFF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3A516393"/>
    <w:multiLevelType w:val="multilevel"/>
    <w:tmpl w:val="3A51639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A812D37"/>
    <w:multiLevelType w:val="hybridMultilevel"/>
    <w:tmpl w:val="96EA201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61385995">
    <w:abstractNumId w:val="4"/>
  </w:num>
  <w:num w:numId="2" w16cid:durableId="71783105">
    <w:abstractNumId w:val="0"/>
  </w:num>
  <w:num w:numId="3" w16cid:durableId="1731730718">
    <w:abstractNumId w:val="5"/>
  </w:num>
  <w:num w:numId="4" w16cid:durableId="1774128365">
    <w:abstractNumId w:val="3"/>
  </w:num>
  <w:num w:numId="5" w16cid:durableId="2095667052">
    <w:abstractNumId w:val="1"/>
  </w:num>
  <w:num w:numId="6" w16cid:durableId="16643535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efaultTabStop w:val="720"/>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TC2NDO3NDMysTQwMjRU0lEKTi0uzszPAykwNqkFAIPMCcctAAAA"/>
  </w:docVars>
  <w:rsids>
    <w:rsidRoot w:val="00184F74"/>
    <w:rsid w:val="000028EA"/>
    <w:rsid w:val="00007496"/>
    <w:rsid w:val="00021952"/>
    <w:rsid w:val="00021A42"/>
    <w:rsid w:val="0002265F"/>
    <w:rsid w:val="00025B7E"/>
    <w:rsid w:val="00027DB6"/>
    <w:rsid w:val="0004056E"/>
    <w:rsid w:val="0004597E"/>
    <w:rsid w:val="00050724"/>
    <w:rsid w:val="00053BFA"/>
    <w:rsid w:val="00054093"/>
    <w:rsid w:val="00064F24"/>
    <w:rsid w:val="00071B9C"/>
    <w:rsid w:val="00074170"/>
    <w:rsid w:val="00077FE3"/>
    <w:rsid w:val="00081A6B"/>
    <w:rsid w:val="0008311C"/>
    <w:rsid w:val="00094B34"/>
    <w:rsid w:val="000A6191"/>
    <w:rsid w:val="000C62C3"/>
    <w:rsid w:val="000D1C49"/>
    <w:rsid w:val="000D74D5"/>
    <w:rsid w:val="000E778D"/>
    <w:rsid w:val="000F1F55"/>
    <w:rsid w:val="000F4116"/>
    <w:rsid w:val="000F4904"/>
    <w:rsid w:val="00102B41"/>
    <w:rsid w:val="0010528E"/>
    <w:rsid w:val="0011146F"/>
    <w:rsid w:val="00115AC1"/>
    <w:rsid w:val="00117007"/>
    <w:rsid w:val="00126B9C"/>
    <w:rsid w:val="001313F8"/>
    <w:rsid w:val="00136FFD"/>
    <w:rsid w:val="00137A58"/>
    <w:rsid w:val="00140A9C"/>
    <w:rsid w:val="00150222"/>
    <w:rsid w:val="0015167E"/>
    <w:rsid w:val="0015609C"/>
    <w:rsid w:val="00160967"/>
    <w:rsid w:val="00172291"/>
    <w:rsid w:val="0018020C"/>
    <w:rsid w:val="00184F74"/>
    <w:rsid w:val="00185221"/>
    <w:rsid w:val="00193ABE"/>
    <w:rsid w:val="001A012D"/>
    <w:rsid w:val="001A387B"/>
    <w:rsid w:val="001B0850"/>
    <w:rsid w:val="001B6CA0"/>
    <w:rsid w:val="001C111A"/>
    <w:rsid w:val="001C1E29"/>
    <w:rsid w:val="001C3548"/>
    <w:rsid w:val="001C35A4"/>
    <w:rsid w:val="001C3E18"/>
    <w:rsid w:val="001C5680"/>
    <w:rsid w:val="001D0940"/>
    <w:rsid w:val="001D7721"/>
    <w:rsid w:val="001E2A03"/>
    <w:rsid w:val="001E6016"/>
    <w:rsid w:val="001F67A5"/>
    <w:rsid w:val="001F6CBB"/>
    <w:rsid w:val="001F7CD5"/>
    <w:rsid w:val="0020110A"/>
    <w:rsid w:val="00203C6E"/>
    <w:rsid w:val="00207A1A"/>
    <w:rsid w:val="00220CF5"/>
    <w:rsid w:val="00220D56"/>
    <w:rsid w:val="002267CF"/>
    <w:rsid w:val="00231CFE"/>
    <w:rsid w:val="00232958"/>
    <w:rsid w:val="00234342"/>
    <w:rsid w:val="00235169"/>
    <w:rsid w:val="00255C13"/>
    <w:rsid w:val="0027056D"/>
    <w:rsid w:val="00272445"/>
    <w:rsid w:val="002730FF"/>
    <w:rsid w:val="002777DC"/>
    <w:rsid w:val="00293D3F"/>
    <w:rsid w:val="00293FA2"/>
    <w:rsid w:val="002940E5"/>
    <w:rsid w:val="002A3D26"/>
    <w:rsid w:val="002B39B0"/>
    <w:rsid w:val="002B5321"/>
    <w:rsid w:val="002B73EF"/>
    <w:rsid w:val="002C3936"/>
    <w:rsid w:val="002C4A79"/>
    <w:rsid w:val="002D3AE2"/>
    <w:rsid w:val="002D3D2F"/>
    <w:rsid w:val="002D5E87"/>
    <w:rsid w:val="002E41D8"/>
    <w:rsid w:val="002E77BC"/>
    <w:rsid w:val="002F1D2D"/>
    <w:rsid w:val="002F5D34"/>
    <w:rsid w:val="00302D0B"/>
    <w:rsid w:val="00311865"/>
    <w:rsid w:val="0031248F"/>
    <w:rsid w:val="00313B26"/>
    <w:rsid w:val="00317B9F"/>
    <w:rsid w:val="003201C2"/>
    <w:rsid w:val="00331BEC"/>
    <w:rsid w:val="0033308C"/>
    <w:rsid w:val="003333DE"/>
    <w:rsid w:val="00350040"/>
    <w:rsid w:val="00354E7A"/>
    <w:rsid w:val="00361B95"/>
    <w:rsid w:val="00365413"/>
    <w:rsid w:val="00373CE5"/>
    <w:rsid w:val="00373D32"/>
    <w:rsid w:val="00385B45"/>
    <w:rsid w:val="0039119A"/>
    <w:rsid w:val="003917D0"/>
    <w:rsid w:val="00395A54"/>
    <w:rsid w:val="003A0D96"/>
    <w:rsid w:val="003A4818"/>
    <w:rsid w:val="003B2F85"/>
    <w:rsid w:val="003B3D08"/>
    <w:rsid w:val="003B4748"/>
    <w:rsid w:val="003B573F"/>
    <w:rsid w:val="003C1F1B"/>
    <w:rsid w:val="003C6402"/>
    <w:rsid w:val="003C78FF"/>
    <w:rsid w:val="003E024A"/>
    <w:rsid w:val="003E0C46"/>
    <w:rsid w:val="003E1710"/>
    <w:rsid w:val="003F42D3"/>
    <w:rsid w:val="00400680"/>
    <w:rsid w:val="00403082"/>
    <w:rsid w:val="00403FF5"/>
    <w:rsid w:val="004154A4"/>
    <w:rsid w:val="004160DB"/>
    <w:rsid w:val="00417FFD"/>
    <w:rsid w:val="0042503F"/>
    <w:rsid w:val="00427B26"/>
    <w:rsid w:val="00427FF5"/>
    <w:rsid w:val="004309C2"/>
    <w:rsid w:val="00430C7B"/>
    <w:rsid w:val="0043189E"/>
    <w:rsid w:val="004342C8"/>
    <w:rsid w:val="00436780"/>
    <w:rsid w:val="00443A76"/>
    <w:rsid w:val="00445CC5"/>
    <w:rsid w:val="00450057"/>
    <w:rsid w:val="00452A5D"/>
    <w:rsid w:val="004548CF"/>
    <w:rsid w:val="004578B4"/>
    <w:rsid w:val="00457EDE"/>
    <w:rsid w:val="0046402C"/>
    <w:rsid w:val="00466A1F"/>
    <w:rsid w:val="00470798"/>
    <w:rsid w:val="004742BC"/>
    <w:rsid w:val="00486C60"/>
    <w:rsid w:val="00495419"/>
    <w:rsid w:val="0049747B"/>
    <w:rsid w:val="004A2BBE"/>
    <w:rsid w:val="004A598B"/>
    <w:rsid w:val="004B73C4"/>
    <w:rsid w:val="004C02D3"/>
    <w:rsid w:val="004C2E4E"/>
    <w:rsid w:val="004C4673"/>
    <w:rsid w:val="004C721A"/>
    <w:rsid w:val="004E4C46"/>
    <w:rsid w:val="004E6ACA"/>
    <w:rsid w:val="004F426B"/>
    <w:rsid w:val="004F54F1"/>
    <w:rsid w:val="004F79A1"/>
    <w:rsid w:val="005053B4"/>
    <w:rsid w:val="00507E79"/>
    <w:rsid w:val="00513DF8"/>
    <w:rsid w:val="005159E5"/>
    <w:rsid w:val="0051757C"/>
    <w:rsid w:val="00520741"/>
    <w:rsid w:val="005208DD"/>
    <w:rsid w:val="00520D70"/>
    <w:rsid w:val="0052376D"/>
    <w:rsid w:val="00524F74"/>
    <w:rsid w:val="00526FB1"/>
    <w:rsid w:val="0053116E"/>
    <w:rsid w:val="00531EC4"/>
    <w:rsid w:val="00543469"/>
    <w:rsid w:val="005444F8"/>
    <w:rsid w:val="005530F5"/>
    <w:rsid w:val="00553E9F"/>
    <w:rsid w:val="00556D1B"/>
    <w:rsid w:val="00561152"/>
    <w:rsid w:val="00563378"/>
    <w:rsid w:val="00565BE8"/>
    <w:rsid w:val="00566FD9"/>
    <w:rsid w:val="00567A49"/>
    <w:rsid w:val="00571322"/>
    <w:rsid w:val="00575C64"/>
    <w:rsid w:val="005763A5"/>
    <w:rsid w:val="0059096D"/>
    <w:rsid w:val="00590DCA"/>
    <w:rsid w:val="0059304D"/>
    <w:rsid w:val="00596AB4"/>
    <w:rsid w:val="005A34A1"/>
    <w:rsid w:val="005B0DA7"/>
    <w:rsid w:val="005B3213"/>
    <w:rsid w:val="005B3B62"/>
    <w:rsid w:val="005B58FC"/>
    <w:rsid w:val="005C3A00"/>
    <w:rsid w:val="005D1DBD"/>
    <w:rsid w:val="005D547D"/>
    <w:rsid w:val="005D726C"/>
    <w:rsid w:val="005E1026"/>
    <w:rsid w:val="005E16C9"/>
    <w:rsid w:val="005E25C1"/>
    <w:rsid w:val="005E33D3"/>
    <w:rsid w:val="005F11CA"/>
    <w:rsid w:val="005F3469"/>
    <w:rsid w:val="006000F8"/>
    <w:rsid w:val="00602255"/>
    <w:rsid w:val="0060280E"/>
    <w:rsid w:val="006052A2"/>
    <w:rsid w:val="00615D80"/>
    <w:rsid w:val="0062137E"/>
    <w:rsid w:val="00633EDF"/>
    <w:rsid w:val="0063559F"/>
    <w:rsid w:val="00635835"/>
    <w:rsid w:val="00637DC8"/>
    <w:rsid w:val="00644267"/>
    <w:rsid w:val="00645DA9"/>
    <w:rsid w:val="006517F9"/>
    <w:rsid w:val="00656926"/>
    <w:rsid w:val="00657C17"/>
    <w:rsid w:val="00663044"/>
    <w:rsid w:val="006655C9"/>
    <w:rsid w:val="00671834"/>
    <w:rsid w:val="0067255C"/>
    <w:rsid w:val="006751F0"/>
    <w:rsid w:val="00676BEA"/>
    <w:rsid w:val="00690F7F"/>
    <w:rsid w:val="00692800"/>
    <w:rsid w:val="006A102B"/>
    <w:rsid w:val="006A6090"/>
    <w:rsid w:val="006A7A15"/>
    <w:rsid w:val="006B1FA9"/>
    <w:rsid w:val="006C331A"/>
    <w:rsid w:val="006C5681"/>
    <w:rsid w:val="006E142A"/>
    <w:rsid w:val="006E7F7C"/>
    <w:rsid w:val="006F7672"/>
    <w:rsid w:val="006F7C2B"/>
    <w:rsid w:val="00704F3E"/>
    <w:rsid w:val="00713586"/>
    <w:rsid w:val="00720B2D"/>
    <w:rsid w:val="00726A14"/>
    <w:rsid w:val="00727DCB"/>
    <w:rsid w:val="00734E61"/>
    <w:rsid w:val="0073548F"/>
    <w:rsid w:val="007365D1"/>
    <w:rsid w:val="0075479A"/>
    <w:rsid w:val="00756E0B"/>
    <w:rsid w:val="00774360"/>
    <w:rsid w:val="00781232"/>
    <w:rsid w:val="0078408B"/>
    <w:rsid w:val="00797FA5"/>
    <w:rsid w:val="007A695D"/>
    <w:rsid w:val="007D2416"/>
    <w:rsid w:val="007D66BF"/>
    <w:rsid w:val="007D7547"/>
    <w:rsid w:val="007E07BD"/>
    <w:rsid w:val="007F68F9"/>
    <w:rsid w:val="0080640D"/>
    <w:rsid w:val="00806591"/>
    <w:rsid w:val="00812A11"/>
    <w:rsid w:val="00817329"/>
    <w:rsid w:val="00821944"/>
    <w:rsid w:val="008268C8"/>
    <w:rsid w:val="00827A97"/>
    <w:rsid w:val="00830AAF"/>
    <w:rsid w:val="00830D79"/>
    <w:rsid w:val="008333CC"/>
    <w:rsid w:val="0084113C"/>
    <w:rsid w:val="00843C0F"/>
    <w:rsid w:val="008441AD"/>
    <w:rsid w:val="00850596"/>
    <w:rsid w:val="00850BD6"/>
    <w:rsid w:val="00850F27"/>
    <w:rsid w:val="0086174D"/>
    <w:rsid w:val="00862AD9"/>
    <w:rsid w:val="00870D8B"/>
    <w:rsid w:val="00872993"/>
    <w:rsid w:val="00874F04"/>
    <w:rsid w:val="00882EE9"/>
    <w:rsid w:val="008849B9"/>
    <w:rsid w:val="00891DC4"/>
    <w:rsid w:val="00892534"/>
    <w:rsid w:val="00892E58"/>
    <w:rsid w:val="008A6D35"/>
    <w:rsid w:val="008C2365"/>
    <w:rsid w:val="008C2974"/>
    <w:rsid w:val="008D24B8"/>
    <w:rsid w:val="008E0539"/>
    <w:rsid w:val="008E526B"/>
    <w:rsid w:val="008F3112"/>
    <w:rsid w:val="008F4E57"/>
    <w:rsid w:val="00906C3E"/>
    <w:rsid w:val="00907E12"/>
    <w:rsid w:val="00911A59"/>
    <w:rsid w:val="00914E53"/>
    <w:rsid w:val="00924BEC"/>
    <w:rsid w:val="00926658"/>
    <w:rsid w:val="00935709"/>
    <w:rsid w:val="0093765D"/>
    <w:rsid w:val="0095205F"/>
    <w:rsid w:val="00964B37"/>
    <w:rsid w:val="00965865"/>
    <w:rsid w:val="00966C2D"/>
    <w:rsid w:val="0096726A"/>
    <w:rsid w:val="00976F7C"/>
    <w:rsid w:val="00986334"/>
    <w:rsid w:val="009864E0"/>
    <w:rsid w:val="009873F3"/>
    <w:rsid w:val="009930D3"/>
    <w:rsid w:val="009A234D"/>
    <w:rsid w:val="009A3E36"/>
    <w:rsid w:val="009A7A88"/>
    <w:rsid w:val="009B4661"/>
    <w:rsid w:val="009B5CD0"/>
    <w:rsid w:val="009C1B95"/>
    <w:rsid w:val="009C5D2F"/>
    <w:rsid w:val="009D0A78"/>
    <w:rsid w:val="009D3E3C"/>
    <w:rsid w:val="009E164C"/>
    <w:rsid w:val="009E1BD0"/>
    <w:rsid w:val="009E36C8"/>
    <w:rsid w:val="009E5B0E"/>
    <w:rsid w:val="009E604F"/>
    <w:rsid w:val="009E6DA3"/>
    <w:rsid w:val="009F04F4"/>
    <w:rsid w:val="009F6461"/>
    <w:rsid w:val="00A012BA"/>
    <w:rsid w:val="00A01662"/>
    <w:rsid w:val="00A05CFB"/>
    <w:rsid w:val="00A10FE0"/>
    <w:rsid w:val="00A13CD5"/>
    <w:rsid w:val="00A24E3B"/>
    <w:rsid w:val="00A30625"/>
    <w:rsid w:val="00A34EE6"/>
    <w:rsid w:val="00A41193"/>
    <w:rsid w:val="00A42099"/>
    <w:rsid w:val="00A4237C"/>
    <w:rsid w:val="00A6173A"/>
    <w:rsid w:val="00A73E03"/>
    <w:rsid w:val="00A7527B"/>
    <w:rsid w:val="00A75FD5"/>
    <w:rsid w:val="00A913CD"/>
    <w:rsid w:val="00A97417"/>
    <w:rsid w:val="00AA4CED"/>
    <w:rsid w:val="00AB13E6"/>
    <w:rsid w:val="00AC0F5D"/>
    <w:rsid w:val="00AC1695"/>
    <w:rsid w:val="00AD1125"/>
    <w:rsid w:val="00AD7F48"/>
    <w:rsid w:val="00AE2AA3"/>
    <w:rsid w:val="00AE3B8E"/>
    <w:rsid w:val="00AF10C3"/>
    <w:rsid w:val="00AF3362"/>
    <w:rsid w:val="00AF4CAB"/>
    <w:rsid w:val="00AF6813"/>
    <w:rsid w:val="00B05040"/>
    <w:rsid w:val="00B16517"/>
    <w:rsid w:val="00B208CB"/>
    <w:rsid w:val="00B26FF3"/>
    <w:rsid w:val="00B37B62"/>
    <w:rsid w:val="00B406BE"/>
    <w:rsid w:val="00B40855"/>
    <w:rsid w:val="00B53BC9"/>
    <w:rsid w:val="00B61961"/>
    <w:rsid w:val="00B66B34"/>
    <w:rsid w:val="00B740CE"/>
    <w:rsid w:val="00B87B37"/>
    <w:rsid w:val="00B911BC"/>
    <w:rsid w:val="00B952C8"/>
    <w:rsid w:val="00B96A4A"/>
    <w:rsid w:val="00BA46C8"/>
    <w:rsid w:val="00BA4839"/>
    <w:rsid w:val="00BB24F3"/>
    <w:rsid w:val="00BB2F0D"/>
    <w:rsid w:val="00BB648A"/>
    <w:rsid w:val="00BC6244"/>
    <w:rsid w:val="00BD1F21"/>
    <w:rsid w:val="00BD3188"/>
    <w:rsid w:val="00BE0843"/>
    <w:rsid w:val="00BF3D72"/>
    <w:rsid w:val="00BF6367"/>
    <w:rsid w:val="00C03966"/>
    <w:rsid w:val="00C05F4A"/>
    <w:rsid w:val="00C1132C"/>
    <w:rsid w:val="00C12A1B"/>
    <w:rsid w:val="00C134C3"/>
    <w:rsid w:val="00C13D6E"/>
    <w:rsid w:val="00C212F6"/>
    <w:rsid w:val="00C32D83"/>
    <w:rsid w:val="00C369CA"/>
    <w:rsid w:val="00C45680"/>
    <w:rsid w:val="00C45AD5"/>
    <w:rsid w:val="00C45B26"/>
    <w:rsid w:val="00C56FC7"/>
    <w:rsid w:val="00C77BC3"/>
    <w:rsid w:val="00C85408"/>
    <w:rsid w:val="00C85850"/>
    <w:rsid w:val="00C90937"/>
    <w:rsid w:val="00CA0658"/>
    <w:rsid w:val="00CA3724"/>
    <w:rsid w:val="00CC525F"/>
    <w:rsid w:val="00CC6BBF"/>
    <w:rsid w:val="00CD6B75"/>
    <w:rsid w:val="00CD7C94"/>
    <w:rsid w:val="00CE047C"/>
    <w:rsid w:val="00CE1608"/>
    <w:rsid w:val="00CE5196"/>
    <w:rsid w:val="00CF1DFD"/>
    <w:rsid w:val="00CF458E"/>
    <w:rsid w:val="00D02112"/>
    <w:rsid w:val="00D04DE2"/>
    <w:rsid w:val="00D1490B"/>
    <w:rsid w:val="00D2418F"/>
    <w:rsid w:val="00D33871"/>
    <w:rsid w:val="00D45847"/>
    <w:rsid w:val="00D47665"/>
    <w:rsid w:val="00D51B1C"/>
    <w:rsid w:val="00D524CD"/>
    <w:rsid w:val="00D54C21"/>
    <w:rsid w:val="00D647D3"/>
    <w:rsid w:val="00D66BBA"/>
    <w:rsid w:val="00D67DAA"/>
    <w:rsid w:val="00D708C6"/>
    <w:rsid w:val="00D73E79"/>
    <w:rsid w:val="00D76241"/>
    <w:rsid w:val="00D76BD2"/>
    <w:rsid w:val="00D8121F"/>
    <w:rsid w:val="00D81D0F"/>
    <w:rsid w:val="00D82404"/>
    <w:rsid w:val="00D8784F"/>
    <w:rsid w:val="00D9080B"/>
    <w:rsid w:val="00D91ED3"/>
    <w:rsid w:val="00DA2D47"/>
    <w:rsid w:val="00DB141C"/>
    <w:rsid w:val="00DB3BB1"/>
    <w:rsid w:val="00DB5888"/>
    <w:rsid w:val="00DC63FE"/>
    <w:rsid w:val="00DD7EA8"/>
    <w:rsid w:val="00DE206B"/>
    <w:rsid w:val="00E03056"/>
    <w:rsid w:val="00E03B78"/>
    <w:rsid w:val="00E05785"/>
    <w:rsid w:val="00E24443"/>
    <w:rsid w:val="00E31977"/>
    <w:rsid w:val="00E32A35"/>
    <w:rsid w:val="00E332F2"/>
    <w:rsid w:val="00E4399B"/>
    <w:rsid w:val="00E55C5E"/>
    <w:rsid w:val="00E57C6F"/>
    <w:rsid w:val="00E64E08"/>
    <w:rsid w:val="00E727E7"/>
    <w:rsid w:val="00E74B58"/>
    <w:rsid w:val="00E8108C"/>
    <w:rsid w:val="00E92089"/>
    <w:rsid w:val="00E92923"/>
    <w:rsid w:val="00EA1179"/>
    <w:rsid w:val="00EA2FA2"/>
    <w:rsid w:val="00EA5BCF"/>
    <w:rsid w:val="00EA5C7A"/>
    <w:rsid w:val="00EB02AD"/>
    <w:rsid w:val="00EB27A8"/>
    <w:rsid w:val="00EC1499"/>
    <w:rsid w:val="00EC5A22"/>
    <w:rsid w:val="00EC5E8A"/>
    <w:rsid w:val="00EC72C6"/>
    <w:rsid w:val="00ED19E6"/>
    <w:rsid w:val="00ED20FD"/>
    <w:rsid w:val="00EE1CAC"/>
    <w:rsid w:val="00F03078"/>
    <w:rsid w:val="00F067BD"/>
    <w:rsid w:val="00F15813"/>
    <w:rsid w:val="00F17F8A"/>
    <w:rsid w:val="00F21B0A"/>
    <w:rsid w:val="00F26EEC"/>
    <w:rsid w:val="00F34630"/>
    <w:rsid w:val="00F41C9D"/>
    <w:rsid w:val="00F44835"/>
    <w:rsid w:val="00F46EFA"/>
    <w:rsid w:val="00F472B7"/>
    <w:rsid w:val="00F526F6"/>
    <w:rsid w:val="00F571B7"/>
    <w:rsid w:val="00F63389"/>
    <w:rsid w:val="00F7648B"/>
    <w:rsid w:val="00F819D4"/>
    <w:rsid w:val="00F9122D"/>
    <w:rsid w:val="00F92277"/>
    <w:rsid w:val="00FC4AFE"/>
    <w:rsid w:val="00FD37AE"/>
    <w:rsid w:val="00FD40FE"/>
    <w:rsid w:val="00FF100A"/>
    <w:rsid w:val="00FF6CF9"/>
    <w:rsid w:val="4FEF9445"/>
    <w:rsid w:val="77FDC6CB"/>
    <w:rsid w:val="7F7BD8E6"/>
    <w:rsid w:val="97CE212B"/>
    <w:rsid w:val="ADF36ED2"/>
    <w:rsid w:val="B7FF1653"/>
    <w:rsid w:val="BB7B489E"/>
    <w:rsid w:val="BF87B7F6"/>
    <w:rsid w:val="BFFDA7A6"/>
    <w:rsid w:val="C6E741FB"/>
    <w:rsid w:val="DEFF14E1"/>
    <w:rsid w:val="FEFCBB92"/>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4D19F"/>
  <w15:docId w15:val="{91721C28-87E8-4B3F-8D01-FD14F25D0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HAnsi" w:hAnsiTheme="minorHAnsi" w:cstheme="minorBidi"/>
      <w:sz w:val="22"/>
      <w:szCs w:val="22"/>
      <w:lang w:val="en-GB"/>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244061"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semiHidden/>
    <w:unhideWhenUsed/>
    <w:pPr>
      <w:tabs>
        <w:tab w:val="center" w:pos="4513"/>
        <w:tab w:val="right" w:pos="9026"/>
      </w:tabs>
      <w:spacing w:after="0" w:line="240" w:lineRule="auto"/>
    </w:pPr>
  </w:style>
  <w:style w:type="character" w:styleId="Hyperlink">
    <w:name w:val="Hyperlink"/>
    <w:basedOn w:val="DefaultParagraphFont"/>
    <w:uiPriority w:val="99"/>
    <w:unhideWhenUsed/>
    <w:rPr>
      <w:color w:val="0000FF" w:themeColor="hyperlink"/>
      <w:u w:val="single"/>
    </w:rPr>
  </w:style>
  <w:style w:type="paragraph" w:styleId="NormalWeb">
    <w:name w:val="Normal (Web)"/>
    <w:uiPriority w:val="99"/>
    <w:semiHidden/>
    <w:unhideWhenUsed/>
    <w:pPr>
      <w:spacing w:beforeAutospacing="1" w:afterAutospacing="1"/>
    </w:pPr>
    <w:rPr>
      <w:sz w:val="24"/>
      <w:szCs w:val="24"/>
      <w:lang w:eastAsia="zh-CN"/>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808080"/>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365F91" w:themeColor="accent1" w:themeShade="BF"/>
      <w:sz w:val="32"/>
      <w:szCs w:val="32"/>
    </w:rPr>
  </w:style>
  <w:style w:type="character" w:customStyle="1" w:styleId="HeaderChar">
    <w:name w:val="Header Char"/>
    <w:basedOn w:val="DefaultParagraphFont"/>
    <w:link w:val="Header"/>
    <w:uiPriority w:val="99"/>
    <w:semiHidden/>
  </w:style>
  <w:style w:type="character" w:customStyle="1" w:styleId="FooterChar">
    <w:name w:val="Footer Char"/>
    <w:basedOn w:val="DefaultParagraphFont"/>
    <w:link w:val="Footer"/>
    <w:uiPriority w:val="99"/>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244061" w:themeColor="accent1" w:themeShade="80"/>
      <w:sz w:val="24"/>
      <w:szCs w:val="24"/>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365F91" w:themeColor="accent1" w:themeShade="BF"/>
      <w:sz w:val="26"/>
      <w:szCs w:val="26"/>
      <w:lang w:val="en-GB"/>
    </w:rPr>
  </w:style>
  <w:style w:type="paragraph" w:customStyle="1" w:styleId="p1">
    <w:name w:val="p1"/>
    <w:rPr>
      <w:rFonts w:ascii="Helvetica Neue" w:eastAsia="Helvetica Neue" w:hAnsi="Helvetica Neue"/>
      <w:color w:val="DCA10D"/>
      <w:sz w:val="26"/>
      <w:szCs w:val="26"/>
      <w:lang w:eastAsia="zh-CN"/>
    </w:rPr>
  </w:style>
  <w:style w:type="character" w:styleId="UnresolvedMention">
    <w:name w:val="Unresolved Mention"/>
    <w:basedOn w:val="DefaultParagraphFont"/>
    <w:uiPriority w:val="99"/>
    <w:semiHidden/>
    <w:unhideWhenUsed/>
    <w:rsid w:val="0027056D"/>
    <w:rPr>
      <w:color w:val="605E5C"/>
      <w:shd w:val="clear" w:color="auto" w:fill="E1DFDD"/>
    </w:rPr>
  </w:style>
  <w:style w:type="character" w:styleId="CommentReference">
    <w:name w:val="annotation reference"/>
    <w:basedOn w:val="DefaultParagraphFont"/>
    <w:uiPriority w:val="99"/>
    <w:semiHidden/>
    <w:unhideWhenUsed/>
    <w:rsid w:val="004C02D3"/>
    <w:rPr>
      <w:sz w:val="16"/>
      <w:szCs w:val="16"/>
    </w:rPr>
  </w:style>
  <w:style w:type="paragraph" w:styleId="CommentText">
    <w:name w:val="annotation text"/>
    <w:basedOn w:val="Normal"/>
    <w:link w:val="CommentTextChar"/>
    <w:uiPriority w:val="99"/>
    <w:semiHidden/>
    <w:unhideWhenUsed/>
    <w:rsid w:val="004C02D3"/>
    <w:pPr>
      <w:spacing w:line="240" w:lineRule="auto"/>
    </w:pPr>
    <w:rPr>
      <w:sz w:val="20"/>
      <w:szCs w:val="20"/>
    </w:rPr>
  </w:style>
  <w:style w:type="character" w:customStyle="1" w:styleId="CommentTextChar">
    <w:name w:val="Comment Text Char"/>
    <w:basedOn w:val="DefaultParagraphFont"/>
    <w:link w:val="CommentText"/>
    <w:uiPriority w:val="99"/>
    <w:semiHidden/>
    <w:rsid w:val="004C02D3"/>
    <w:rPr>
      <w:rFonts w:asciiTheme="minorHAnsi" w:eastAsiaTheme="minorHAnsi" w:hAnsiTheme="minorHAnsi" w:cstheme="minorBidi"/>
      <w:lang w:val="en-GB"/>
    </w:rPr>
  </w:style>
  <w:style w:type="paragraph" w:styleId="CommentSubject">
    <w:name w:val="annotation subject"/>
    <w:basedOn w:val="CommentText"/>
    <w:next w:val="CommentText"/>
    <w:link w:val="CommentSubjectChar"/>
    <w:uiPriority w:val="99"/>
    <w:semiHidden/>
    <w:unhideWhenUsed/>
    <w:rsid w:val="004C02D3"/>
    <w:rPr>
      <w:b/>
      <w:bCs/>
    </w:rPr>
  </w:style>
  <w:style w:type="character" w:customStyle="1" w:styleId="CommentSubjectChar">
    <w:name w:val="Comment Subject Char"/>
    <w:basedOn w:val="CommentTextChar"/>
    <w:link w:val="CommentSubject"/>
    <w:uiPriority w:val="99"/>
    <w:semiHidden/>
    <w:rsid w:val="004C02D3"/>
    <w:rPr>
      <w:rFonts w:asciiTheme="minorHAnsi" w:eastAsiaTheme="minorHAnsi" w:hAnsiTheme="minorHAnsi" w:cstheme="minorBidi"/>
      <w:b/>
      <w:bCs/>
      <w:lang w:val="en-GB"/>
    </w:rPr>
  </w:style>
  <w:style w:type="paragraph" w:styleId="Revision">
    <w:name w:val="Revision"/>
    <w:hidden/>
    <w:uiPriority w:val="99"/>
    <w:unhideWhenUsed/>
    <w:rsid w:val="00E57C6F"/>
    <w:rPr>
      <w:rFonts w:asciiTheme="minorHAnsi" w:eastAsiaTheme="minorHAnsi" w:hAnsiTheme="minorHAnsi" w:cstheme="minorBid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uters.com/business/media-telecom/tata-unit-says-extensive-damage-fire-delhi-data-centre-hampers-recovery-2026-06-24/"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101" Type="http://schemas.openxmlformats.org/officeDocument/2006/relationships/hyperlink" Target="https://www.deccanchronicle.com/amp/nation/new-delhi-cabinet-approves-dissolution-of-37-year-old-telecom-apex-body-dcc-1987937" TargetMode="External"/><Relationship Id="rId102" Type="http://schemas.openxmlformats.org/officeDocument/2006/relationships/hyperlink" Target="https://www.business-standard.com/industry/news/microsoft-launches-4th-india-cloud-region-in-hyderabad-to-boost-ai-capacity-126092100431_1.html" TargetMode="External"/><Relationship Id="rId103" Type="http://schemas.openxmlformats.org/officeDocument/2006/relationships/hyperlink" Target="https://www.tcs.com/who-we-are/newsroom/press-release/tcs-hypervault-establish-large-scale-ai-data-center-campus-telangana" TargetMode="External"/><Relationship Id="rId104" Type="http://schemas.openxmlformats.org/officeDocument/2006/relationships/hyperlink" Target="https://www.cushmanwakefield.com/en/india/news/2026/09/india-data-centre-h1-2026-update" TargetMode="External"/><Relationship Id="rId105" Type="http://schemas.openxmlformats.org/officeDocument/2006/relationships/hyperlink" Target="https://www.datacenterdynamics.com/en/regions/asia-pacific/india/" TargetMode="External"/><Relationship Id="rId106" Type="http://schemas.openxmlformats.org/officeDocument/2006/relationships/hyperlink" Target="https://www.business-standard.com/amp/industry/news/trai-launches-platform-to-rate-properties-on-digital-connectivity-126092500807_1.html" TargetMode="External"/><Relationship Id="rId107" Type="http://schemas.openxmlformats.org/officeDocument/2006/relationships/hyperlink" Target="https://ddindia.co.in/2026/09/trai-launches-digital-connectivity-rating-platform/" TargetMode="External"/><Relationship Id="rId108" Type="http://schemas.openxmlformats.org/officeDocument/2006/relationships/hyperlink" Target="https://www.tribuneindia.com/news/india/trai-harder-telecom-regulator-tightens-norms-to-curb-spamming/" TargetMode="External"/><Relationship Id="rId109" Type="http://schemas.openxmlformats.org/officeDocument/2006/relationships/hyperlink" Target="https://www.trai.gov.in/consultation-draft-telecom-commercial-communications-customer-preference-third-amendment" TargetMode="External"/><Relationship Id="rId110" Type="http://schemas.openxmlformats.org/officeDocument/2006/relationships/hyperlink" Target="https://www.aaplusconsultants.com/article-tcccpr-third-amendment.html" TargetMode="External"/><Relationship Id="rId111" Type="http://schemas.openxmlformats.org/officeDocument/2006/relationships/hyperlink" Target="https://www.tribuneindia.com/news/india/trai-harder-telecom-regulator-tightens-norms-to-curb-spamming/" TargetMode="External"/><Relationship Id="rId112" Type="http://schemas.openxmlformats.org/officeDocument/2006/relationships/hyperlink" Target="https://www.policyedge.in/p/trai-draft-telecom-commercial-communications-customer-preference-third-amendment-regulations-2026" TargetMode="External"/><Relationship Id="rId113" Type="http://schemas.openxmlformats.org/officeDocument/2006/relationships/hyperlink" Target="https://www.business-standard.com/industry/news/trai-clears-the-decks-for-satellite-broadband-services-in-india-126090801317_1.html" TargetMode="External"/><Relationship Id="rId114" Type="http://schemas.openxmlformats.org/officeDocument/2006/relationships/hyperlink" Target="https://www.medianama.com/2026/09/223-starlink-oneweb-jio-dcc-spectrum-approval/" TargetMode="External"/><Relationship Id="rId115" Type="http://schemas.openxmlformats.org/officeDocument/2006/relationships/hyperlink" Target="https://www.etvbharat.com/en/technology/digital-communications-commission-approves-trai-recommendations-on-satcom-spectrum-enn26090806612" TargetMode="External"/><Relationship Id="rId116" Type="http://schemas.openxmlformats.org/officeDocument/2006/relationships/hyperlink" Target="https://telecomtalk.info/trai-mandates-shorter-validity-voice-sms-stvs/1012115/" TargetMode="External"/><Relationship Id="rId117" Type="http://schemas.openxmlformats.org/officeDocument/2006/relationships/hyperlink" Target="https://www.theweek.in/news/biz-tech/2026/09/23/trai-voice-sms-plans-regulation-update-prepaid-packs-feature-phon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61C7912-D0A5-4D8A-BC41-26FE1BD87FA9}">
  <ds:schemaRefs>
    <ds:schemaRef ds:uri="http://schemas.openxmlformats.org/officeDocument/2006/bibliography"/>
  </ds:schemaRefs>
</ds:datastoreItem>
</file>

<file path=docMetadata/LabelInfo.xml><?xml version="1.0" encoding="utf-8"?>
<clbl:labelList xmlns:clbl="http://schemas.microsoft.com/office/2020/mipLabelMetadata">
  <clbl:label id="{e6c818a6-e1a0-4a6e-a969-20d857c5dc62}" enabled="1" method="Standard" siteId="{90c7a20a-f34b-40bf-bc48-b9253b6f5d20}" contentBits="2" removed="0"/>
</clbl:labelList>
</file>

<file path=docProps/app.xml><?xml version="1.0" encoding="utf-8"?>
<Properties xmlns="http://schemas.openxmlformats.org/officeDocument/2006/extended-properties" xmlns:vt="http://schemas.openxmlformats.org/officeDocument/2006/docPropsVTypes">
  <Template>Normal</Template>
  <TotalTime>193</TotalTime>
  <Pages>9</Pages>
  <Words>1246</Words>
  <Characters>7105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Voice Development Report</vt:lpstr>
    </vt:vector>
  </TitlesOfParts>
  <Company>ORANGE FT Group</Company>
  <LinksUpToDate>false</LinksUpToDate>
  <CharactersWithSpaces>8335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 Development Report</dc:title>
  <dc:subject>SAAM_Corp_Advisors</dc:subject>
  <dc:creator>manoj.singh@orange.com</dc:creator>
  <cp:keywords/>
  <dc:description/>
  <cp:lastModifiedBy>Harsh Tiwary</cp:lastModifiedBy>
  <cp:revision>20</cp:revision>
  <cp:lastPrinted>2020-12-04T21:02:00Z</cp:lastPrinted>
  <dcterms:created xsi:type="dcterms:W3CDTF">2026-09-22T08:29:00Z</dcterms:created>
  <dcterms:modified xsi:type="dcterms:W3CDTF">2026-09-26T17:25:00Z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1033-5.7.3.8096</vt:lpwstr>
  </property>
  <property fmtid="{D5CDD505-2E9C-101B-9397-08002B2CF9AE}" pid="3" name="ClassificationContentMarkingFooterShapeIds">
    <vt:lpwstr>6cbb5748,30039e56,536935d6</vt:lpwstr>
  </property>
  <property fmtid="{D5CDD505-2E9C-101B-9397-08002B2CF9AE}" pid="4" name="ClassificationContentMarkingFooterFontProps">
    <vt:lpwstr>#ed7d31,8,Helvetica 75 Bold</vt:lpwstr>
  </property>
  <property fmtid="{D5CDD505-2E9C-101B-9397-08002B2CF9AE}" pid="5" name="ClassificationContentMarkingFooterText">
    <vt:lpwstr>Orange Restricted</vt:lpwstr>
  </property>
  <property fmtid="{D5CDD505-2E9C-101B-9397-08002B2CF9AE}" pid="6" name="hydoc2428e19202223628">
    <vt:lpwstr>01a05b13-cca7-7e77-99ac-ea4839fa8538</vt:lpwstr>
  </property>
</Properties>
</file>